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As filed with the Securities and Exchange Commission on November 5, 2013</w:t>
      </w:r>
    </w:p>
    <w:p>
      <w:pPr>
        <w:spacing w:after="0" w:line="27" w:lineRule="exact"/>
        <w:rPr>
          <w:sz w:val="24"/>
          <w:szCs w:val="24"/>
          <w:color w:val="auto"/>
        </w:rPr>
      </w:pPr>
    </w:p>
    <w:p>
      <w:pPr>
        <w:ind w:left="93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REGISTRATION STATEMENT</w:t>
      </w:r>
    </w:p>
    <w:p>
      <w:pPr>
        <w:jc w:val="center"/>
        <w:ind w:right="-7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DIAMONDBACK ENERGY,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4100" w:type="dxa"/>
            <w:vAlign w:val="bottom"/>
          </w:tcPr>
          <w:p>
            <w:pPr>
              <w:jc w:val="center"/>
              <w:ind w:right="1922"/>
              <w:spacing w:after="0"/>
              <w:rPr>
                <w:sz w:val="20"/>
                <w:szCs w:val="20"/>
                <w:color w:val="auto"/>
              </w:rPr>
            </w:pPr>
            <w:r>
              <w:rPr>
                <w:rFonts w:ascii="Arial" w:cs="Arial" w:eastAsia="Arial" w:hAnsi="Arial"/>
                <w:sz w:val="18"/>
                <w:szCs w:val="18"/>
                <w:b w:val="1"/>
                <w:bCs w:val="1"/>
                <w:color w:val="auto"/>
                <w:w w:val="93"/>
              </w:rPr>
              <w:t>Delaware</w:t>
            </w:r>
          </w:p>
        </w:tc>
        <w:tc>
          <w:tcPr>
            <w:tcW w:w="3420" w:type="dxa"/>
            <w:vAlign w:val="bottom"/>
          </w:tcPr>
          <w:p>
            <w:pPr>
              <w:jc w:val="center"/>
              <w:ind w:left="1922"/>
              <w:spacing w:after="0"/>
              <w:rPr>
                <w:sz w:val="20"/>
                <w:szCs w:val="20"/>
                <w:color w:val="auto"/>
              </w:rPr>
            </w:pPr>
            <w:r>
              <w:rPr>
                <w:rFonts w:ascii="Arial" w:cs="Arial" w:eastAsia="Arial" w:hAnsi="Arial"/>
                <w:sz w:val="18"/>
                <w:szCs w:val="18"/>
                <w:b w:val="1"/>
                <w:bCs w:val="1"/>
                <w:color w:val="auto"/>
                <w:w w:val="89"/>
              </w:rPr>
              <w:t>45-4502447</w:t>
            </w:r>
          </w:p>
        </w:tc>
      </w:tr>
      <w:tr>
        <w:trPr>
          <w:trHeight w:val="149"/>
        </w:trPr>
        <w:tc>
          <w:tcPr>
            <w:tcW w:w="4100" w:type="dxa"/>
            <w:vAlign w:val="bottom"/>
          </w:tcPr>
          <w:p>
            <w:pPr>
              <w:jc w:val="center"/>
              <w:ind w:right="192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420" w:type="dxa"/>
            <w:vAlign w:val="bottom"/>
          </w:tcPr>
          <w:p>
            <w:pPr>
              <w:jc w:val="center"/>
              <w:ind w:left="19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1922"/>
              <w:spacing w:after="0"/>
              <w:rPr>
                <w:sz w:val="20"/>
                <w:szCs w:val="20"/>
                <w:color w:val="auto"/>
              </w:rPr>
            </w:pPr>
            <w:r>
              <w:rPr>
                <w:rFonts w:ascii="Arial" w:cs="Arial" w:eastAsia="Arial" w:hAnsi="Arial"/>
                <w:sz w:val="14"/>
                <w:szCs w:val="14"/>
                <w:b w:val="1"/>
                <w:bCs w:val="1"/>
                <w:color w:val="auto"/>
                <w:w w:val="95"/>
              </w:rPr>
              <w:t>of Incorporation or Organization)</w:t>
            </w:r>
          </w:p>
        </w:tc>
        <w:tc>
          <w:tcPr>
            <w:tcW w:w="3420" w:type="dxa"/>
            <w:vAlign w:val="bottom"/>
          </w:tcPr>
          <w:p>
            <w:pPr>
              <w:jc w:val="center"/>
              <w:ind w:left="192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9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500 West Texas, Suite 1225</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Midland, Texas 79701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(432) 221-7400</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Teresa L. Dick</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14301 Caliber Drive, Suite 300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Oklahoma City, Oklahoma 73134</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(405) 463-6900</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Seth R. Molay, P.C.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Akin, Gump, Strauss, Hauer &amp; Feld, L.L.P.</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1700 Pacific Avenue, Suite 4100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Dallas, TX 75201</w:t>
      </w:r>
    </w:p>
    <w:p>
      <w:pPr>
        <w:spacing w:after="0" w:line="9" w:lineRule="exact"/>
        <w:rPr>
          <w:sz w:val="24"/>
          <w:szCs w:val="24"/>
          <w:color w:val="auto"/>
        </w:rPr>
      </w:pPr>
    </w:p>
    <w:p>
      <w:pPr>
        <w:ind w:left="5580" w:hanging="428"/>
        <w:spacing w:after="0"/>
        <w:tabs>
          <w:tab w:leader="none" w:pos="558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969-2800</w:t>
      </w:r>
    </w:p>
    <w:p>
      <w:pPr>
        <w:spacing w:after="0" w:line="9" w:lineRule="exact"/>
        <w:rPr>
          <w:rFonts w:ascii="Arial" w:cs="Arial" w:eastAsia="Arial" w:hAnsi="Arial"/>
          <w:sz w:val="18"/>
          <w:szCs w:val="18"/>
          <w:b w:val="1"/>
          <w:bCs w:val="1"/>
          <w:color w:val="auto"/>
        </w:rPr>
      </w:pPr>
    </w:p>
    <w:p>
      <w:pPr>
        <w:ind w:left="5160" w:hanging="431"/>
        <w:spacing w:after="0"/>
        <w:tabs>
          <w:tab w:leader="none" w:pos="51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969-4343 (facsimile)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left="460"/>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this Registration Statement becomes effective.</w:t>
      </w:r>
    </w:p>
    <w:p>
      <w:pPr>
        <w:spacing w:after="0" w:line="241" w:lineRule="exact"/>
        <w:rPr>
          <w:sz w:val="24"/>
          <w:szCs w:val="24"/>
          <w:color w:val="auto"/>
        </w:rPr>
      </w:pPr>
    </w:p>
    <w:p>
      <w:pPr>
        <w:ind w:right="300" w:firstLine="456"/>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22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340"/>
          </w:cols>
          <w:pgMar w:left="240" w:top="230" w:right="3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16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80" w:type="dxa"/>
            <w:vAlign w:val="bottom"/>
            <w:gridSpan w:val="2"/>
          </w:tcPr>
          <w:p>
            <w:pPr>
              <w:spacing w:after="0"/>
              <w:rPr>
                <w:sz w:val="20"/>
                <w:szCs w:val="20"/>
                <w:color w:val="auto"/>
              </w:rPr>
            </w:pPr>
            <w:r>
              <w:rPr>
                <w:rFonts w:ascii="Arial" w:cs="Arial" w:eastAsia="Arial" w:hAnsi="Arial"/>
                <w:sz w:val="18"/>
                <w:szCs w:val="18"/>
                <w:color w:val="auto"/>
                <w:w w:val="93"/>
              </w:rPr>
              <w:t>Large accelerated filer</w:t>
            </w:r>
          </w:p>
        </w:tc>
        <w:tc>
          <w:tcPr>
            <w:tcW w:w="19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40" w:type="dxa"/>
            <w:vAlign w:val="bottom"/>
            <w:gridSpan w:val="2"/>
          </w:tcPr>
          <w:p>
            <w:pPr>
              <w:ind w:left="1040"/>
              <w:spacing w:after="0"/>
              <w:rPr>
                <w:sz w:val="20"/>
                <w:szCs w:val="20"/>
                <w:color w:val="auto"/>
              </w:rPr>
            </w:pPr>
            <w:r>
              <w:rPr>
                <w:rFonts w:ascii="Arial" w:cs="Arial" w:eastAsia="Arial" w:hAnsi="Arial"/>
                <w:sz w:val="18"/>
                <w:szCs w:val="18"/>
                <w:color w:val="auto"/>
              </w:rPr>
              <w:t>Accelerated filer</w:t>
            </w:r>
          </w:p>
        </w:tc>
        <w:tc>
          <w:tcPr>
            <w:tcW w:w="160" w:type="dxa"/>
            <w:vAlign w:val="bottom"/>
          </w:tcPr>
          <w:p>
            <w:pP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680" w:type="dxa"/>
            <w:vAlign w:val="bottom"/>
            <w:gridSpan w:val="2"/>
          </w:tcPr>
          <w:p>
            <w:pPr>
              <w:spacing w:after="0"/>
              <w:rPr>
                <w:sz w:val="20"/>
                <w:szCs w:val="20"/>
                <w:color w:val="auto"/>
              </w:rPr>
            </w:pPr>
            <w:r>
              <w:rPr>
                <w:rFonts w:ascii="Arial" w:cs="Arial" w:eastAsia="Arial" w:hAnsi="Arial"/>
                <w:sz w:val="18"/>
                <w:szCs w:val="18"/>
                <w:color w:val="auto"/>
                <w:w w:val="99"/>
              </w:rPr>
              <w:t>Non-accelerated filer</w:t>
            </w:r>
          </w:p>
        </w:tc>
        <w:tc>
          <w:tcPr>
            <w:tcW w:w="4640" w:type="dxa"/>
            <w:vAlign w:val="bottom"/>
            <w:gridSpan w:val="4"/>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40" w:type="dxa"/>
            <w:vAlign w:val="bottom"/>
            <w:gridSpan w:val="2"/>
          </w:tcPr>
          <w:p>
            <w:pPr>
              <w:ind w:left="1040"/>
              <w:spacing w:after="0"/>
              <w:rPr>
                <w:sz w:val="20"/>
                <w:szCs w:val="20"/>
                <w:color w:val="auto"/>
              </w:rPr>
            </w:pPr>
            <w:r>
              <w:rPr>
                <w:rFonts w:ascii="Arial" w:cs="Arial" w:eastAsia="Arial" w:hAnsi="Arial"/>
                <w:sz w:val="18"/>
                <w:szCs w:val="18"/>
                <w:color w:val="auto"/>
              </w:rPr>
              <w:t>Smaller reporting company</w:t>
            </w:r>
          </w:p>
        </w:tc>
        <w:tc>
          <w:tcPr>
            <w:tcW w:w="160" w:type="dxa"/>
            <w:vAlign w:val="bottom"/>
          </w:tcPr>
          <w:p>
            <w:pP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20" w:type="dxa"/>
            <w:vAlign w:val="bottom"/>
            <w:gridSpan w:val="5"/>
          </w:tcPr>
          <w:p>
            <w:pPr>
              <w:ind w:left="380"/>
              <w:spacing w:after="0"/>
              <w:rPr>
                <w:sz w:val="20"/>
                <w:szCs w:val="20"/>
                <w:color w:val="auto"/>
              </w:rPr>
            </w:pPr>
            <w:r>
              <w:rPr>
                <w:rFonts w:ascii="Arial" w:cs="Arial" w:eastAsia="Arial" w:hAnsi="Arial"/>
                <w:sz w:val="18"/>
                <w:szCs w:val="18"/>
                <w:b w:val="1"/>
                <w:bCs w:val="1"/>
                <w:color w:val="auto"/>
              </w:rPr>
              <w:t>CALCULATION OF REGISTRATION FEE</w:t>
            </w:r>
          </w:p>
        </w:tc>
        <w:tc>
          <w:tcPr>
            <w:tcW w:w="1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restart"/>
          </w:tcPr>
          <w:p>
            <w:pPr>
              <w:jc w:val="center"/>
              <w:ind w:left="4"/>
              <w:spacing w:after="0"/>
              <w:rPr>
                <w:sz w:val="20"/>
                <w:szCs w:val="20"/>
                <w:color w:val="auto"/>
              </w:rPr>
            </w:pPr>
            <w:r>
              <w:rPr>
                <w:rFonts w:ascii="Arial" w:cs="Arial" w:eastAsia="Arial" w:hAnsi="Arial"/>
                <w:sz w:val="14"/>
                <w:szCs w:val="14"/>
                <w:b w:val="1"/>
                <w:bCs w:val="1"/>
                <w:color w:val="auto"/>
                <w:w w:val="94"/>
              </w:rPr>
              <w:t>Amount</w:t>
            </w:r>
          </w:p>
        </w:tc>
        <w:tc>
          <w:tcPr>
            <w:tcW w:w="1500" w:type="dxa"/>
            <w:vAlign w:val="bottom"/>
            <w:tcBorders>
              <w:right w:val="single" w:sz="8" w:color="auto"/>
            </w:tcBorders>
            <w:gridSpan w:val="2"/>
          </w:tcPr>
          <w:p>
            <w:pPr>
              <w:jc w:val="center"/>
              <w:ind w:left="6"/>
              <w:spacing w:after="0" w:line="106" w:lineRule="exact"/>
              <w:rPr>
                <w:sz w:val="20"/>
                <w:szCs w:val="20"/>
                <w:color w:val="auto"/>
              </w:rPr>
            </w:pPr>
            <w:r>
              <w:rPr>
                <w:rFonts w:ascii="Arial" w:cs="Arial" w:eastAsia="Arial" w:hAnsi="Arial"/>
                <w:sz w:val="12"/>
                <w:szCs w:val="12"/>
                <w:b w:val="1"/>
                <w:bCs w:val="1"/>
                <w:color w:val="auto"/>
              </w:rPr>
              <w:t>Proposed</w:t>
            </w:r>
          </w:p>
        </w:tc>
        <w:tc>
          <w:tcPr>
            <w:tcW w:w="182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gridSpan w:val="2"/>
          </w:tcPr>
          <w:p>
            <w:pPr>
              <w:jc w:val="center"/>
              <w:ind w:left="26"/>
              <w:spacing w:after="0" w:line="149" w:lineRule="exact"/>
              <w:rPr>
                <w:sz w:val="20"/>
                <w:szCs w:val="20"/>
                <w:color w:val="auto"/>
              </w:rPr>
            </w:pPr>
            <w:r>
              <w:rPr>
                <w:rFonts w:ascii="Arial" w:cs="Arial" w:eastAsia="Arial" w:hAnsi="Arial"/>
                <w:sz w:val="14"/>
                <w:szCs w:val="14"/>
                <w:b w:val="1"/>
                <w:bCs w:val="1"/>
                <w:color w:val="auto"/>
                <w:w w:val="99"/>
              </w:rPr>
              <w:t>Maximum</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920" w:type="dxa"/>
            <w:vAlign w:val="bottom"/>
          </w:tcPr>
          <w:p>
            <w:pPr>
              <w:jc w:val="center"/>
              <w:ind w:right="376"/>
              <w:spacing w:after="0" w:line="158" w:lineRule="exact"/>
              <w:rPr>
                <w:sz w:val="20"/>
                <w:szCs w:val="20"/>
                <w:color w:val="auto"/>
              </w:rPr>
            </w:pPr>
            <w:r>
              <w:rPr>
                <w:rFonts w:ascii="Arial" w:cs="Arial" w:eastAsia="Arial" w:hAnsi="Arial"/>
                <w:sz w:val="14"/>
                <w:szCs w:val="14"/>
                <w:b w:val="1"/>
                <w:bCs w:val="1"/>
                <w:color w:val="auto"/>
                <w:w w:val="91"/>
              </w:rPr>
              <w:t>Title of Each Class of</w:t>
            </w:r>
          </w:p>
        </w:tc>
        <w:tc>
          <w:tcPr>
            <w:tcW w:w="92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tcPr>
          <w:p>
            <w:pPr>
              <w:jc w:val="center"/>
              <w:ind w:left="24"/>
              <w:spacing w:after="0" w:line="158" w:lineRule="exact"/>
              <w:rPr>
                <w:sz w:val="20"/>
                <w:szCs w:val="20"/>
                <w:color w:val="auto"/>
              </w:rPr>
            </w:pPr>
            <w:r>
              <w:rPr>
                <w:rFonts w:ascii="Arial" w:cs="Arial" w:eastAsia="Arial" w:hAnsi="Arial"/>
                <w:sz w:val="14"/>
                <w:szCs w:val="14"/>
                <w:b w:val="1"/>
                <w:bCs w:val="1"/>
                <w:color w:val="auto"/>
                <w:w w:val="91"/>
              </w:rPr>
              <w:t>to Be</w:t>
            </w:r>
          </w:p>
        </w:tc>
        <w:tc>
          <w:tcPr>
            <w:tcW w:w="1500" w:type="dxa"/>
            <w:vAlign w:val="bottom"/>
            <w:tcBorders>
              <w:right w:val="single" w:sz="8" w:color="auto"/>
            </w:tcBorders>
            <w:gridSpan w:val="2"/>
          </w:tcPr>
          <w:p>
            <w:pPr>
              <w:jc w:val="center"/>
              <w:ind w:left="26"/>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8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620" w:type="dxa"/>
            <w:vAlign w:val="bottom"/>
          </w:tcPr>
          <w:p>
            <w:pPr>
              <w:jc w:val="center"/>
              <w:ind w:left="162"/>
              <w:spacing w:after="0" w:line="158" w:lineRule="exact"/>
              <w:rPr>
                <w:sz w:val="20"/>
                <w:szCs w:val="20"/>
                <w:color w:val="auto"/>
              </w:rPr>
            </w:pPr>
            <w:r>
              <w:rPr>
                <w:rFonts w:ascii="Arial" w:cs="Arial" w:eastAsia="Arial" w:hAnsi="Arial"/>
                <w:sz w:val="14"/>
                <w:szCs w:val="14"/>
                <w:b w:val="1"/>
                <w:bCs w:val="1"/>
                <w:color w:val="auto"/>
                <w:w w:val="94"/>
              </w:rPr>
              <w:t>Amount of</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80" w:type="dxa"/>
            <w:vAlign w:val="bottom"/>
            <w:tcBorders>
              <w:bottom w:val="single" w:sz="8" w:color="auto"/>
            </w:tcBorders>
            <w:gridSpan w:val="2"/>
          </w:tcPr>
          <w:p>
            <w:pPr>
              <w:jc w:val="center"/>
              <w:ind w:left="1119"/>
              <w:spacing w:after="0"/>
              <w:rPr>
                <w:sz w:val="20"/>
                <w:szCs w:val="20"/>
                <w:color w:val="auto"/>
              </w:rPr>
            </w:pPr>
            <w:r>
              <w:rPr>
                <w:rFonts w:ascii="Arial" w:cs="Arial" w:eastAsia="Arial" w:hAnsi="Arial"/>
                <w:sz w:val="14"/>
                <w:szCs w:val="14"/>
                <w:b w:val="1"/>
                <w:bCs w:val="1"/>
                <w:color w:val="auto"/>
                <w:w w:val="89"/>
              </w:rPr>
              <w:t>Securities to be Registered</w:t>
            </w:r>
          </w:p>
        </w:tc>
        <w:tc>
          <w:tcPr>
            <w:tcW w:w="920" w:type="dxa"/>
            <w:vAlign w:val="bottom"/>
            <w:tcBorders>
              <w:bottom w:val="single" w:sz="8" w:color="auto"/>
            </w:tcBorders>
          </w:tcPr>
          <w:p>
            <w:pPr>
              <w:spacing w:after="0"/>
              <w:rPr>
                <w:sz w:val="15"/>
                <w:szCs w:val="15"/>
                <w:color w:val="auto"/>
              </w:rPr>
            </w:pPr>
          </w:p>
        </w:tc>
        <w:tc>
          <w:tcPr>
            <w:tcW w:w="30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1"/>
              </w:rPr>
              <w:t>Registered(1)</w:t>
            </w:r>
          </w:p>
        </w:tc>
        <w:tc>
          <w:tcPr>
            <w:tcW w:w="1500" w:type="dxa"/>
            <w:vAlign w:val="bottom"/>
            <w:tcBorders>
              <w:bottom w:val="single" w:sz="8" w:color="auto"/>
              <w:right w:val="single" w:sz="8" w:color="auto"/>
            </w:tcBorders>
            <w:gridSpan w:val="2"/>
          </w:tcPr>
          <w:p>
            <w:pPr>
              <w:jc w:val="center"/>
              <w:ind w:left="6"/>
              <w:spacing w:after="0"/>
              <w:rPr>
                <w:sz w:val="20"/>
                <w:szCs w:val="20"/>
                <w:color w:val="auto"/>
              </w:rPr>
            </w:pPr>
            <w:r>
              <w:rPr>
                <w:rFonts w:ascii="Arial" w:cs="Arial" w:eastAsia="Arial" w:hAnsi="Arial"/>
                <w:sz w:val="14"/>
                <w:szCs w:val="14"/>
                <w:b w:val="1"/>
                <w:bCs w:val="1"/>
                <w:color w:val="auto"/>
                <w:w w:val="97"/>
              </w:rPr>
              <w:t>Per Unit(1)(2)</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Price(1)(2)</w:t>
            </w:r>
          </w:p>
        </w:tc>
        <w:tc>
          <w:tcPr>
            <w:tcW w:w="1620" w:type="dxa"/>
            <w:vAlign w:val="bottom"/>
            <w:tcBorders>
              <w:bottom w:val="single" w:sz="8" w:color="auto"/>
            </w:tcBorders>
          </w:tcPr>
          <w:p>
            <w:pPr>
              <w:jc w:val="center"/>
              <w:ind w:left="162"/>
              <w:spacing w:after="0"/>
              <w:rPr>
                <w:sz w:val="20"/>
                <w:szCs w:val="20"/>
                <w:color w:val="auto"/>
              </w:rPr>
            </w:pPr>
            <w:r>
              <w:rPr>
                <w:rFonts w:ascii="Arial" w:cs="Arial" w:eastAsia="Arial" w:hAnsi="Arial"/>
                <w:sz w:val="14"/>
                <w:szCs w:val="14"/>
                <w:b w:val="1"/>
                <w:bCs w:val="1"/>
                <w:color w:val="auto"/>
                <w:w w:val="93"/>
              </w:rPr>
              <w:t>Registration Fee(2)(3)</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Primary Offering(1)</w:t>
            </w:r>
            <w:r>
              <w:rPr>
                <w:rFonts w:ascii="Arial" w:cs="Arial" w:eastAsia="Arial" w:hAnsi="Arial"/>
                <w:sz w:val="18"/>
                <w:szCs w:val="18"/>
                <w:color w:val="auto"/>
                <w:w w:val="96"/>
              </w:rPr>
              <w:t>:</w:t>
            </w:r>
          </w:p>
        </w:tc>
        <w:tc>
          <w:tcPr>
            <w:tcW w:w="19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Senior Debt Securities</w:t>
            </w:r>
          </w:p>
        </w:tc>
        <w:tc>
          <w:tcPr>
            <w:tcW w:w="19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Subordinated Debt Securities</w:t>
            </w: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Guarantees of Debt Securities(4)</w:t>
            </w: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Common stock, par value $0.01 per share</w:t>
            </w: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Secondary Offering(2)</w:t>
            </w:r>
            <w:r>
              <w:rPr>
                <w:rFonts w:ascii="Arial" w:cs="Arial" w:eastAsia="Arial" w:hAnsi="Arial"/>
                <w:sz w:val="18"/>
                <w:szCs w:val="18"/>
                <w:color w:val="auto"/>
              </w:rPr>
              <w:t>:</w:t>
            </w: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Common stock, par value $0.01 per share</w:t>
            </w:r>
          </w:p>
        </w:tc>
        <w:tc>
          <w:tcPr>
            <w:tcW w:w="1220" w:type="dxa"/>
            <w:vAlign w:val="bottom"/>
            <w:tcBorders>
              <w:bottom w:val="single" w:sz="8" w:color="auto"/>
              <w:right w:val="single" w:sz="8" w:color="auto"/>
            </w:tcBorders>
            <w:gridSpan w:val="2"/>
          </w:tcPr>
          <w:p>
            <w:pPr>
              <w:spacing w:after="0"/>
              <w:rPr>
                <w:sz w:val="18"/>
                <w:szCs w:val="18"/>
                <w:color w:val="auto"/>
              </w:rPr>
            </w:pPr>
          </w:p>
        </w:tc>
        <w:tc>
          <w:tcPr>
            <w:tcW w:w="15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90"/>
              </w:rPr>
              <w:t>17,459,436</w:t>
            </w:r>
          </w:p>
        </w:tc>
        <w:tc>
          <w:tcPr>
            <w:tcW w:w="1500" w:type="dxa"/>
            <w:vAlign w:val="bottom"/>
            <w:tcBorders>
              <w:bottom w:val="single" w:sz="8" w:color="auto"/>
              <w:right w:val="single" w:sz="8" w:color="auto"/>
            </w:tcBorders>
            <w:gridSpan w:val="2"/>
          </w:tcPr>
          <w:p>
            <w:pPr>
              <w:jc w:val="center"/>
              <w:ind w:left="6"/>
              <w:spacing w:after="0"/>
              <w:rPr>
                <w:sz w:val="20"/>
                <w:szCs w:val="20"/>
                <w:color w:val="auto"/>
              </w:rPr>
            </w:pPr>
            <w:r>
              <w:rPr>
                <w:rFonts w:ascii="Arial" w:cs="Arial" w:eastAsia="Arial" w:hAnsi="Arial"/>
                <w:sz w:val="18"/>
                <w:szCs w:val="18"/>
                <w:color w:val="auto"/>
                <w:w w:val="90"/>
              </w:rPr>
              <w:t>$50.07</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$874,193,960.52</w:t>
            </w:r>
          </w:p>
        </w:tc>
        <w:tc>
          <w:tcPr>
            <w:tcW w:w="1620" w:type="dxa"/>
            <w:vAlign w:val="bottom"/>
            <w:tcBorders>
              <w:bottom w:val="single" w:sz="8" w:color="auto"/>
            </w:tcBorders>
          </w:tcPr>
          <w:p>
            <w:pPr>
              <w:jc w:val="center"/>
              <w:ind w:left="162"/>
              <w:spacing w:after="0"/>
              <w:rPr>
                <w:sz w:val="20"/>
                <w:szCs w:val="20"/>
                <w:color w:val="auto"/>
              </w:rPr>
            </w:pPr>
            <w:r>
              <w:rPr>
                <w:rFonts w:ascii="Arial" w:cs="Arial" w:eastAsia="Arial" w:hAnsi="Arial"/>
                <w:sz w:val="18"/>
                <w:szCs w:val="18"/>
                <w:color w:val="auto"/>
                <w:w w:val="89"/>
              </w:rPr>
              <w:t>$112,596.18</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460" w:hanging="452"/>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is being registered hereunder an indeterminate number of debt securities and shares of common stock as may be sold, from time to time, by Diamondback Energy, Inc. in a primary offering. Any of these securities may be sold by the registrant separately, together or in units with other securities registered hereunder.</w:t>
      </w:r>
    </w:p>
    <w:p>
      <w:pPr>
        <w:spacing w:after="0" w:line="1" w:lineRule="exact"/>
        <w:rPr>
          <w:rFonts w:ascii="Arial" w:cs="Arial" w:eastAsia="Arial" w:hAnsi="Arial"/>
          <w:sz w:val="18"/>
          <w:szCs w:val="18"/>
          <w:color w:val="auto"/>
        </w:rPr>
      </w:pPr>
    </w:p>
    <w:p>
      <w:pPr>
        <w:ind w:left="460" w:right="50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accordance with Rules 456(b) and 457(r) under the Securities Act, the registrant is deferring payment of the registration fee with respect to the securities that may be offered by the registrant in a primary offering in connection with this Registration Statement.</w:t>
      </w:r>
    </w:p>
    <w:p>
      <w:pPr>
        <w:ind w:left="460" w:right="100" w:hanging="452"/>
        <w:spacing w:after="0" w:line="28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With respect to the shares of common stock that may be offered from time to time by any selling security holders in a secondary offering in connection with this Registration Statement, the proposed maximum offering price per unit and the proposed maximum aggregate offering price were estimated solely for purposes of calculating the registration fee, based on the average of the high and low prices for our common stock as quoted on The NASDAQ Global Select Market on November 1, 2013, in accordance with Rule 457(c) under the Securities Act of 1933, as amended.</w:t>
      </w:r>
    </w:p>
    <w:p>
      <w:pPr>
        <w:spacing w:after="0" w:line="2" w:lineRule="exact"/>
        <w:rPr>
          <w:rFonts w:ascii="Arial" w:cs="Arial" w:eastAsia="Arial" w:hAnsi="Arial"/>
          <w:sz w:val="16"/>
          <w:szCs w:val="16"/>
          <w:color w:val="auto"/>
        </w:rPr>
      </w:pPr>
    </w:p>
    <w:p>
      <w:pPr>
        <w:ind w:left="460" w:right="120" w:hanging="452"/>
        <w:spacing w:after="0" w:line="302"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subsidiaries of Diamondback Energy, Inc. named as co-registrants and any of its other existing and/or future subsidiaries may fully and unconditionally guarantee, on an unsecured basis, the debt securities of Diamondback Energy, Inc. No additional consideration will be received for the guarantees and in accordance with Rule 457(n), no separate fee is payable with respect to the guararntees of the debt securities being registered.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*Co-Registrants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right="1420"/>
        <w:spacing w:after="0" w:line="249" w:lineRule="auto"/>
        <w:rPr>
          <w:sz w:val="20"/>
          <w:szCs w:val="20"/>
          <w:color w:val="auto"/>
        </w:rPr>
      </w:pPr>
      <w:r>
        <w:rPr>
          <w:rFonts w:ascii="Arial" w:cs="Arial" w:eastAsia="Arial" w:hAnsi="Arial"/>
          <w:sz w:val="14"/>
          <w:szCs w:val="14"/>
          <w:b w:val="1"/>
          <w:bCs w:val="1"/>
          <w:color w:val="auto"/>
        </w:rPr>
        <w:t>Exact Name of Co-Registrant as Specified in its Charter(1)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5387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Diamondback O&amp;G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Diamondback E&amp;P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Viper Energy Partners LLC</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20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5"/>
              </w:rPr>
              <w:t>I.R.S. Employer</w:t>
            </w:r>
          </w:p>
        </w:tc>
      </w:tr>
      <w:tr>
        <w:trPr>
          <w:trHeight w:val="149"/>
        </w:trPr>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Incorporation or</w:t>
            </w:r>
          </w:p>
        </w:tc>
        <w:tc>
          <w:tcPr>
            <w:tcW w:w="20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Identification</w:t>
            </w:r>
          </w:p>
        </w:tc>
      </w:tr>
      <w:tr>
        <w:trPr>
          <w:trHeight w:val="171"/>
        </w:trPr>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Organization</w:t>
            </w:r>
          </w:p>
        </w:tc>
        <w:tc>
          <w:tcPr>
            <w:tcW w:w="20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r>
      <w:tr>
        <w:trPr>
          <w:trHeight w:val="236"/>
        </w:trPr>
        <w:tc>
          <w:tcPr>
            <w:tcW w:w="18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3460" w:type="dxa"/>
            <w:vAlign w:val="bottom"/>
            <w:gridSpan w:val="2"/>
          </w:tcPr>
          <w:p>
            <w:pPr>
              <w:jc w:val="center"/>
              <w:ind w:left="1990"/>
              <w:spacing w:after="0"/>
              <w:rPr>
                <w:sz w:val="20"/>
                <w:szCs w:val="20"/>
                <w:color w:val="auto"/>
              </w:rPr>
            </w:pPr>
            <w:r>
              <w:rPr>
                <w:rFonts w:ascii="Arial" w:cs="Arial" w:eastAsia="Arial" w:hAnsi="Arial"/>
                <w:sz w:val="18"/>
                <w:szCs w:val="18"/>
                <w:color w:val="auto"/>
                <w:w w:val="89"/>
              </w:rPr>
              <w:t>26-1409444</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3460" w:type="dxa"/>
            <w:vAlign w:val="bottom"/>
            <w:gridSpan w:val="2"/>
          </w:tcPr>
          <w:p>
            <w:pPr>
              <w:jc w:val="center"/>
              <w:ind w:left="1990"/>
              <w:spacing w:after="0"/>
              <w:rPr>
                <w:sz w:val="20"/>
                <w:szCs w:val="20"/>
                <w:color w:val="auto"/>
              </w:rPr>
            </w:pPr>
            <w:r>
              <w:rPr>
                <w:rFonts w:ascii="Arial" w:cs="Arial" w:eastAsia="Arial" w:hAnsi="Arial"/>
                <w:sz w:val="18"/>
                <w:szCs w:val="18"/>
                <w:color w:val="auto"/>
                <w:w w:val="89"/>
              </w:rPr>
              <w:t>36-4728559</w:t>
            </w:r>
          </w:p>
        </w:tc>
      </w:tr>
      <w:tr>
        <w:trPr>
          <w:trHeight w:val="230"/>
        </w:trPr>
        <w:tc>
          <w:tcPr>
            <w:tcW w:w="18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3460" w:type="dxa"/>
            <w:vAlign w:val="bottom"/>
            <w:gridSpan w:val="2"/>
          </w:tcPr>
          <w:p>
            <w:pPr>
              <w:jc w:val="center"/>
              <w:ind w:left="1990"/>
              <w:spacing w:after="0"/>
              <w:rPr>
                <w:sz w:val="20"/>
                <w:szCs w:val="20"/>
                <w:color w:val="auto"/>
              </w:rPr>
            </w:pPr>
            <w:r>
              <w:rPr>
                <w:rFonts w:ascii="Arial" w:cs="Arial" w:eastAsia="Arial" w:hAnsi="Arial"/>
                <w:sz w:val="18"/>
                <w:szCs w:val="18"/>
                <w:color w:val="auto"/>
                <w:w w:val="89"/>
              </w:rPr>
              <w:t>35-2486057</w:t>
            </w:r>
          </w:p>
        </w:tc>
      </w:tr>
    </w:tbl>
    <w:p>
      <w:pPr>
        <w:spacing w:after="0" w:line="200" w:lineRule="exact"/>
        <w:rPr>
          <w:sz w:val="20"/>
          <w:szCs w:val="20"/>
          <w:color w:val="auto"/>
        </w:rPr>
      </w:pPr>
    </w:p>
    <w:p>
      <w:pPr>
        <w:sectPr>
          <w:pgSz w:w="11900" w:h="16838" w:orient="portrait"/>
          <w:cols w:equalWidth="0" w:num="2">
            <w:col w:w="4340" w:space="720"/>
            <w:col w:w="6360"/>
          </w:cols>
          <w:pgMar w:left="240" w:top="459" w:right="239" w:bottom="1440" w:gutter="0" w:footer="0" w:header="0"/>
          <w:type w:val="continuous"/>
        </w:sectPr>
      </w:pPr>
    </w:p>
    <w:p>
      <w:pPr>
        <w:spacing w:after="0" w:line="29" w:lineRule="exact"/>
        <w:rPr>
          <w:sz w:val="20"/>
          <w:szCs w:val="20"/>
          <w:color w:val="auto"/>
        </w:rPr>
      </w:pPr>
    </w:p>
    <w:p>
      <w:pPr>
        <w:ind w:left="900" w:right="58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address of each Co-Registrant is c/o Diamondback Energy, Inc., 500 West Texas, Suite 1225 Midland, Texas 79701 and the telephone number for each Co-Registrant is (432) 221-7400.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172085</wp:posOffset>
            </wp:positionV>
            <wp:extent cx="2426970" cy="3517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697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Diamondback Energy, Inc.</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Senior Debt Securities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Subordinated Debt Securities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Guarantees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By this prospectus, we may offer and sell, from time to time in one or more offerings, our common stock and senior and subordinated debt securities, and one or more of our existing and future subsidiaries, including Diamondback O&amp;G LLC, Diamondback E&amp;P LLC and Viper Energy Partners LLC, may fully and unconditionally guarantee the principal of, and premium (if any) and interest on, such debt securities. This prospectus may be also used by the selling security holders named in this prospectus and any other selling security holders that may be identified in any applicable prospectus supplement in connection with resales, from time to time in one or more offerings, of up to 17,459,436 shares of our common stock held by such selling security holders. We refer to our common stock and debt securities that may be offered by us and/or selling security holders pursuant to this prospectus and any applicable prospectus supplement collectively as the “securities.”</w:t>
      </w:r>
    </w:p>
    <w:p>
      <w:pPr>
        <w:spacing w:after="0" w:line="189"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This prospectus provides you with a general description of the securities and the general manner in which we or selling security holders will offer the securities. Each time we or selling security holders sell securities, to the extent required, we will provide a supplement to this prospectus that contains specific information about the offering. The supplement may also add, update or change information contained in this prospectus. You should carefully read this prospectus, all prospectus supplements and all other documents incorporated by reference in this prospectus before you invest in our securities.</w:t>
      </w:r>
    </w:p>
    <w:p>
      <w:pPr>
        <w:spacing w:after="0" w:line="141"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NASDAQ Global Select Market under the symbol “FANG.”</w:t>
      </w:r>
    </w:p>
    <w:p>
      <w:pPr>
        <w:spacing w:after="0" w:line="221" w:lineRule="exact"/>
        <w:rPr>
          <w:sz w:val="20"/>
          <w:szCs w:val="20"/>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November 5, 2013.</w:t>
      </w:r>
    </w:p>
    <w:p>
      <w:pPr>
        <w:sectPr>
          <w:pgSz w:w="11900" w:h="16838" w:orient="portrait"/>
          <w:cols w:equalWidth="0" w:num="1">
            <w:col w:w="11420"/>
          </w:cols>
          <w:pgMar w:left="240" w:top="45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460" w:type="dxa"/>
            <w:vAlign w:val="bottom"/>
            <w:gridSpan w:val="1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6860" w:type="dxa"/>
            <w:vAlign w:val="bottom"/>
          </w:tcPr>
          <w:p>
            <w:pPr>
              <w:spacing w:after="0"/>
              <w:rPr>
                <w:sz w:val="17"/>
                <w:szCs w:val="17"/>
                <w:color w:val="auto"/>
              </w:rPr>
            </w:pPr>
          </w:p>
        </w:tc>
      </w:tr>
      <w:tr>
        <w:trPr>
          <w:trHeight w:val="534"/>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60" w:type="dxa"/>
            <w:vAlign w:val="bottom"/>
          </w:tcPr>
          <w:p>
            <w:pPr>
              <w:jc w:val="right"/>
              <w:ind w:right="4550"/>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44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686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196"/>
        </w:trPr>
        <w:tc>
          <w:tcPr>
            <w:tcW w:w="41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Cautionary Note Regarding Forward-Looking Statements</w:t>
              </w:r>
            </w:hyperlink>
          </w:p>
        </w:tc>
        <w:tc>
          <w:tcPr>
            <w:tcW w:w="300" w:type="dxa"/>
            <w:vAlign w:val="bottom"/>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10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Our Company</w:t>
              </w:r>
            </w:hyperlink>
          </w:p>
        </w:tc>
        <w:tc>
          <w:tcPr>
            <w:tcW w:w="3420" w:type="dxa"/>
            <w:vAlign w:val="bottom"/>
            <w:gridSpan w:val="13"/>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46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About the Subsidiary Guarantors</w:t>
              </w:r>
            </w:hyperlink>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Risk Factors</w:t>
              </w:r>
            </w:hyperlink>
          </w:p>
        </w:tc>
        <w:tc>
          <w:tcPr>
            <w:tcW w:w="1460" w:type="dxa"/>
            <w:vAlign w:val="bottom"/>
            <w:tcBorders>
              <w:top w:val="single" w:sz="8" w:color="0000EE"/>
            </w:tcBorders>
            <w:gridSpan w:val="9"/>
          </w:tcPr>
          <w:p>
            <w:pPr>
              <w:spacing w:after="0"/>
              <w:rPr>
                <w:sz w:val="17"/>
                <w:szCs w:val="17"/>
                <w:color w:val="auto"/>
              </w:rPr>
            </w:pPr>
          </w:p>
        </w:tc>
        <w:tc>
          <w:tcPr>
            <w:tcW w:w="2080" w:type="dxa"/>
            <w:vAlign w:val="bottom"/>
            <w:gridSpan w:val="6"/>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Use of Proceeds</w:t>
              </w:r>
            </w:hyperlink>
          </w:p>
        </w:tc>
        <w:tc>
          <w:tcPr>
            <w:tcW w:w="3280" w:type="dxa"/>
            <w:vAlign w:val="bottom"/>
            <w:gridSpan w:val="12"/>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2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Ratio of Earnings (Deficit) to Fixed Charges</w:t>
              </w:r>
            </w:hyperlink>
          </w:p>
        </w:tc>
        <w:tc>
          <w:tcPr>
            <w:tcW w:w="1240" w:type="dxa"/>
            <w:vAlign w:val="bottom"/>
            <w:gridSpan w:val="3"/>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7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Selling Security Holders</w:t>
              </w:r>
            </w:hyperlink>
          </w:p>
        </w:tc>
        <w:tc>
          <w:tcPr>
            <w:tcW w:w="2680" w:type="dxa"/>
            <w:vAlign w:val="bottom"/>
            <w:gridSpan w:val="8"/>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3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Description of Debt Securities and Guarantees</w:t>
              </w:r>
            </w:hyperlink>
          </w:p>
        </w:tc>
        <w:tc>
          <w:tcPr>
            <w:tcW w:w="1100" w:type="dxa"/>
            <w:vAlign w:val="bottom"/>
            <w:gridSpan w:val="2"/>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460" w:type="dxa"/>
            <w:vAlign w:val="bottom"/>
            <w:gridSpan w:val="1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Description of Capital Stock</w:t>
              </w:r>
            </w:hyperlink>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4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w:anchor="page38">
              <w:r>
                <w:rPr>
                  <w:rFonts w:ascii="Arial" w:cs="Arial" w:eastAsia="Arial" w:hAnsi="Arial"/>
                  <w:sz w:val="18"/>
                  <w:szCs w:val="18"/>
                  <w:color w:val="0000EE"/>
                  <w:w w:val="93"/>
                </w:rPr>
                <w:t>Plan of Distribution</w:t>
              </w:r>
            </w:hyperlink>
          </w:p>
        </w:tc>
        <w:tc>
          <w:tcPr>
            <w:tcW w:w="620" w:type="dxa"/>
            <w:vAlign w:val="bottom"/>
            <w:tcBorders>
              <w:top w:val="single" w:sz="8" w:color="0000EE"/>
            </w:tcBorders>
            <w:gridSpan w:val="3"/>
          </w:tcPr>
          <w:p>
            <w:pPr>
              <w:spacing w:after="0"/>
              <w:rPr>
                <w:sz w:val="17"/>
                <w:szCs w:val="17"/>
                <w:color w:val="auto"/>
              </w:rPr>
            </w:pPr>
          </w:p>
        </w:tc>
        <w:tc>
          <w:tcPr>
            <w:tcW w:w="2400" w:type="dxa"/>
            <w:vAlign w:val="bottom"/>
            <w:gridSpan w:val="7"/>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8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Where You Can Find More Information</w:t>
              </w:r>
            </w:hyperlink>
          </w:p>
        </w:tc>
        <w:tc>
          <w:tcPr>
            <w:tcW w:w="1580" w:type="dxa"/>
            <w:vAlign w:val="bottom"/>
            <w:gridSpan w:val="4"/>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8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Information Incorporated by Reference</w:t>
              </w:r>
            </w:hyperlink>
          </w:p>
        </w:tc>
        <w:tc>
          <w:tcPr>
            <w:tcW w:w="1620" w:type="dxa"/>
            <w:vAlign w:val="bottom"/>
            <w:gridSpan w:val="5"/>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Legal Matters</w:t>
              </w:r>
            </w:hyperlink>
          </w:p>
        </w:tc>
        <w:tc>
          <w:tcPr>
            <w:tcW w:w="3440" w:type="dxa"/>
            <w:vAlign w:val="bottom"/>
            <w:gridSpan w:val="14"/>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Experts</w:t>
              </w:r>
            </w:hyperlink>
          </w:p>
        </w:tc>
        <w:tc>
          <w:tcPr>
            <w:tcW w:w="3900" w:type="dxa"/>
            <w:vAlign w:val="bottom"/>
            <w:gridSpan w:val="16"/>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46"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is part of a “shelf” registration statement that we filed with the Securities and Exchange Commission, or the SEC, as a “well-known seasoned issuer” (as defined in Rule 405 of the Securities Act of 1933, as amended, or the Securities Act), using a “shelf” registration process. Under this shelf registration process, we may, from time to time, offer and/or sell any combination of the securities described in this prospectus, and the selling security holders named in this prospectus or that may be identified in an applicable prospectus supplement, may, from time to time, resell up to 17,459,436 shares of our common stock, in each case in one or more offerings. This prospectus provides you with a general description of the securities we and/or selling security holders may offer. This prospectus does not contain all the information set forth in the registration statement as permitted by the rules of the SEC. Each time we or selling security holders sell securities, to the extent required, we will provide a supplement to this prospectus that will contain specific information about the terms of that offering. That prospectus supplement may also add, update or change information contained in this prospectus. Before purchasing any securities, you should carefully read both this prospectus and any applicable prospectus supplement, together with the additional information described in this prospectus under the headings “Where You Can Find More Information” and “Information Incorporated by Reference.”</w:t>
      </w:r>
    </w:p>
    <w:p>
      <w:pPr>
        <w:spacing w:after="0" w:line="169"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You should rely only on the information contained in this prospectus and in any applicable prospectus supplement, including any information incorporated by reference. Neither we nor the selling security holders have authorized any other person to provide you with different information. If anyone provides you with different or inconsistent information, you should not rely on it. You should not assume that the information appearing in this prospectus, any prospectus supplement or any document incorporated by reference is accurate at any date other than as of the date of each such document. Our business, financial condition, results of operations and prospects may have changed since the date indicated on the cover page of such documents.</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distribution of this prospectus may be restricted by law in certain jurisdictions. You should inform yourself about and observe any of these restrictions. This prospectus does not constitute, and may not be used in connection with, an offer or solicitation by anyone in any jurisdiction in which the offer or solicitation is not authorized, or in which the person making the offer or solicitation is not qualified to do so, or to any person to whom it is unlawful to make the offer or solicitation.</w:t>
      </w:r>
    </w:p>
    <w:p>
      <w:pPr>
        <w:spacing w:after="0" w:line="18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When used in this prospectus or in any supplement to this prospectus, the terms “Diamondback Energy,” the “Company,” “we,” “our” and “us” refer to Diamondback Energy, Inc. and its consolidated subsidiaries, unless otherwise indicated or the context otherwise requires.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This prospectus, including the documents incorporated by reference, contains forward-looking statements. These forward-looking statements are subject to a number of risks and uncertainties, many of which are beyond our control, which may include statements about our:</w:t>
      </w:r>
    </w:p>
    <w:p>
      <w:pPr>
        <w:spacing w:after="0" w:line="5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exploration and development drilling prospects, inventories, projects and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regarding the consummation of any acquisitions;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oil and natural gas reserves;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identified drilling locations;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to obtain permits and governmental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strategy;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realized oil and natural gas prices;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lease operating expenses, general and administrative costs and finding and development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operating results;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plans, objectives, expectations and intentions.</w:t>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All of these types of statements, other than statements of historical fact included or incorporated by reference in this prospectus, are forward-looking statements. In some cases, you can identify forward-looking statements by terminology such as “may,” “could,” “should,” “expect,” “plan,” “project,” “intend,” “anticipate,” “believe,” “estimate,” “predict,” “potential,” “pursue,” “target,” “seek,” “objective” or “continue,” the negative of such terms or other comparable terminology.</w:t>
      </w:r>
    </w:p>
    <w:p>
      <w:pPr>
        <w:spacing w:after="0" w:line="18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forward-looking statements contained or incorporated by reference in this prospectus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 addition, our management’s assumptions about future events may prove to be inaccurate. Our management cautions all readers that the forward-looking statements contained in this prospectus are not guarantees of future performance, and we cannot assure any reader that such statements will be realized or the forward-looking events and circumstances will occur. Actual results may differ materially from those anticipated or implied in the forward-looking statements due to the many factors including those described under “Risk Factors” incorporated by reference herein and elsewhere in this prospectus. All forward-looking statements contained in this prospectus or included in a document incorporated by reference herein speak only as of the date hereof or thereof, respectively. We do not intend to publicly update or revise any forward-looking statements as a result of new information, future events or otherwise. These cautionary statements qualify all forward-looking statements attributable to us or persons acting on our behalf.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an independent oil and natural gas company currently focused on the acquisition, development, exploration and exploitation of unconventional, onshore oil and natural gas reserves in the Permian Basin in West Texas. This basin, which is one of the major producing basins in the United States, is characterized by an extensive production history, a favorable operating environment, mature infrastructure, long reserve life, multiple producing horizons, enhanced recovery potential and a large number of operators.</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activities are primarily focused on the Clearfork, Spraberry, Wolfcamp, Cline, Strawn and Atoka formations, which we refer to collectively as the Wolfberry play. The Wolfberry play is characterized by high oil and liquids rich natural gas, multiple vertical and horizontal target horizons, extensive production history, long-lived reserves and high drilling success rates. The Wolfberry play is a modification and extension of the Spraberry play, the majority of which is designated in the Spraberry trend area field.</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principal executive offices are located at 500 West Texas, Suite 1225, Midland, Texas, and our telephone number at that address is (432) 221-7400. We also lease additional office space in Midland and in Oklahoma City, Oklahoma. Our website address is www.diamondbackenergy.com. Information contained on our website does not constitute part of this prospectus.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THE SUBSIDIARY GUARANTORS</w:t>
      </w:r>
    </w:p>
    <w:p>
      <w:pPr>
        <w:spacing w:after="0" w:line="229"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One or more of our existing and any future subsidiaries may jointly and severally, fully and unconditionally guarantee our payment obligations under any series of debt securities offered by this prospectus. Financial information concerning our guarantor subsidiaries and non-guarantor subsidiaries, if any, is included in our consolidated financial statements filed as a part of our periodic reports filed pursuant to the Securities Exchange Act of 1934, as amended, or the Exchange Act, to the extent required by the rules and regulations of the SEC.</w:t>
      </w:r>
    </w:p>
    <w:p>
      <w:pPr>
        <w:spacing w:after="0" w:line="18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Additional information concerning our subsidiaries and us is, or will be, as the case may be, included in the reports and other documents incorporated by reference in this prospectus or any applicable prospectus supplement. See “Where You Can Find More Information.”</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Investment in our securities involves certain risks. You should carefully consider the factors contained below and in our annual report on Form 10-K for the fiscal year ended December 31, 2012 under the headings “Risk Factors” and “Management’s Discussion and Analysis of Financial Condition and Results of Operations—Critical Accounting Estimates” and in any other filings we made with the SEC prior to the filing of this prospectus under the heading “Risk Factors” before investing in our securities. You should also consider similar information contained in any annual report on Form 10-K or other document filed by us with the SEC after the date of this prospectus before deciding to invest in our securities. We will also include in any prospectus supplement a description of any other risk factors applicable to an offering contemplated by such prospectus supplement. Additional risks and uncertainties not currently known to us or that we currently view as immaterial may also impair our business operations. Any of these risks could materially and adversely affect our business, financial condition, results of operations and cash flows and could result in a loss of all or part of your investment.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two largest stockholders, Wexford Capital LP, or Wexford Capital, and Gulfport Energy Corporation, or Gulfport, control a significant percentage of our common stock, and their interests may conflict with those of our other stockholders.</w:t>
      </w:r>
    </w:p>
    <w:p>
      <w:pPr>
        <w:spacing w:after="0" w:line="6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Gulfport and certain affiliates of Wexford Capital are included as selling security holders in this prospectus. As of the date of this prospectus, Wexford Capital and Gulfport beneficially owned approximately 25.0% and 12.1%, respectively, of our common stock. In addition, individuals affiliated with Wexford Capital and Gulfport serve on our Board of Directors, and Gulfport has the right to designate one individual as a nominee for election to our Board of Directors so long as it continues to beneficially own more than 10% of our outstanding common stock. As a result, Wexford Capital and Gulfport will be able to exercise significant influence over matters requiring stockholder approval, including the election of directors, changes to our organizational documents and significant corporate transactions. This concentration of ownership makes it unlikely that any other holder or group of holders of our common stock will be able to affect the way we are managed or the direction of our business. The interests of Wexford Capital and Gulfport with respect to matters potentially or actually involving or affecting us, such as future acquisitions, financings and other corporate opportunities and attempts to acquire us, may conflict with the interests of our other stockholders. This concentrated ownership will make it difficult for another company to acquire us and for you to receive any related takeover premium for your shares unless Wexford Capital and Gulfport approve the acquisition.</w:t>
      </w:r>
    </w:p>
    <w:p>
      <w:pPr>
        <w:spacing w:after="0" w:line="27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corporate opportunity provisions in our certificate of incorporation could enable Wexford Capital, our equity sponsor, or other affiliates of ours to benefit from corporate opportunities that might otherwise be available to us.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limitations of applicable law, our certificate of incorporation, among other things:</w:t>
      </w:r>
    </w:p>
    <w:p>
      <w:pPr>
        <w:spacing w:after="0" w:line="13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permits us to enter into transactions with entities in which one or more of our officers or directors are financially or otherwise interested;</w:t>
      </w:r>
    </w:p>
    <w:p>
      <w:pPr>
        <w:spacing w:after="0" w:line="142" w:lineRule="exact"/>
        <w:rPr>
          <w:rFonts w:ascii="Arial" w:cs="Arial" w:eastAsia="Arial" w:hAnsi="Arial"/>
          <w:sz w:val="17"/>
          <w:szCs w:val="17"/>
          <w:color w:val="auto"/>
        </w:rPr>
      </w:pPr>
    </w:p>
    <w:p>
      <w:pPr>
        <w:ind w:left="900" w:right="14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permits any of our stockholders, officers or directors to conduct business that competes with us and to make investments in any kind of property in which we may make investments; and</w:t>
      </w:r>
    </w:p>
    <w:p>
      <w:pPr>
        <w:spacing w:after="0" w:line="75" w:lineRule="exact"/>
        <w:rPr>
          <w:rFonts w:ascii="Arial" w:cs="Arial" w:eastAsia="Arial" w:hAnsi="Arial"/>
          <w:sz w:val="18"/>
          <w:szCs w:val="18"/>
          <w:color w:val="auto"/>
        </w:rPr>
      </w:pPr>
    </w:p>
    <w:p>
      <w:pPr>
        <w:ind w:left="900" w:hanging="325"/>
        <w:spacing w:after="0" w:line="297"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provides that if any director or officer of one of our affiliates who is also one of our officers or directors becomes aware of a potential business opportunity, transaction or other matter (other than one expressly offered to that director or officer in writing solely in his or her capacity as our director or officer), that director or officer will have no duty to communicate or offer that opportunity to us, and will be permitted to communicate or offer that opportunity to such affiliates and that director or officer will not be deemed to have (i) acted in a manner inconsistent with his or her fiduciary or other duties to us regarding the opportunity or (ii) acted in bad faith or in a manner inconsistent with our best interests.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These provisions create the possibility that a corporate opportunity that would otherwise be available to us may be used for the benefit of one of our affiliates.</w:t>
      </w:r>
    </w:p>
    <w:p>
      <w:pPr>
        <w:spacing w:after="0" w:line="3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have engaged in transactions with our affiliates and expect to do so in the future. The terms of such transactions and the resolution of any conflicts that may arise may not always be in our or our stockholders’ best interests.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engaged in transactions and expect to continue to engage in transactions with affiliated companies. As described under the caption “Certain Relationships and Related Party Transactions” incorporated by reference into this prospectus from our definitive proxy statement on Schedule 14A, these transactions include, among others, drilling services provided to us by Bison Drilling and Field Services, LLC, real property leased by us from Fasken Midland, LLC and Caliber Investment Croup, LLC, hydraulic fracturing sand purchased by us from Muskie Proppant LLC and certain administrative services provided to us by Everest Operations Management LLC. Each of these entities is either controlled by or affiliated with Wexford Capital, and the resolution of any conflicts that may arise in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connection with such related party transactions, including pricing, duration or other terms of service, may not always be in our or our stockholders’ best interests because Wexford Capital may have the ability to influence the outcome of these conflicts. For a discussion of potential conflicts, see “—Risks Related to this Offering and our Common Stock—Our two largest stockholders control a significant percentage of our common stock, and their interests may conflict with those of our other stockholders” beginning on page 2 of this prospectus.</w:t>
      </w:r>
    </w:p>
    <w:p>
      <w:pPr>
        <w:spacing w:after="0" w:line="2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and through December 31, 2013 will remain, an “emerging growth company,” as defined in the Jumpstart Our Business Startups Act of 2012, and until we cease to be an emerging growth company we may take advantage of certain exemptions from various reporting requirements that are applicable to other public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Investors may find our common stock less attractive because we rely on these exemptions. If some investors find our common stock less attractive as a result, there may be a less active trading market for our common stock and our stock price may be more volatile.</w:t>
      </w:r>
    </w:p>
    <w:p>
      <w:pPr>
        <w:spacing w:after="0" w:line="167"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Under the Jumpstart Our Business Startups Act, “emerging growth companies” can delay adopting new or revised accounting standards until such time as those standards apply to private companies. We have irrevocably elected not to avail ourselves to this exemption from new or revised accounting standards and, therefore, we will be subject to the same new or revised accounting standards as other public companies that are not “emerging growth companies.”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increased costs as a result of being a public company, which may significantly affect our financial condition.</w:t>
      </w:r>
    </w:p>
    <w:p>
      <w:pPr>
        <w:spacing w:after="0" w:line="117"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6"/>
          <w:szCs w:val="16"/>
          <w:color w:val="auto"/>
        </w:rPr>
        <w:t>We completed our initial public offering in October 2012. As a public company, we incur significant legal, accounting and other expenses that we did not incur as a private company. We also incur costs associated with our public company reporting requirements and with corporate governance requirements, including requirements under the Sarbanes-Oxley Act of 2002, as well as rules implemented by the SEC and the Financial Industry Regulatory Authority.</w:t>
      </w:r>
    </w:p>
    <w:p>
      <w:pPr>
        <w:ind w:right="60"/>
        <w:spacing w:after="0" w:line="253" w:lineRule="auto"/>
        <w:rPr>
          <w:sz w:val="20"/>
          <w:szCs w:val="20"/>
          <w:color w:val="auto"/>
        </w:rPr>
      </w:pPr>
      <w:r>
        <w:rPr>
          <w:rFonts w:ascii="Arial" w:cs="Arial" w:eastAsia="Arial" w:hAnsi="Arial"/>
          <w:sz w:val="18"/>
          <w:szCs w:val="18"/>
          <w:color w:val="auto"/>
        </w:rPr>
        <w:t>These rules and regulations increase our legal and financial compliance costs and make some activities more time-consuming and costly, and we expect that these costs may increase further after we are no longer an “emerging growth company.” These rules and regulations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price of our common stock fluctuates significantly, your investment could lose value.</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Although our common stock is listed on the NASDAQ Select Global Market, we cannot assure you that an active public market will continue for our common stock. If an active public market for our common stock does not continue, the trading price and liquidity of our common stock will be materially and adversely affected. If there is a thin trading market or “float” for our stock, the market price for our common stock may fluctuate significantly more than the stock market as a whole. Without a large float, our common stock would be less liquid than the stock of companies with broader public ownership and, as a result, the trading prices of our common stock may be more volatile. In addition, in the absence of an active public trading market, investors may be unable to liquidate their investment in us. Furthermore, the stock market is subject to significant price and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volume fluctuations, and the price of our common stock could fluctuate widely in response to several factors, including:</w:t>
      </w:r>
    </w:p>
    <w:p>
      <w:pPr>
        <w:spacing w:after="0" w:line="13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quarterly or annual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earnings estimates;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 recommendations by securities analysts following our business or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business, earnings estimates or market perceptions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achieve operating results consistent with securities analysts’ projections;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industry, general market or economic conditions;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of legislative or regulatory changes.</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stock market has experienced extreme price and volume fluctuations in recent years that have significantly affected the quoted prices of the securities of many companies, including companies in our industry. The changes often appear to occur without regard to specific operating performance. The price of our common stock could fluctuate based upon factors that have little or nothing to do with our company and these fluctuations could materially reduce our stock price.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or the perception that such future sales may occur, may cause our stock price to decline.</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Sales of substantial amounts of our common stock in the public market, or the perception that these sales may occur, could cause the market price of our common stock to decline. In addition, the sale of such shares, or the perception that such sales may occur, could impair our ability to raise capital through the sale of additional common or preferred stock. Except for any shares purchased by our affiliates, all of the shares of common stock sold in our initial public offering and our subsequent offerings are, and all of the shares of common stock sold under this prospectus or in any applicable prospectus supplement will be, freely tradable. In connection with our initial public offering, we also granted DB Energy Holdings LLC, or DB Holdings, and Gulfport and their respective affiliates certain registration rights obligating us to register with the SEC their shares of our common stock. The selling security holders’ shares included in the registration statement of which this prospectus is a part are being registered in accordance with these obligations. In the event that one or more of our stockholders sells a substantial amount of our common stock in the public market, or the market perceives that such sales may occur, the price of our stock could decline.</w:t>
      </w: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if they adversely change their recommendations regarding our stock or if our operating results do not meet their expectations, our stock price could decline.</w:t>
      </w:r>
    </w:p>
    <w:p>
      <w:pPr>
        <w:spacing w:after="0" w:line="6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Moreover, if one or more of the analysts who cover our company downgrade our stock or if our operating results do not meet their expectations, our stock price could decline.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stock whose terms could adversely affect the voting power or value of our common stock.</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certificate of incorporation authorizes us to issue, without the approval of our stockholders, one or more classes or series of preferred stock having such designations, preferences, limitations and relative rights,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including preferences over our common stock respecting dividends and distributions, as our board of directors may determine. The terms of one or more classes or series of preferred stock could adversely impact the voting power or value of our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common stock.</w:t>
      </w:r>
    </w:p>
    <w:p>
      <w:pPr>
        <w:spacing w:after="0" w:line="29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Delaware law make it more difficult to effect a change in control of the company, which could adversely affect the price of our common stock.</w:t>
      </w:r>
    </w:p>
    <w:p>
      <w:pPr>
        <w:spacing w:after="0" w:line="62"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existence of some provisions in our certificate of incorporation and bylaws and Delaware corporate law could delay or prevent a change in control of our company, even if that change would be beneficial to our stockholders. Our certificate of incorporation and bylaws contain provisions that may make acquiring control of our company difficult, including:</w:t>
      </w:r>
    </w:p>
    <w:p>
      <w:pPr>
        <w:spacing w:after="0" w:line="87" w:lineRule="exact"/>
        <w:rPr>
          <w:sz w:val="20"/>
          <w:szCs w:val="20"/>
          <w:color w:val="auto"/>
        </w:rPr>
      </w:pPr>
    </w:p>
    <w:p>
      <w:pPr>
        <w:ind w:left="900" w:right="34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provisions regulating the ability of our stockholders to nominate directors for election or to bring matters for action at annual meetings of our stockholders;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the ability of our stockholders to call a special meeting and act by written consent;</w:t>
      </w:r>
    </w:p>
    <w:p>
      <w:pPr>
        <w:spacing w:after="0" w:line="130" w:lineRule="exact"/>
        <w:rPr>
          <w:rFonts w:ascii="Arial" w:cs="Arial" w:eastAsia="Arial" w:hAnsi="Arial"/>
          <w:sz w:val="18"/>
          <w:szCs w:val="18"/>
          <w:color w:val="auto"/>
        </w:rPr>
      </w:pPr>
    </w:p>
    <w:p>
      <w:pPr>
        <w:ind w:left="900" w:right="360" w:hanging="325"/>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ability of our board of directors to adopt, amend or repeal bylaws, and the requirement that the affirmative vote of holders representing at least 66 2/3% of the voting power of all outstanding shares of capital stock be obtained for stockholders to amend our bylaws;</w:t>
      </w:r>
    </w:p>
    <w:p>
      <w:pPr>
        <w:spacing w:after="0" w:line="29" w:lineRule="exact"/>
        <w:rPr>
          <w:rFonts w:ascii="Arial" w:cs="Arial" w:eastAsia="Arial" w:hAnsi="Arial"/>
          <w:sz w:val="16"/>
          <w:szCs w:val="16"/>
          <w:color w:val="auto"/>
        </w:rPr>
      </w:pPr>
    </w:p>
    <w:p>
      <w:pPr>
        <w:ind w:left="900" w:right="6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requirement that the affirmative vote of holders representing at least 66 2/3% of the voting power of all outstanding shares of capital stock be obtained to remove directors;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requirement that the affirmative vote of holders representing at least 66 2/3% of the voting power of all outstanding shares of capital stock be obtained to amend our certificate of incorporation;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authorization given to our board of directors to issue and set the terms of preferred stock without the approval of our stockholders.</w:t>
      </w:r>
    </w:p>
    <w:p>
      <w:pPr>
        <w:spacing w:after="0" w:line="23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These provisions also could discourage proxy contests and make it more difficult for you and other stockholders to elect directors and take other corporate actions. As a result, these provisions could make it more difficult for a third party to acquire us, even if doing so would benefit our stockholders, which may limit the price that investors are willing to pay in the future for shares of our common stock.</w:t>
      </w:r>
    </w:p>
    <w:p>
      <w:pPr>
        <w:spacing w:after="0" w:line="2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do not intend to pay cash dividends on our common stock in the foreseeable future, and therefore only appreciation of the price of our common stock will provide a return to our stockholders.</w:t>
      </w:r>
    </w:p>
    <w:p>
      <w:pPr>
        <w:spacing w:after="0" w:line="6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currently anticipate that we will retain all future earnings, if any, to finance the growth and development of our business. We do not intend to pay cash dividends in the foreseeable future. Any future determination as to the declaration and payment of cash dividends will be at the discretion of our board of directors and will depend upon our financial condition, results of operations, contractual restrictions, capital requirements, business prospects and other factors deemed relevant by our board of directors. In addition, the terms of our revolving credit facility prohibit us from paying dividends and making other distributions. As a result, only appreciation of the price of our common stock, which may not occur, will provide a return to our stockholders.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Unless the applicable prospectus supplement indicates otherwise, we intend to use the net proceeds from the sale of the securities by us for general corporate purposes, including without limitation repaying or refinancing all or a portion of our existing short-term and long-term debt, making acquisitions of assets, businesses or securities, capital expenditures and for working capital. The precise amount and timing of the application of such proceeds will depend upon our funding requirements and the availability and cost of other capital. Pending any specific application of the net proceeds, we intend to invest our net proceeds in short-term, investment-grade securities, interest-bearing securities or guaranteed obligations of the United States or its agencies.</w:t>
      </w:r>
    </w:p>
    <w:p>
      <w:pPr>
        <w:spacing w:after="0" w:line="158"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We will not receive any proceeds from the sale of any shares of common stock by selling security holders, unless we otherwise indicate in any applicable prospectus supplement.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(DEFICIT) TO FIXED CHARGES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sets forth our ratios of earnings (deficit) to fixed charges for the periods indicated. We have calculated the ratio of earnings (deficit) to fixed charges by dividing the sum of income from continuing operations plus fixed charges by fixed charges. Fixed charges consist of interest expense. The financial measures used in this table may not be comparable to similarly titled financial measures used in our various agreements, including our revolving credit facility and the indenture that governs our outstanding senior notes.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Nine Months</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080" w:type="dxa"/>
            <w:vAlign w:val="bottom"/>
          </w:tcPr>
          <w:p>
            <w:pPr>
              <w:spacing w:after="0"/>
              <w:rPr>
                <w:sz w:val="22"/>
                <w:szCs w:val="22"/>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Ended</w:t>
            </w:r>
          </w:p>
        </w:tc>
        <w:tc>
          <w:tcPr>
            <w:tcW w:w="3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708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2012</w:t>
            </w:r>
          </w:p>
        </w:tc>
        <w:tc>
          <w:tcPr>
            <w:tcW w:w="300" w:type="dxa"/>
            <w:vAlign w:val="bottom"/>
          </w:tcPr>
          <w:p>
            <w:pPr>
              <w:spacing w:after="0"/>
              <w:rPr>
                <w:sz w:val="24"/>
                <w:szCs w:val="24"/>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2011</w:t>
            </w:r>
          </w:p>
        </w:tc>
        <w:tc>
          <w:tcPr>
            <w:tcW w:w="300" w:type="dxa"/>
            <w:vAlign w:val="bottom"/>
          </w:tcPr>
          <w:p>
            <w:pPr>
              <w:spacing w:after="0"/>
              <w:rPr>
                <w:sz w:val="24"/>
                <w:szCs w:val="24"/>
                <w:color w:val="auto"/>
              </w:rPr>
            </w:pPr>
          </w:p>
        </w:tc>
        <w:tc>
          <w:tcPr>
            <w:tcW w:w="3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2008</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0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(deficit) to fixed charges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11.9</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660" w:right="3380" w:hanging="5652"/>
        <w:spacing w:after="0" w:line="449" w:lineRule="auto"/>
        <w:tabs>
          <w:tab w:leader="none" w:pos="4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Earnings were inadequate to cover fixed charges for the year ended December 31, 2008 by $85.0 million. 7</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 HOLDERS</w:t>
      </w:r>
    </w:p>
    <w:p>
      <w:pPr>
        <w:spacing w:after="0" w:line="22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shares of our common stock covered by this prospectus are being offered by the selling security holders listed in the table below. This prospectus will not cover subsequent sales of common stock purchased from a selling security holder named in this prospectus.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offer or sale under this prospectus may be made by a security holder unless that holder is listed in the table below, in a supplement to this prospectus or in an amendment to the related registration statement that has become effective. We may supplement or amend this prospectus to include additional selling security holders upon provision of all required information to us and subject to the terms of the relevant agreement between us and certain of the selling security holders.</w:t>
      </w:r>
    </w:p>
    <w:p>
      <w:pPr>
        <w:spacing w:after="0" w:line="18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following table sets forth the maximum number of shares of our common stock that may be sold by the selling security holders. We cannot predict when or in what amount any selling security holder may sell any of the shares offered by such selling security holder in this prospectus, if at all. The table also sets forth the name of each selling security holder, the nature of any position, office, or other material relationship which the selling security holder has had, within the past three years, with us or with any of our predecessors or affiliates, and the number of shares of our common stock to be owned by such selling security holder after completion of the offering. We are filing the registration statement of which this prospectus is a part pursuant to contractual obligations with certain of the selling security holders, as described in more detail below. We will pay all expenses relating to the registration of the shares by the selling security holders under the Securities Act and any other offering expenses, except that the selling security holders will pay any underwriting discounts or commissions.</w:t>
      </w:r>
    </w:p>
    <w:p>
      <w:pPr>
        <w:spacing w:after="0" w:line="19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prepared the table based on information provided to us by the selling security holders. We have not sought to verify such information. Additionally, the selling security holders may have sold or transferred some or all of their shares of our common stock in transactions exempt from the registration requirements of the Securities Act since the date on which the information in the table was provided to us. Other information about the selling security holders may also change over time.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otherwise indicated, each selling security holder has sole voting and dispositive power with respect to such shares.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980" w:type="dxa"/>
            <w:vAlign w:val="bottom"/>
            <w:gridSpan w:val="4"/>
            <w:vMerge w:val="restart"/>
          </w:tcPr>
          <w:p>
            <w:pPr>
              <w:jc w:val="center"/>
              <w:ind w:right="660"/>
              <w:spacing w:after="0"/>
              <w:rPr>
                <w:sz w:val="20"/>
                <w:szCs w:val="20"/>
                <w:color w:val="auto"/>
              </w:rPr>
            </w:pPr>
            <w:r>
              <w:rPr>
                <w:rFonts w:ascii="Arial" w:cs="Arial" w:eastAsia="Arial" w:hAnsi="Arial"/>
                <w:sz w:val="14"/>
                <w:szCs w:val="14"/>
                <w:b w:val="1"/>
                <w:bCs w:val="1"/>
                <w:color w:val="auto"/>
                <w:w w:val="91"/>
              </w:rPr>
              <w:t>Shares of Common Stock</w:t>
            </w:r>
          </w:p>
        </w:tc>
        <w:tc>
          <w:tcPr>
            <w:tcW w:w="15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Shares of</w:t>
            </w:r>
          </w:p>
        </w:tc>
        <w:tc>
          <w:tcPr>
            <w:tcW w:w="21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0"/>
              </w:rPr>
              <w:t>Shares of Common Stock</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980" w:type="dxa"/>
            <w:vAlign w:val="bottom"/>
            <w:gridSpan w:val="4"/>
            <w:vMerge w:val="continue"/>
          </w:tcPr>
          <w:p>
            <w:pPr>
              <w:spacing w:after="0"/>
              <w:rPr>
                <w:sz w:val="12"/>
                <w:szCs w:val="12"/>
                <w:color w:val="auto"/>
              </w:rPr>
            </w:pPr>
          </w:p>
        </w:tc>
        <w:tc>
          <w:tcPr>
            <w:tcW w:w="15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2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98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Beneficially Owned Prior to the</w:t>
            </w:r>
          </w:p>
        </w:tc>
        <w:tc>
          <w:tcPr>
            <w:tcW w:w="15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Being Offered</w:t>
            </w:r>
          </w:p>
        </w:tc>
        <w:tc>
          <w:tcPr>
            <w:tcW w:w="21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Beneficially Owned After</w:t>
            </w:r>
          </w:p>
        </w:tc>
        <w:tc>
          <w:tcPr>
            <w:tcW w:w="0" w:type="dxa"/>
            <w:vAlign w:val="bottom"/>
          </w:tcPr>
          <w:p>
            <w:pPr>
              <w:spacing w:after="0"/>
              <w:rPr>
                <w:sz w:val="1"/>
                <w:szCs w:val="1"/>
                <w:color w:val="auto"/>
              </w:rPr>
            </w:pPr>
          </w:p>
        </w:tc>
      </w:tr>
      <w:tr>
        <w:trPr>
          <w:trHeight w:val="171"/>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Selling Security Holder</w:t>
            </w:r>
          </w:p>
        </w:tc>
        <w:tc>
          <w:tcPr>
            <w:tcW w:w="2740" w:type="dxa"/>
            <w:vAlign w:val="bottom"/>
            <w:vMerge w:val="restart"/>
          </w:tcPr>
          <w:p>
            <w:pPr>
              <w:spacing w:after="0"/>
              <w:rPr>
                <w:sz w:val="14"/>
                <w:szCs w:val="14"/>
                <w:color w:val="auto"/>
              </w:rPr>
            </w:pPr>
          </w:p>
        </w:tc>
        <w:tc>
          <w:tcPr>
            <w:tcW w:w="1560" w:type="dxa"/>
            <w:vAlign w:val="bottom"/>
            <w:gridSpan w:val="2"/>
          </w:tcPr>
          <w:p>
            <w:pPr>
              <w:jc w:val="center"/>
              <w:ind w:left="657"/>
              <w:spacing w:after="0"/>
              <w:rPr>
                <w:sz w:val="20"/>
                <w:szCs w:val="20"/>
                <w:color w:val="auto"/>
              </w:rPr>
            </w:pPr>
            <w:r>
              <w:rPr>
                <w:rFonts w:ascii="Arial" w:cs="Arial" w:eastAsia="Arial" w:hAnsi="Arial"/>
                <w:sz w:val="14"/>
                <w:szCs w:val="14"/>
                <w:b w:val="1"/>
                <w:bCs w:val="1"/>
                <w:color w:val="auto"/>
                <w:w w:val="97"/>
              </w:rPr>
              <w:t>Offering(1)</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Hereby</w:t>
            </w:r>
          </w:p>
        </w:tc>
        <w:tc>
          <w:tcPr>
            <w:tcW w:w="21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Completion of the Offering</w:t>
            </w:r>
          </w:p>
        </w:tc>
        <w:tc>
          <w:tcPr>
            <w:tcW w:w="0" w:type="dxa"/>
            <w:vAlign w:val="bottom"/>
          </w:tcPr>
          <w:p>
            <w:pPr>
              <w:spacing w:after="0"/>
              <w:rPr>
                <w:sz w:val="1"/>
                <w:szCs w:val="1"/>
                <w:color w:val="auto"/>
              </w:rPr>
            </w:pPr>
          </w:p>
        </w:tc>
      </w:tr>
      <w:tr>
        <w:trPr>
          <w:trHeight w:val="142"/>
        </w:trPr>
        <w:tc>
          <w:tcPr>
            <w:tcW w:w="2000" w:type="dxa"/>
            <w:vAlign w:val="bottom"/>
            <w:tcBorders>
              <w:bottom w:val="single" w:sz="8" w:color="auto"/>
            </w:tcBorders>
            <w:vMerge w:val="continue"/>
          </w:tcPr>
          <w:p>
            <w:pPr>
              <w:spacing w:after="0"/>
              <w:rPr>
                <w:sz w:val="12"/>
                <w:szCs w:val="12"/>
                <w:color w:val="auto"/>
              </w:rPr>
            </w:pPr>
          </w:p>
        </w:tc>
        <w:tc>
          <w:tcPr>
            <w:tcW w:w="2740" w:type="dxa"/>
            <w:vAlign w:val="bottom"/>
            <w:tcBorders>
              <w:bottom w:val="single" w:sz="8" w:color="CCEEFF"/>
            </w:tcBorders>
            <w:vMerge w:val="continue"/>
          </w:tcPr>
          <w:p>
            <w:pPr>
              <w:spacing w:after="0"/>
              <w:rPr>
                <w:sz w:val="12"/>
                <w:szCs w:val="12"/>
                <w:color w:val="auto"/>
              </w:rPr>
            </w:pPr>
          </w:p>
        </w:tc>
        <w:tc>
          <w:tcPr>
            <w:tcW w:w="9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Number</w:t>
            </w:r>
          </w:p>
        </w:tc>
        <w:tc>
          <w:tcPr>
            <w:tcW w:w="60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Percent(2)</w:t>
            </w:r>
          </w:p>
        </w:tc>
        <w:tc>
          <w:tcPr>
            <w:tcW w:w="66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Number</w:t>
            </w:r>
          </w:p>
        </w:tc>
        <w:tc>
          <w:tcPr>
            <w:tcW w:w="58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Number</w:t>
            </w:r>
          </w:p>
        </w:tc>
        <w:tc>
          <w:tcPr>
            <w:tcW w:w="60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3"/>
              </w:rPr>
              <w:t>Percent(2)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w w:val="89"/>
              </w:rPr>
              <w:t>DB Energy Holdings LLC(3)</w:t>
            </w:r>
          </w:p>
        </w:tc>
        <w:tc>
          <w:tcPr>
            <w:tcW w:w="27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11,092,717</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11,092,717</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Wexford Spectrum Fund, L.P.(3)</w:t>
            </w: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132,339</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132,339</w:t>
            </w:r>
          </w:p>
        </w:tc>
        <w:tc>
          <w:tcPr>
            <w:tcW w:w="14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Wexford Catalyst Fund, L.P.(3).</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20,915</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20,915</w:t>
            </w:r>
          </w:p>
        </w:tc>
        <w:tc>
          <w:tcPr>
            <w:tcW w:w="14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Spectrum Intermediate Fund Limited(3)</w:t>
            </w: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446,003</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446,003</w:t>
            </w:r>
          </w:p>
        </w:tc>
        <w:tc>
          <w:tcPr>
            <w:tcW w:w="14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Catalyst Intermediate Fund Limited(3)</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87,962</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87,962</w:t>
            </w:r>
          </w:p>
        </w:tc>
        <w:tc>
          <w:tcPr>
            <w:tcW w:w="14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Gulfport Energy Corporation(4)</w:t>
            </w:r>
          </w:p>
        </w:tc>
        <w:tc>
          <w:tcPr>
            <w:tcW w:w="960" w:type="dxa"/>
            <w:vAlign w:val="bottom"/>
          </w:tcPr>
          <w:p>
            <w:pPr>
              <w:jc w:val="right"/>
              <w:spacing w:after="0"/>
              <w:rPr>
                <w:sz w:val="20"/>
                <w:szCs w:val="20"/>
                <w:color w:val="auto"/>
              </w:rPr>
            </w:pPr>
            <w:r>
              <w:rPr>
                <w:rFonts w:ascii="Arial" w:cs="Arial" w:eastAsia="Arial" w:hAnsi="Arial"/>
                <w:sz w:val="18"/>
                <w:szCs w:val="18"/>
                <w:color w:val="auto"/>
              </w:rPr>
              <w:t>5,679,500</w:t>
            </w:r>
          </w:p>
        </w:tc>
        <w:tc>
          <w:tcPr>
            <w:tcW w:w="600" w:type="dxa"/>
            <w:vAlign w:val="bottom"/>
          </w:tcPr>
          <w:p>
            <w:pPr>
              <w:spacing w:after="0"/>
              <w:rPr>
                <w:sz w:val="20"/>
                <w:szCs w:val="20"/>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12.1%</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5,679,500</w:t>
            </w:r>
          </w:p>
        </w:tc>
        <w:tc>
          <w:tcPr>
            <w:tcW w:w="14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60" w:right="260" w:hanging="452"/>
        <w:spacing w:after="0" w:line="29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purposes of this table, a person or group of persons is deemed to have “beneficial ownership” of any shares which such person has the right to acquire within 60 days. For purposes of computing the percentage of outstanding shares held by each person or group of persons named above, any security which such person or group of persons has the right to acquire within 60 days is deemed to be outstanding for the purpose of computing the percentage ownership for such person or persons, but is not deemed to be outstanding for the purpose of computing the percentage ownership of any other person. As a result, the denominator used in calculating the beneficial ownership among our stockholders may differ.</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hanging="452"/>
        <w:spacing w:after="0" w:line="253"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Percentage of beneficial ownership is based upon 47,067,116 shares of common stock outstanding as of October 28, 2013. Because the selling security holders are not obligated to sell any portion of the shares of our common stock shown as offered by them, we cannot estimate the actual number or percentage of shares of our common stock that will be held by any selling security holder upon completion of this offering. However, for purposes of this table, we have assumed that, after completion of the offering, none of the shares covered by this prospectus will be held by the applicable selling security holder.</w:t>
      </w:r>
    </w:p>
    <w:p>
      <w:pPr>
        <w:spacing w:after="0" w:line="3"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solely on Schedule 13D/A filed with the SEC on July 2, 2013 by DB Energy Holdings LLC (“DB Holdings”), Wexford Spectrum Fund, L.P. (“WSF”), Wexford Catalyst Fund, L.P. (“WCF”), Spectrum Intermediate Fund Limited (“SIF”), Catalyst Intermediate Fund Limited (“CIF” and, together with DB Holdings, WSF, WCF and SIF, the “Funds”), Wexford Capital LP (“Wexford Capital”), Wexford GP LLC (“Wexford GP”), Charles E. Davidson (“Mr. Davidson”) and Joseph M. Jacobs (“Mr. Jacobs”), the Form 4 filed with the SEC on July 9, 2013 by DB Holdings, the Form 4 filed with the SEC on July 9, 2013 by Wexford Capital, Wexford GP, Mr. Davidson and Mr. Jacobs and the Company’s records. DB Holdings is a holding company managed by Wexford Capital. WSF, WCF, SIF and CIF are investment funds managed by Wexford Capital. Wexford Capital is an investment advisor registered with the SEC, and manages a series of investment funds. Wexford GP is the general partner of Wexford Capital. Mr. Davidson and Mr. Jacobs are the managing members of Wexford GP. DB has shared voting and dispositive power over 11,092,717 shares. WSF has shared voting and dispositive power over 132,339 shares. WCF has shared voting and dispositive power over 20,915 shares. SIF has shared voting and dispositive power over 446,003 shares. CIF has shared voting and dispositive power over 87,962 shares. Wexford Capital, Wexford GP, Mr. Davidson and Mr. Jacobs have shared voting and dispositive power over 11,786,702 shares, which amount (i) includes an aggregate of 6,666 shares of our common stock assigned to Wexford Capital by Mr. West, one of our directors, and Mr. Jacobi, one of our former directors, pursuant to the terms of their employment with Wexford Capital and (ii) excludes and aggregate of 2,222 unvested restricted stock units held by Mr. West, which will vest on October 11, 2014 assigned to Wexford Capital pursuant to the terms of Mr. West’s employment with Wexford Capital. Wexford Capital may, by reason of its status as manager or investment manager of the Funds, be deemed to own beneficially the securities of which the Funds possess beneficial ownership. Wexford GP may, as the General Partner of Wexford Capital, be deemed to own beneficially the securities of which the Funds possess beneficial ownership. Each of Mr. Davidson and Mr. Jacobs may, by reason of his status as a controlling person of Wexford GP, be deemed to own beneficially the securities of which the Funds possess beneficial ownership. Each of Wexford Capital, Wexford GP, Mr. Davidson and Mr. Jacobs disclaims beneficial ownership of the securities owned by the Funds except, in the case of Mr. Davidson and Mr. Jacobs, to the extent of their respective interests in the Funds. Wexford Capital’s address is Wexford Plaza, 411 West Putnam Avenue, Greenwich, Connecticut 06830. We have entered into a registration rights agreement with DB Holdings, a selling security holder named in this prospectus, which agreement is incorporated herein by reference. Under this agreement, DB Holdings and its transferees have certain demand and “piggyback” registration rights. The demand rights enable each such security holder to require us to register its shares of our common stock with the SEC. The piggyback rights allow each such security holder to register the shares of our common stock that it owns along with any shares that we register with the SEC. These registration rights are subject to customary conditions and limitations, including the right of the underwriters of an offering to limit the number of shares. The shares of common stock that may be offered by the Funds pursuant to this prospectus and any required prospectus supplement have been included herein under the terms of the piggyback registration rights. All expenses of such registrations (including both demand and piggyback registrations), other than any underwriting discounts and commissions, will be paid by us. For a full description of our material relationships with DB Holdings and its affiliates, please see “Certain Relationships and Related Party Transactions” appearing in our definitive proxy statement on Schedule 14A, which information is incorporated herein by reference.</w:t>
      </w:r>
    </w:p>
    <w:p>
      <w:pPr>
        <w:spacing w:after="0" w:line="19" w:lineRule="exact"/>
        <w:rPr>
          <w:rFonts w:ascii="Arial" w:cs="Arial" w:eastAsia="Arial" w:hAnsi="Arial"/>
          <w:sz w:val="16"/>
          <w:szCs w:val="16"/>
          <w:color w:val="auto"/>
        </w:rPr>
      </w:pPr>
    </w:p>
    <w:p>
      <w:pPr>
        <w:ind w:left="460" w:right="60" w:hanging="452"/>
        <w:spacing w:after="0" w:line="277"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solely on the Form 4 filed with the SEC on July 9, 2013 by Gulfport Energy Corporation. Gulfport Energy Corporation’s address is 14313 North May Avenue, Suite 100, Oklahoma City, Oklahoma 73134. We have entered into an investor rights agreement with Gulfport, a selling security holder named in this prospectus, which agreement is incorporated herein by reference. Under this agreement, Gulfport has certain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71" w:lineRule="auto"/>
        <w:rPr>
          <w:sz w:val="20"/>
          <w:szCs w:val="20"/>
          <w:color w:val="auto"/>
        </w:rPr>
      </w:pPr>
      <w:r>
        <w:rPr>
          <w:rFonts w:ascii="Arial" w:cs="Arial" w:eastAsia="Arial" w:hAnsi="Arial"/>
          <w:sz w:val="17"/>
          <w:szCs w:val="17"/>
          <w:color w:val="auto"/>
        </w:rPr>
        <w:t>demand and “piggyback” registration rights. The demand rights enable such security holder to require us to register its shares of our common stock with the SEC. The piggyback rights allow such security holder to register the shares of our common stock that it owns along with any shares that we register with the SEC. These registration rights are subject to customary conditions and limitations, including the right of the underwriters of an offering to limit the number of shares. The shares of common stock that may be offered by Gulfport pursuant to this prospectus and any required prospectus supplement have been included herein under the terms of the piggyback registration rights. All expenses of such registrations (including both demand and piggyback registrations), other than underwriting discounts and commissions, will be paid by us. For a full description of our material relationships with Gulfport and its affiliates, please see “Certain Relationships and Related Party Transactions” appearing in our definitive proxy statement on Schedule 14A, which information is incorporated herein by reference.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may issue debt securities in one or more series. When used in this Description of Debt Securities and Guarantees section, unless we state otherwise or the context clearly indicates otherwise, references to “the Company,” “Diamondback Energy,” “we,” “us” and “our” refer only to Diamondback Energy, Inc.</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may issue senior or subordinated debt securities. Neither the senior debt securities nor the subordinated debt securities will be secured by any of our property or assets. Thus, by owning a debt security, you will be one of our unsecured creditors.</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senior debt securities will constitute part of our senior debt, will be issued under our senior debt indenture described below and will rank equally with all of our other unsecured and unsubordinated debt.</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subordinated debt securities will constitute part of our subordinated debt, will be issued under our subordinated debt indenture described below and will be subordinate in right of payment to all of our “senior debt,” as defined in the indenture with respect to such subordinated debt securities. The prospectus supplement for any series of subordinated debt securities or the information incorporated in this prospectus by reference will indicate the approximate amount of senior debt outstanding as of the end of the then most recent fiscal quarter. Neither indenture limits our ability to incur additional senior debt or other indebtedness.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we refer to “debt securities” in this prospectus, we mean both the senior debt securities and the subordinated debt securities.</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debt securities may have the benefit of guarantees (each, a “guarantee”) by one or more of our existing or future subsidiaries, including Diamondback O&amp;G LLC, Diamondback E&amp;P LLC and Viper Energy Partners LLC, specified as a “guarantor” (each, a “guarantor”) in the prospectus supplement for the series of such debt securities. If a guarantor issues guarantees, the guarantees will be unsecured and, if guaranteeing senior debt securities, unsubordinated or, if guaranteeing subordinated debt securities, subordinated obligations of the respective guarantors. Unless otherwise expressly stated or the context otherwise requires, as used in this section, the term “guaranteed debt securities” means debt securities that, as described in the prospectus supplement relating thereto, are guaranteed by one or more guarantors pursuant to the applicable indenture.</w:t>
      </w:r>
    </w:p>
    <w:p>
      <w:pPr>
        <w:spacing w:after="0" w:line="178"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The debt indentures and their associated documents, including your debt security, contain the full legal text of the matters described in this section and your prospectus supplement. We have filed forms of the indentures with the SEC as exhibits to our registration statement, of which this prospectus is a part. See “Where You Can Find More Information” in this prospectus for information on how to obtain copies of them.</w:t>
      </w:r>
    </w:p>
    <w:p>
      <w:pPr>
        <w:spacing w:after="0" w:line="16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section and your prospectus supplement summarize material terms of the indentures and your debt security. They do not, however, describe every aspect of the indentures and your debt security. For example, in this section and your prospectus supplement, we use terms that have been given special meaning in the indentures, but we describe the meaning for only the more important of those terms. Your prospectus supplement will have a more detailed description of the specific terms of your debt security and any applicable guarantees.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Indentures</w:t>
      </w:r>
    </w:p>
    <w:p>
      <w:pPr>
        <w:spacing w:after="0" w:line="12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senior debt securities and subordinated debt securities are each governed by a document called an indenture. Each indenture is a contract between us and a trustee to be named prior to the issuance of debt securities thereunder. The indentures are substantially identical, except for certain provisions including those relating to subordination, which are included only in the indenture related to subordinated debt securities.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 under each indenture has two main roles:</w:t>
      </w:r>
    </w:p>
    <w:p>
      <w:pPr>
        <w:spacing w:after="0" w:line="131" w:lineRule="exact"/>
        <w:rPr>
          <w:sz w:val="20"/>
          <w:szCs w:val="20"/>
          <w:color w:val="auto"/>
        </w:rPr>
      </w:pPr>
    </w:p>
    <w:p>
      <w:pPr>
        <w:ind w:left="9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First, the trustee can enforce your rights against us if we default. There are some limitations on the extent to which the trustee acts on your behalf, which we describe later under “—Default, Remedies and Waiver of Default.”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Second, the trustee performs administrative duties for us, such as sending you interest payments and notices.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When we refer to “the indenture” or “the trustee” with respect to any debt securities, we mean the indenture under which those debt securities are issued and the trustee under that indenture.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of Debt Securities</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We may issue as many distinct debt securities or series of debt securities under either indenture as we wish. This section summarizes terms of the securities that apply generally to all debt securities and series of debt securities. The provisions of each indenture allow us not only to issue debt securities with terms different from those of debt securities previously issued under that indenture, but also to “reopen” a previously issued series of debt securities and issue additional debt securities of that series. We will describe most of the financial and other specific terms of your series, whether it is a series of the senior debt securities or the subordinated debt securities, in the prospectus supplement for that series. Those terms may vary from the terms described here.</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you read this section, please remember that the specific terms of your debt security as described in your prospectus supplement will supplement and, if applicable, modify or replace the general terms described in this section. If there are any differences between your prospectus supplement and this prospectus with respect to your debt security, your prospectus supplement will control. Thus, the statements we make in this section may not apply to your debt security.</w:t>
      </w:r>
    </w:p>
    <w:p>
      <w:pPr>
        <w:spacing w:after="0" w:line="187"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When we refer to “debt securities” or a “series of debt securities,” we mean, respectively, debt securities or a series of debt securities issued under the applicable indenture. When we refer to “your prospectus supplement,” we mean the prospectus supplement describing the specific terms of the debt security you purchase. The terms used in your prospectus supplement will have the meanings described in this prospectus, unless otherwise specified.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of Issuances</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Neither indenture limits the aggregate amount of debt securities that we may issue or the number of series or the aggregate amount of any particular series. We may issue debt securities and other securities at any time without your consent and without notifying you.</w:t>
      </w:r>
    </w:p>
    <w:p>
      <w:pPr>
        <w:spacing w:after="0" w:line="170"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The indentures and the debt securities do not limit our ability to incur other indebtedness or to issue other securities. Also, unless otherwise specified below or in your prospectus supplement, we are not subject to financial or similar restrictions by the terms of the debt securities.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Amount, Stated Maturity and Maturity</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Unless otherwise stated, the principal amount of a debt security means the principal amount payable at its stated maturity, unless that amount is not determinable, in which case the principal amount of a debt security is its face amount.</w:t>
      </w:r>
    </w:p>
    <w:p>
      <w:pPr>
        <w:spacing w:after="0" w:line="170"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term “stated maturity” with respect to any debt security means the day on which the principal amount of your debt security is scheduled to become due. The principal may become due sooner, by reason of redemption, acceleration after a default or otherwise in accordance with the terms of the debt security. The day on which the principal actually becomes due, whether at the stated maturity or earlier, is called the “maturity” of the principal.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also use the terms “stated maturity” and “maturity” to refer to the days when other payments become due. For example, we may refer to a regular interest payment date when an installment of interest is scheduled to become due as the “stated maturity” of that installment. When we refer to the “stated maturity” or the “maturity” of a debt security without specifying a particular payment, we mean the stated maturity or maturity, as the case may be, of the principal.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Debt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prospectus supplement will describe the specific terms of your debt security, which will include some or all of the following:</w:t>
      </w:r>
    </w:p>
    <w:p>
      <w:pPr>
        <w:spacing w:after="0" w:line="13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title of the series of your debt security and whether it is a senior debt security or a subordinated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limit on the total principal amount of the debt securities of the same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stated maturity;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currency or currencies for principal and interest, if not U.S. dollars;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price at which we originally issue your debt security, expressed as a percentage of the principal amount, and the original issue date;</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your debt security is a fixed rate debt security, a floating rate debt security or an indexed debt security;</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your debt security is a fixed rate debt security, the yearly rate at which your debt security will bear interest, if any, and the interest payment dates;</w:t>
      </w:r>
    </w:p>
    <w:p>
      <w:pPr>
        <w:spacing w:after="0" w:line="75" w:lineRule="exact"/>
        <w:rPr>
          <w:rFonts w:ascii="Arial" w:cs="Arial" w:eastAsia="Arial" w:hAnsi="Arial"/>
          <w:sz w:val="18"/>
          <w:szCs w:val="18"/>
          <w:color w:val="auto"/>
        </w:rPr>
      </w:pPr>
    </w:p>
    <w:p>
      <w:pPr>
        <w:ind w:left="900" w:right="300" w:hanging="325"/>
        <w:spacing w:after="0" w:line="286"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your debt security is a floating rate debt security, the interest rate basis; any applicable index currency or index maturity, spread or spread multiplier or initial base rate, maximum rate or minimum rate; the interest reset, determination, calculation and payment dates; the day count convention used to calculate interest payments for any period; the business day convention; and the calculation agent;</w:t>
      </w:r>
    </w:p>
    <w:p>
      <w:pPr>
        <w:spacing w:after="0" w:line="70" w:lineRule="exact"/>
        <w:rPr>
          <w:rFonts w:ascii="Arial" w:cs="Arial" w:eastAsia="Arial" w:hAnsi="Arial"/>
          <w:sz w:val="17"/>
          <w:szCs w:val="17"/>
          <w:color w:val="auto"/>
        </w:rPr>
      </w:pPr>
    </w:p>
    <w:p>
      <w:pPr>
        <w:ind w:left="900" w:hanging="325"/>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your debt security is an indexed debt security, the principal amount, if any, we will pay you at maturity, interest payment dates, the amount of interest, if any, we will pay you on an interest payment date or the formula we will use to calculate these amounts, if any, and the terms on which your debt security will be exchangeable for or payable in cash, securities or other property;</w:t>
      </w:r>
    </w:p>
    <w:p>
      <w:pPr>
        <w:spacing w:after="0" w:line="86" w:lineRule="exact"/>
        <w:rPr>
          <w:rFonts w:ascii="Arial" w:cs="Arial" w:eastAsia="Arial" w:hAnsi="Arial"/>
          <w:sz w:val="18"/>
          <w:szCs w:val="18"/>
          <w:color w:val="auto"/>
        </w:rPr>
      </w:pPr>
    </w:p>
    <w:p>
      <w:pPr>
        <w:ind w:left="900" w:right="60" w:hanging="325"/>
        <w:spacing w:after="0" w:line="276"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your debt security may be converted into or exercised or exchanged for common or preferred stock or other securities of the Company or debt or equity securities of one or more third parties, the terms on which conversion, exercise or exchange may occur, including whether conversion, exercise or exchange is mandatory, at the option of the holder or at our option, the period during which conversion, exercise or exchange may occur, the initial conversion, exercise or exchange price or rate and the circumstances or manner in which the amount of common or preferred stock or other securities issuable upon conversion, exercise or exchange may be adjusted;</w:t>
      </w:r>
    </w:p>
    <w:p>
      <w:pPr>
        <w:spacing w:after="0" w:line="77" w:lineRule="exact"/>
        <w:rPr>
          <w:rFonts w:ascii="Arial" w:cs="Arial" w:eastAsia="Arial" w:hAnsi="Arial"/>
          <w:sz w:val="17"/>
          <w:szCs w:val="17"/>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your debt security is also an original issue discount debt security, the yield to maturity;</w:t>
      </w:r>
    </w:p>
    <w:p>
      <w:pPr>
        <w:spacing w:after="0" w:line="130" w:lineRule="exact"/>
        <w:rPr>
          <w:rFonts w:ascii="Arial" w:cs="Arial" w:eastAsia="Arial" w:hAnsi="Arial"/>
          <w:sz w:val="18"/>
          <w:szCs w:val="18"/>
          <w:color w:val="auto"/>
        </w:rPr>
      </w:pPr>
    </w:p>
    <w:p>
      <w:pPr>
        <w:ind w:left="900" w:right="100" w:hanging="325"/>
        <w:spacing w:after="0" w:line="308"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applicable, the circumstances under which your debt security may be redeemed at our option or repaid at the holder’s option before the stated maturity, including any redemption commencement date, repayment date(s), redemption price(s) and redemption period(s);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authorized denominations, if other than $2,000 and integral multiples of $1,000;</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depositary for your debt security, if other than The Depository Trust Company (“DTC”), and any circumstances under which the holder may request securities in non-global form, if we choose not to issue your debt security in book-entry form only;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4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circumstances under which we will pay additional amounts on any debt securities held by a person who is not a United States person for tax purposes and under which we can redeem the debt securities if we have to pay additional amounts;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your debt security will be guaranteed by any guarantors and, if so, the identity of the guarantors and, to the extent the terms thereof differ from those described in this prospectus, a description of the terms of the guarantees;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names and duties of any co-trustees, depositaries, authenticating agents, paying agents, transfer agents or registrars for your debt security, as applicable;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other terms of your debt security and any guarantees of your debt security, which could be different from those described in this prospectus.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indentures and the debt securities (and any guarantees thereof) will be governed by New York law.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Debt Securities</w:t>
      </w:r>
    </w:p>
    <w:p>
      <w:pPr>
        <w:spacing w:after="0" w:line="12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will issue each debt security only in registered form, without coupons, unless we specify otherwise in the applicable prospectus supplement. In addition, we will issue each debt security in global—i.e., book-entry—form only, unless we specify otherwise in the applicable prospectus supplement. Debt securities in book-entry form will be represented by a global security registered in the name of a depositary, which will be the holder of all the debt securities represented by the global security. Those who own beneficial interests in a global debt security will do so through participants in the depositary’s securities clearance system, and the rights of these indirect owners will be governed solely by the applicable procedures of the depositary and its participants. References to “holders” in this section mean those who own debt securities registered in their own names, on the books that we or the trustee maintain for this purpose, and not those who own beneficial interests in debt securities registered in street name or in debt securities issued in book-entry form through one or more depositaries.</w:t>
      </w:r>
    </w:p>
    <w:p>
      <w:pPr>
        <w:spacing w:after="0" w:line="19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Unless otherwise indicated in the prospectus supplement, the following is a summary of the depositary arrangements applicable to debt securities issued in global form and for which DTC acts as depositary.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global debt security will be deposited with, or on behalf of, DTC, as depositary, or its nominee, and registered in the name of a nominee of DTC.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Except under the limited circumstances described below, global debt securities are not exchangeable for definitive certificated debt securities.</w:t>
      </w:r>
    </w:p>
    <w:p>
      <w:pPr>
        <w:spacing w:after="0" w:line="21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Ownership of beneficial interests in a global debt security is limited to institutions that have accounts with DTC or its nominee, or persons that may hold interests through those participants. In addition, ownership of beneficial interests by participants in a global debt security will be evidenced only by, and the transfer of that ownership interest will be effected only through, records maintained by DTC or its nominee for a global debt security. Ownership of beneficial interests in a global debt security by persons that hold those interests through participants will be evidenced only by, and the transfer of that ownership interest within that participant will be effected only through, records maintained by that participant. DTC has no knowledge of the actual beneficial owners of the debt securities. Beneficial owners will not receive written confirmation from DTC of their purchase, but beneficial owners are expected to receive written confirmations providing details of the transaction, as well as periodic statements of their holdings, from the participants through which the beneficial owners entered the transaction. The laws of some jurisdictions require that certain purchasers of securities take physical delivery of securities they purchase in definitive form. These laws may impair your ability to transfer beneficial interests in a global debt security.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will make payment of principal of, and interest on, debt securities represented by a global debt security registered in the name of or held by DTC or its nominee to DTC or its nominee, as the case may be, as the registered owner and holder of the global debt security representing those debt securities. DTC has advised us that upon receipt of any payment of principal of, or interest on, a global debt security, DTC immediately will credit accounts of participants on its book-entry registration and transfer system with payments in amounts proportionate to their respective interests in the principal amount of that global debt security, as shown in the records of DTC. Payments by participants to owners of beneficial interests in a global debt security held through those participants will be governed by standing instructions and customary practices, as is now the case with securities held for the accounts of customers in bearer form or registered in “street name,” and will be the sole responsibility of those participants, subject to any statutory or regulatory requirements that may be in effect from time to time.</w:t>
      </w:r>
    </w:p>
    <w:p>
      <w:pPr>
        <w:spacing w:after="0" w:line="19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Neither we, any trustee nor any of our respective agents will be responsible for any aspect of the records of DTC, any nominee or any participant relating to, or payments made on account of, beneficial interests in a permanent global debt security or for maintaining, supervising or reviewing any of the records of DTC, any nominee or any participant relating to such beneficial interests.</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 global debt security is exchangeable for definitive debt securities registered in the name of, and a transfer of a global debt security may be registered to, any person other than DTC or its nominee, only if:</w:t>
      </w:r>
    </w:p>
    <w:p>
      <w:pPr>
        <w:spacing w:after="0" w:line="76" w:lineRule="exact"/>
        <w:rPr>
          <w:sz w:val="20"/>
          <w:szCs w:val="20"/>
          <w:color w:val="auto"/>
        </w:rPr>
      </w:pPr>
    </w:p>
    <w:p>
      <w:pPr>
        <w:ind w:left="90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for that global security or has ceased to be a registered clearing agency and we do not appoint another institution to act as depositary within 90 days;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notify the trustee that we wish to terminate that global security.</w:t>
      </w:r>
    </w:p>
    <w:p>
      <w:pPr>
        <w:spacing w:after="0" w:line="225"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Any global debt security that is exchangeable pursuant to the preceding sentence will be exchangeable in whole for definitive debt securities in registered form, of like tenor and of an equal aggregate principal amount as the global debt security, in denominations specified in the applicable prospectus supplement, if other than $2,000 and multiples of $1,000. The definitive debt securities will be registered by the registrar in the name or names instructed by DTC. We expect that these instructions may be based upon directions received by DTC from its participants with respect to ownership of beneficial interests in the global debt security.</w:t>
      </w:r>
    </w:p>
    <w:p>
      <w:pPr>
        <w:spacing w:after="0" w:line="188"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Except as provided above, owners of the beneficial interests in a global debt security will not be entitled to receive physical delivery of debt securities in definitive form and will not be considered the holders of debt securities for any purpose under the indentures. No global debt security shall be exchangeable except for another global debt security of like denomination and tenor to be registered in the name of DTC or its nominee. Accordingly, each person owning a beneficial interest in a global debt security must rely on the procedures of DTC and, if that person is not a participant, on the procedures of the participant through which that person owns its interest, to exercise any rights of a holder under the global debt security or the indentures.</w:t>
      </w:r>
    </w:p>
    <w:p>
      <w:pPr>
        <w:spacing w:after="0" w:line="158"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We understand that, under existing industry practices, in the event that we request any action of holders, or an owner of a beneficial interest in a global debt security desires to give or take any action that a holder is entitled to give or take under the debt securities or the indentures, DTC would authorize the participants holding the relevant beneficial interests to give or take that action. Additionally, those participants would authorize beneficial owners owning through those participants to give or take that action or would otherwise act upon the instructions of beneficial owners owning through them.</w:t>
      </w:r>
    </w:p>
    <w:p>
      <w:pPr>
        <w:spacing w:after="0" w:line="154"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DTC has advised us that it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under the Exchange Act. DTC was created to hold securities of its participants and to facilitate the clearance and settlement of transactions among its participants in securities through electronic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book-entry changes in accounts of the participants. By doing so, DTC eliminates the need for physical movement of securities certificates. DTC’s participants include securities brokers and dealers, banks, trust companies, clearing corporations, and certain other organizations. DTC is owned by a number of its participants and by the New York Stock Exchange, Inc. and NYSE Amex Equities.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88"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Investors may hold interests in the debt securities outside the U.S. through the Euroclear System (“Euroclear”) or Clearstream Banking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 such interests in customers’ securities accounts in the depositaries’ names on the books of DTC.</w:t>
      </w:r>
    </w:p>
    <w:p>
      <w:pPr>
        <w:spacing w:after="0" w:line="15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Euroclear advises that it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countries. Euroclear is operated by the Euroclear S.A./N.V. (the “Euroclear Operator”), under contract with Euroclear Clearance Systems S.C., a Belgian cooperative corporation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any agents. Indirect access to Euroclear is also available to other firms that clear through or maintain a custodial relationship with a Euroclear Participant, either directly or indirectly.</w:t>
      </w:r>
    </w:p>
    <w:p>
      <w:pPr>
        <w:spacing w:after="0" w:line="16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Securities clearance accounts and cash accounts with the Euroclear Operator are governed by the Terms and Conditions Governing Use of Euroclear, the related Operating Procedures of the Euroclear System, and applicable Belgian law (collectively, the “Terms and Conditions”). The Terms and Conditions govern transfers of securities and cash within Euroclear, withdrawals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78"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170"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Clearstream advises that it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Monetary Institute. Clearstream Participants are recognized financial institutions around the world, including agents, securities brokers and dealers, banks, trust companies, clearing corporations and certain other organizations and may include any agents. Indirect access to Clearstream is also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available to others, such as banks, brokers, dealers and trust companies that clear through or maintain a custodial relationship with a Clearstream Participant either directly or indirectly.</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have provided the descriptions herein of the operations and procedures of DTC, Euroclear and Clearstream solely as a matter of convenience. These operations and procedures are solely within the control of DTC, Euroclear and Clearstream and are subject to change by them from time to time. We believe that the sources from which the information in this section and elsewhere in this prospectus concerning DTC, Euroclear, the Euroclear Operator, the Cooperative, Euroclear’s system, Clearstream and Clearstream’s system has been obtained are reliable, but neither we, any underwriters nor the trustee takes any responsibility for the accuracy of the information.</w:t>
      </w:r>
    </w:p>
    <w:p>
      <w:pPr>
        <w:spacing w:after="0" w:line="18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Initial settlement for the securities will be made in immediately available funds. Secondary market trading between DTC participants will occur in the ordinary way in accordance with DTC’s rules and will be settled in immediately available funds. Secondary market trading between Euroclear Participants and/or Clearstream Participants will occur in the ordinary way in accordance with the applicable rules and operating procedures of Euroclear and Clearstream, as applicable, and will be settled using the procedures applicable to conventional eurobonds in immediately available funds.</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Cross-market transfers between persons holding directly or indirectly through DTC, on the one hand, and directly or indirectly through Euroclear Participants or Clearstream Participants, on the other, will be effected in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securities in DTC, and making or receiving payment in accordance with normal procedures for same-day funds settlement applicable to DTC. Euroclear Participants and Clearstream Participants may not deliver instructions directly to their respective U.S. depositaries.</w:t>
      </w:r>
    </w:p>
    <w:p>
      <w:pPr>
        <w:spacing w:after="0" w:line="19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Because of time-zone differences, credits of securities received in Euroclear or Clearstream as a result of a transaction with a DTC participant will be made during subsequent securities settlement processing and dated the business day following the DTC settlement date. Credits or any transactions in securities settled during this processing will be reported to the relevant Euroclear or Clearstream Participants on that following business day. Cash received in Euroclear or Clearstream as a result of sales of debt securities by or through a Euroclear Participant or a Clearstream Participant to a DTC participant will be received with value on the DTC settlement date but will be available in the relevant Euroclear or Clearstream cash account only as of the business day following settlement in DTC.</w:t>
      </w:r>
    </w:p>
    <w:p>
      <w:pPr>
        <w:spacing w:after="0" w:line="19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Although DTC, Euroclear and Clearstream have agreed to the foregoing procedures to facilitate transfers of securities among participants of DTC, Euroclear and Clearstream, they are under no obligation to perform or continue to perform these procedures and these procedures may be discontinued at any time.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or Repayment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there are any provisions regarding redemption or repayment applicable to your debt security, we will describe them in your prospectus supplement.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We or our affiliates may purchase debt securities from investors who are willing to sell from time to time, either in the open market at prevailing prices or in private transactions at negotiated prices. Debt securities that we or they purchase may, at our discretion, be held, resold or canceled.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Similar Transactions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are generally permitted under the indentures to merge or consolidate with another corporation or other entity. We are also permitted under the indentures to sell all or substantially all of our assets to another corporation or other entity. With regard to any series of debt securities, however, we may not take any of these actions unless all the following conditions, among other things, are met:</w:t>
      </w:r>
    </w:p>
    <w:p>
      <w:pPr>
        <w:spacing w:after="0" w:line="87" w:lineRule="exact"/>
        <w:rPr>
          <w:sz w:val="20"/>
          <w:szCs w:val="20"/>
          <w:color w:val="auto"/>
        </w:rPr>
      </w:pPr>
    </w:p>
    <w:p>
      <w:pPr>
        <w:ind w:left="900" w:right="20" w:hanging="325"/>
        <w:spacing w:after="0" w:line="31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the successor entity in the transaction is not the Company, the successor entity must be organized as a corporation, limited liability company, partnership or trust and must expressly assume our obligations under the debt securities of that series and the indenture with respect to that series. The successor entity may be organized under the laws of the United States, any state thereof or the District of Columbia.</w:t>
      </w:r>
    </w:p>
    <w:p>
      <w:pPr>
        <w:spacing w:after="0" w:line="52" w:lineRule="exact"/>
        <w:rPr>
          <w:rFonts w:ascii="Arial" w:cs="Arial" w:eastAsia="Arial" w:hAnsi="Arial"/>
          <w:sz w:val="16"/>
          <w:szCs w:val="16"/>
          <w:color w:val="auto"/>
        </w:rPr>
      </w:pPr>
    </w:p>
    <w:p>
      <w:pPr>
        <w:ind w:left="900" w:right="220" w:hanging="325"/>
        <w:spacing w:after="0" w:line="279"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Immediately after the transaction, no default under the debt securities of that series has occurred and is continuing. For this purpose, “default under the debt securities of that series” means an event of default with respect to that series or any event that would be an event of default with respect to that series if the requirements for giving us default notice and for our default having to continue for a specific period of time were disregarded. We describe these matters below under “—Default, Remedies and Waiver of Default.”</w:t>
      </w:r>
    </w:p>
    <w:p>
      <w:pPr>
        <w:spacing w:after="0" w:line="171" w:lineRule="exact"/>
        <w:rPr>
          <w:sz w:val="20"/>
          <w:szCs w:val="20"/>
          <w:color w:val="auto"/>
        </w:rPr>
      </w:pPr>
    </w:p>
    <w:p>
      <w:pPr>
        <w:jc w:val="both"/>
        <w:ind w:right="80" w:firstLine="456"/>
        <w:spacing w:after="0" w:line="297" w:lineRule="auto"/>
        <w:rPr>
          <w:sz w:val="20"/>
          <w:szCs w:val="20"/>
          <w:color w:val="auto"/>
        </w:rPr>
      </w:pPr>
      <w:r>
        <w:rPr>
          <w:rFonts w:ascii="Arial" w:cs="Arial" w:eastAsia="Arial" w:hAnsi="Arial"/>
          <w:sz w:val="16"/>
          <w:szCs w:val="16"/>
          <w:color w:val="auto"/>
        </w:rPr>
        <w:t>If the conditions described above are satisfied with respect to the debt securities of any series, we will not need to obtain the approval of the holders of those debt securities in order to merge or consolidate or to sell all or substantially all our assets. Also, these conditions will apply only if we wish to merge or consolidate with another entity or sell all or substantially all of our assets to another entity. We will not need to satisfy these conditions if we enter into other types of transactions, including any transaction in which we acquire the stock or assets of another entity, any transaction that involves a change of control of the Company but in which we do not merge or consolidate and any transaction in which we sell less than substantially all our assets.</w:t>
      </w:r>
    </w:p>
    <w:p>
      <w:pPr>
        <w:spacing w:after="0" w:line="1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successor entity will be substituted for the Company with respect to the debt securities of any series and under the indenture with the same effect as if it had been an original party to the indenture, and, except in the case of a lease, the Company will be relieved from any further obligations and covenants under the indenture.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Provisions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Holders of subordinated debt securities should recognize that contractual provisions in the subordinated debt indenture may prohibit us from making payments on those securities. Subordinated debt securities are subordinate and junior in right of payment, to the extent and in the manner stated in the subordinated debt indenture, to all of our senior debt, as defined in the subordinated debt indenture, including all debt securities we have issued and will issue under the senior debt indenture.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subordinated debt indenture defines “senior debt” as:</w:t>
      </w:r>
    </w:p>
    <w:p>
      <w:pPr>
        <w:spacing w:after="0" w:line="131" w:lineRule="exact"/>
        <w:rPr>
          <w:sz w:val="20"/>
          <w:szCs w:val="20"/>
          <w:color w:val="auto"/>
        </w:rPr>
      </w:pPr>
    </w:p>
    <w:p>
      <w:pPr>
        <w:ind w:left="1460" w:right="80" w:hanging="547"/>
        <w:spacing w:after="0" w:line="286" w:lineRule="auto"/>
        <w:tabs>
          <w:tab w:leader="none" w:pos="1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indebtedness under or in respect of our credit agreement, whether for principal, interest (including interest accruing after the filing of a petition initiating any proceeding pursuant to any bankruptcy law, whether or not the claim for such interest is allowed as a claim in such proceeding), reimbursement obligations, fees, commissions, expenses, indemnities or other amounts; and</w:t>
      </w:r>
    </w:p>
    <w:p>
      <w:pPr>
        <w:spacing w:after="0" w:line="70" w:lineRule="exact"/>
        <w:rPr>
          <w:rFonts w:ascii="Arial" w:cs="Arial" w:eastAsia="Arial" w:hAnsi="Arial"/>
          <w:sz w:val="17"/>
          <w:szCs w:val="17"/>
          <w:color w:val="auto"/>
        </w:rPr>
      </w:pPr>
    </w:p>
    <w:p>
      <w:pPr>
        <w:ind w:left="1460" w:right="440" w:hanging="547"/>
        <w:spacing w:after="0" w:line="308" w:lineRule="auto"/>
        <w:tabs>
          <w:tab w:leader="none" w:pos="1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other indebtedness permitted under the terms of that indenture, unless the instrument under which such indebtedness is incurred expressly provides that it is on a parity with or subordinated in right of payment to the subordinated debt securities.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firstLine="456"/>
        <w:spacing w:after="0" w:line="308" w:lineRule="auto"/>
        <w:rPr>
          <w:sz w:val="20"/>
          <w:szCs w:val="20"/>
          <w:color w:val="auto"/>
        </w:rPr>
      </w:pPr>
      <w:r>
        <w:rPr>
          <w:rFonts w:ascii="Arial" w:cs="Arial" w:eastAsia="Arial" w:hAnsi="Arial"/>
          <w:sz w:val="17"/>
          <w:szCs w:val="17"/>
          <w:color w:val="auto"/>
        </w:rPr>
        <w:t>Notwithstanding the foregoing, “senior debt” will not include: (i) equity interests; (ii) any liability for taxes; (iii) any indebtedness to any of our subsidiaries or affiliates; (iv) any trade payables; or (v) any indebtedness incurred in violation of the subordinated debt indenture.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modify the subordination provisions, including the definition of senior debt, with respect to one or more series of subordinated debt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modifications will be set forth in the applicable prospectus supplement.</w:t>
      </w:r>
    </w:p>
    <w:p>
      <w:pPr>
        <w:spacing w:after="0" w:line="21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subordinated debt indenture provides that, unless all principal of and any premium or interest on the senior debt has been paid in full, no payment or other distribution may be made in respect of any subordinated debt securities in the following circumstances:</w:t>
      </w:r>
    </w:p>
    <w:p>
      <w:pPr>
        <w:spacing w:after="0" w:line="76" w:lineRule="exact"/>
        <w:rPr>
          <w:sz w:val="20"/>
          <w:szCs w:val="20"/>
          <w:color w:val="auto"/>
        </w:rPr>
      </w:pPr>
    </w:p>
    <w:p>
      <w:pPr>
        <w:ind w:left="900" w:right="46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event of any insolvency or bankruptcy proceedings, or any receivership, liquidation, reorganization, assignment for creditors or other similar proceedings or events involving us or our assets;</w:t>
      </w:r>
    </w:p>
    <w:p>
      <w:pPr>
        <w:spacing w:after="0" w:line="75"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in the event and during the continuation of any default in the payment of principal of and any premium and interest on any senior debt beyond any applicable grace period or (b) in the event that any event of default with respect to any senior debt has occurred and is continuing, permitting the holders of that senior debt (or a trustee) to accelerate the maturity of that senior debt, whether or not the maturity is in fact accelerated (unless, in the case of (a) or (b), the payment default or event of default has been cured or waived or ceased to exist and any related acceleration has been rescinded) or (c) in the event that any judicial proceeding is pending with respect to a payment default or event of default described in (a) or (b); or</w:t>
      </w:r>
    </w:p>
    <w:p>
      <w:pPr>
        <w:spacing w:after="0" w:line="98"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event that any subordinated debt securities have been declared due and payable before their stated maturity.</w:t>
      </w:r>
    </w:p>
    <w:p>
      <w:pPr>
        <w:spacing w:after="0" w:line="225"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If the trustee under the subordinated debt indenture or any holders of the subordinated debt securities receive any payment or distribution that is prohibited under the subordination provisions, then the trustee or the holders will have to repay that money to the holders of the senior debt.</w:t>
      </w:r>
    </w:p>
    <w:p>
      <w:pPr>
        <w:spacing w:after="0" w:line="12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Even if the subordination provisions prevent us from making any payment when due on the subordinated debt securities of any series, we will be in default on our obligations under that series if we do not make the payment when due. This means that the trustee under the subordinated debt indenture and the holders of that series can take action against us, but they will not receive any money until the claims of the holders of senior debt have been fully satisfied.</w:t>
      </w:r>
    </w:p>
    <w:p>
      <w:pPr>
        <w:spacing w:after="0" w:line="14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subordinated debt indenture allows the holders of senior debt to obtain a court order requiring us and any holder of subordinated debt securities to comply with the subordination provisions.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Covenant Defeasance and Satisfaction and Discharge</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When we use the term defeasance, we mean discharge from some or all of our obligations under the indenture. If we deposit with the trustee funds or government securities, or if so provided in your prospectus supplement, obligations other than government securities, sufficient to make payments on any series of debt securities on the dates those payments are due and payable and other specified conditions are satisfied, then, at our option, either of the following will occur:</w:t>
      </w:r>
    </w:p>
    <w:p>
      <w:pPr>
        <w:spacing w:after="0" w:line="92" w:lineRule="exact"/>
        <w:rPr>
          <w:sz w:val="20"/>
          <w:szCs w:val="20"/>
          <w:color w:val="auto"/>
        </w:rPr>
      </w:pPr>
    </w:p>
    <w:p>
      <w:pPr>
        <w:ind w:left="900" w:right="32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such series and all obligations of any guarantors of such debt securities will also be discharged with respect to the guarantees of such debt securities (“legal defeasance”); or</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be discharged from any covenants we make in the applicable indenture for the benefit of such series and the related events of default will no longer apply to us (“covenant defeasance”).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defease any series of debt securities, the holders of such securities will not be entitled to the benefits of the indenture, except for our obligations to register the transfer or exchange of such securities, replace stolen, lost or mutilated securities or maintain paying agencies and hold moneys for payment in trust. In case of covenant defeasance, our obligation to pay principal of and any premium and interest on the applicable series of debt securities will also survive.</w:t>
      </w:r>
    </w:p>
    <w:p>
      <w:pPr>
        <w:spacing w:after="0" w:line="18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We will be required to deliver to the trustee an opinion of counsel that the deposit and related defeasance would not cause the holders of the applicable series of debt securities to recognize gain or loss for federal income tax purposes. If we elect legal defeasance, that opinion of counsel must be based upon a ruling from the United States Internal Revenue Service or a change in law to that effect.</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Upon the effectiveness of defeasance with respect to any series of guaranteed debt securities, each guarantor of the debt securities of such series shall be automatically and unconditionally released and discharged from all of its obligations under its guarantee of the debt securities of such series and all of its other obligations under the applicable indenture in respect of the debt securities of that series, without any action by us, any guarantor or the trustee and without the consent of the holders of any debt securities.</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addition, we may satisfy and discharge all our obligations under the indenture with respect to debt securities of any series, other than our obligation to register the transfer of and exchange debt securities of that series, provided that we either:</w:t>
      </w:r>
    </w:p>
    <w:p>
      <w:pPr>
        <w:spacing w:after="0" w:line="7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deliver all outstanding debt securities of that series to the trustee for cancellation; or</w:t>
      </w:r>
    </w:p>
    <w:p>
      <w:pPr>
        <w:spacing w:after="0" w:line="13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such debt securities not so delivered for cancellation have either become due and payable or will become due and payable at their stated maturity within one year or are to be called for redemption within one year, and in the case of this bullet point, we have deposited with the trustee in trust an amount of cash sufficient to pay the entire indebtedness of such debt securities, including interest to the stated maturity or applicable redemption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No past, present or future director, officer, employee, incorporator, member, manager, partner (whether general or limited), unitholder or stockholder of the Company or any guarantor, as such, will have any liability for any obligations of us or any guarantor, respectively, under the debt securities or the indentures or for any claim based on, in respect of, or by reason of, such obligations or their creation. Each holder of debt securities by accepting a debt security waives and releases all such liability. The waiver and release are part of the consideration for issuance of the debt securities and any guarantees. The waiver may not be effective to waive liabilities under the federal securities laws.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Remedies and Waiver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special rights if an event of default with respect to your series of debt securities occurs and is continuing, as described in this subsection.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Unless your prospectus supplement says otherwise, when we refer to an event of default with respect to any series of debt securities, we mean any of the following:</w:t>
      </w:r>
    </w:p>
    <w:p>
      <w:pPr>
        <w:spacing w:after="0" w:line="76"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do not pay the principal of and any premium on any debt security of that series on the due 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do not pay interest on any debt security of that series within 30 days after the due date;</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do not deposit a sinking fund payment with regard to any debt security of that series within 60 days after the due date, but only if the payment is required under provisions described in the applicable prospectus supplement;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31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remain in breach of our covenants regarding mergers or sales of substantially all of our assets or any other covenant we make in the indenture for the benefit of the relevant series, for 90 days after we receive a notice of default stating that we are in breach and requiring us to remedy the breach, which notice must be sent by the trustee or the holders of at least 25% in principal amount of the relevant series of debt securities;</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file for bankruptcy or other events of bankruptcy, insolvency or reorganization relating to the Company occur;</w:t>
      </w:r>
    </w:p>
    <w:p>
      <w:pPr>
        <w:spacing w:after="0" w:line="130" w:lineRule="exact"/>
        <w:rPr>
          <w:rFonts w:ascii="Arial" w:cs="Arial" w:eastAsia="Arial" w:hAnsi="Arial"/>
          <w:sz w:val="18"/>
          <w:szCs w:val="18"/>
          <w:color w:val="auto"/>
        </w:rPr>
      </w:pPr>
    </w:p>
    <w:p>
      <w:pPr>
        <w:ind w:left="900" w:right="140" w:hanging="325"/>
        <w:spacing w:after="0" w:line="31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the debt securities of that series are guaranteed debt securities, the guarantee of the debt securities of that series by any guarantor shall for any reason cease to be, or shall for any reason be asserted in writing by such guarantor or the Company, not to be, in full force and effect and enforceable in accordance with its terms, except to the extent contemplated or permitted by the indenture or the debt securities of that series; or</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applicable prospectus supplement states that any additional event of default applies to the series, that event of default occurs.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may change, eliminate, or add to the events of default with respect to any particular series or any particular debt security or debt securities within a series, as indicated in the applicable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Remedies if an Event of Default Occurs</w:t>
      </w:r>
    </w:p>
    <w:p>
      <w:pPr>
        <w:spacing w:after="0" w:line="12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If you are the holder of a subordinated debt security, all the remedies available upon the occurrence of an event of default under the subordinated debt indenture will be subject to the restrictions on the subordinated debt securities described above under “—Subordination Provisions.”</w:t>
      </w:r>
    </w:p>
    <w:p>
      <w:pPr>
        <w:spacing w:after="0" w:line="124"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Except as otherwise specified in the applicable prospectus supplement, if an event of default has occurred with respect to any series of debt securities and has not been cured or waived, the trustee or the holders of not less than 25% in principal amount of all debt securities of that series then outstanding may declare the entire principal amount of the debt securities of that series to be due immediately. Except as otherwise specified in the applicable prospectus supplement, if the event of default occurs because of events in bankruptcy, insolvency or reorganization relating to the Company, the entire principal amount of the debt securities of that series will be automatically accelerated, without any action by the trustee or any holder.</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Each of the situations described above is called an acceleration of the stated maturity of the affected series of debt securities. Except as otherwise specified in the applicable prospectus supplement, if the stated maturity of any series is accelerated and a judgment for payment has not yet been obtained, the holders of a majority in principal amount of the debt securities of that series may cancel the acceleration for the entire series.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an event of default occurs, the trustee will have special duties. In that situation, the trustee will be obligated to use those of its rights and powers under the relevant indenture, and to use the same degree of care and skill in doing so, that a prudent person would use in that situation in conducting his or her own affairs.</w:t>
      </w:r>
    </w:p>
    <w:p>
      <w:pPr>
        <w:spacing w:after="0" w:line="18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Except as described in the prior paragraph, the trustee is not required to take any action under the relevant indenture at the request of any holders unless the holders offer the trustee reasonable protection from expenses and liability. This is called an indemnity. If the trustee is provided with an indemnity reasonably satisfactory to it, the holders of a majority in principal amount of all debt securities of the relevant series may direct the time, method and place of conducting any lawsuit or other formal legal action seeking any remedy available to the trustee with respect to that series. These majority holders may also direct the trustee in performing any other action under the relevant indenture with respect to the debt securities of that series.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Before you bypass the trustee and bring your own lawsuit or other formal legal action or take other steps to enforce your rights or protect your interests relating to any debt security, all of the following must occur:</w:t>
      </w:r>
    </w:p>
    <w:p>
      <w:pPr>
        <w:spacing w:after="0" w:line="76" w:lineRule="exact"/>
        <w:rPr>
          <w:sz w:val="20"/>
          <w:szCs w:val="20"/>
          <w:color w:val="auto"/>
        </w:rPr>
      </w:pPr>
    </w:p>
    <w:p>
      <w:pPr>
        <w:ind w:left="900" w:right="36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holder of your debt security must give the trustee written notice that an event of default has occurred with respect to the debt securities of your series, and the event of default must not have been cured or waived;</w:t>
      </w:r>
    </w:p>
    <w:p>
      <w:pPr>
        <w:spacing w:after="0" w:line="75" w:lineRule="exact"/>
        <w:rPr>
          <w:rFonts w:ascii="Arial" w:cs="Arial" w:eastAsia="Arial" w:hAnsi="Arial"/>
          <w:sz w:val="18"/>
          <w:szCs w:val="18"/>
          <w:color w:val="auto"/>
        </w:rPr>
      </w:pPr>
    </w:p>
    <w:p>
      <w:pPr>
        <w:ind w:left="900" w:right="220" w:hanging="325"/>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all debt securities of your series must make a written request that the trustee take action because of the default, and they or other holders must offer to the trustee indemnity reasonably satisfactory to the trustee against the cost and other liabilities of taking that action;</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the above steps have been taken; and</w:t>
      </w:r>
    </w:p>
    <w:p>
      <w:pPr>
        <w:spacing w:after="0" w:line="130" w:lineRule="exact"/>
        <w:rPr>
          <w:rFonts w:ascii="Arial" w:cs="Arial" w:eastAsia="Arial" w:hAnsi="Arial"/>
          <w:sz w:val="18"/>
          <w:szCs w:val="18"/>
          <w:color w:val="auto"/>
        </w:rPr>
      </w:pPr>
    </w:p>
    <w:p>
      <w:pPr>
        <w:ind w:left="900" w:right="100" w:hanging="325"/>
        <w:spacing w:after="0" w:line="34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during those 60 days, the holders of a majority in principal amount of the debt securities of your series must not have given the trustee directions that are inconsistent with the written request of the holders of not less than 25% in principal amount of the debt securities of your series.</w:t>
      </w:r>
    </w:p>
    <w:p>
      <w:pPr>
        <w:spacing w:after="0" w:line="12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You are entitled at any time, however, to bring a lawsuit for the payment of money due on your debt security on or after its stated maturity (or, if your debt security is redeemable, on or after its redemption date).</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Book-entry and other indirect owners should consult their banks or brokers for information on how to give notice or direction to or make a request of the trustee and how to declare or cancel an acceleration of the maturity.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Waiver of Default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holders of not less than a majority in principal amount of the debt securities of any series may waive a default for all debt securities of that series. If this happens, the default will be treated as if it has not occurred. No one can waive a payment default on any debt security, however, without the approval of the particular holder of that debt security.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Information about Defaults to the Trustee</w:t>
      </w:r>
    </w:p>
    <w:p>
      <w:pPr>
        <w:spacing w:after="0" w:line="121"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We will furnish each trustee every year a written statement of two of our officers certifying that to their knowledge we are in compliance with the applicable indenture and the debt securities issued under it, or else specifying any default under the applicable indenture.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Waivers</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There are four types of changes we can make to either indenture and the debt securities or series of debt securities or any guarantees thereof issued under that indenture.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Requiring Each Holder’s Approval</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First, there are changes that cannot be made without the approval of each holder of a debt security affected by the change under the applicable debt indenture, including, among others:</w:t>
      </w:r>
    </w:p>
    <w:p>
      <w:pPr>
        <w:spacing w:after="0" w:line="76"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changing the stated maturity for any principal or interest payment on a debt security;</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reducing the principal amount, the amount payable on acceleration of the maturity after a default, the interest rate or the redemption price for a debt security;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permitting redemption of a debt security if not previously permitted;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impairing any right a holder may have to require purchase of its debt security;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impairing any right that a holder of a convertible debt security may have to convert the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changing the currency of any payment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changing the place of payment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impairing a holder’s right to sue for payment of any amount due on its debt security;</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releasing any guarantor of a debt security from any of its obligations under its guarantee thereof, except in accordance with the terms of the indenture;</w:t>
      </w:r>
    </w:p>
    <w:p>
      <w:pPr>
        <w:spacing w:after="0" w:line="75" w:lineRule="exact"/>
        <w:rPr>
          <w:rFonts w:ascii="Arial" w:cs="Arial" w:eastAsia="Arial" w:hAnsi="Arial"/>
          <w:sz w:val="18"/>
          <w:szCs w:val="18"/>
          <w:color w:val="auto"/>
        </w:rPr>
      </w:pPr>
    </w:p>
    <w:p>
      <w:pPr>
        <w:jc w:val="both"/>
        <w:ind w:left="900" w:right="160" w:hanging="325"/>
        <w:spacing w:after="0" w:line="31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reducing the percentage in principal amount of the debt securities of any one or more affected series, taken separately or together, as applicable, and whether comprising the same or different series or less than all of the debt securities of a series, the approval of whose holders is needed to change the indenture or those debt securities or waive our compliance with the applicable indenture or to waive defaults; and</w:t>
      </w:r>
    </w:p>
    <w:p>
      <w:pPr>
        <w:spacing w:after="0" w:line="52" w:lineRule="exact"/>
        <w:rPr>
          <w:rFonts w:ascii="Arial" w:cs="Arial" w:eastAsia="Arial" w:hAnsi="Arial"/>
          <w:sz w:val="16"/>
          <w:szCs w:val="16"/>
          <w:color w:val="auto"/>
        </w:rPr>
      </w:pPr>
    </w:p>
    <w:p>
      <w:pPr>
        <w:jc w:val="both"/>
        <w:ind w:left="900" w:right="280" w:hanging="325"/>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changing the provisions of the applicable indenture dealing with modification and waiver in any other respect, except to increase any required percentage referred to above or to add to the provisions that cannot be changed or waived without approval of the holder of each affected debt security.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Not Requiring Approval</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second type of change does not require any approval by holders of the debt securities affected. These changes are limited to clarifications and changes that would not adversely affect any debt securities of any series in any material respect. Nor do we need any approval to make changes that affect only debt securities to be issued under the applicable indenture after the changes take effect. We may also make changes or obtain waivers that do not adversely affect a particular debt security, even if they affect other debt securities. In those cases, we do not need to obtain the approval of the holder of the unaffected debt security; we need only obtain any required approvals from the holders of the affected debt securities. We may also make changes to reflect the addition of, succession to or release of any guarantor of guaranteed debt securities otherwise permitted under the indenture. We may also make changes to conform the text of the applicable indenture or any debt securities or guarantees to any provision of the “Description of Debt Securities and Guarantees” in this prospectus or the comparable section in your prospectus supplement, to the extent such provision was intended to be a verbatim recitation of a provision of such indenture or debt securities or guarantees.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Subordination Provisions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may not amend the indenture related to subordinated debt securities to alter the subordination of any outstanding subordinated debt securities without the written consent of each holder of senior debt then outstanding who would be adversely affected (or the group or representative thereof authorized or required to consent thereto pursuant to the instrument creating or evidencing, or pursuant to which there is outstanding, such senior debt). In addition, we may not modify the subordination provisions of the indenture related to subordinated debt securities in a manner that would adversely affect the subordinated debt securities of any one or more series then outstanding in any material respect, without the consent of the holders of a majority in aggregate principal amount of all affected series then outstanding, voting together as one class (and also of any affected series that by its terms is entitled to vote separately as a series, as described below).</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Requiring Majority Approval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a particular indenture and the debt securities issued under that indenture would require the following approval:</w:t>
      </w:r>
    </w:p>
    <w:p>
      <w:pPr>
        <w:spacing w:after="0" w:line="131" w:lineRule="exact"/>
        <w:rPr>
          <w:sz w:val="20"/>
          <w:szCs w:val="20"/>
          <w:color w:val="auto"/>
        </w:rPr>
      </w:pPr>
    </w:p>
    <w:p>
      <w:pPr>
        <w:ind w:left="900" w:right="16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change affects only particular debt securities within a series issued under the applicable indenture, it must be approved by the holders of a majority in principal amount of such particular debt securities;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325"/>
        <w:spacing w:after="0" w:line="273"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the change affects debt securities of more than one series issued under the applicable indenture, it must be approved by the holders of a majority in principal amount of all debt securities of all such series affected by the change, with all such affected debt securities voting together as one class for this purpose and such affected debt securities of any series potentially comprising fewer than all debt securities of such series, in each case, except as may otherwise be provided pursuant to such indenture for all or any particular debt securities of any series. This means that modification of terms with respect to certain securities of a series could be effectuated without obtaining the consent of the holders of a majority in principal amount of other securities of such series that are not affected by such modification.</w:t>
      </w:r>
    </w:p>
    <w:p>
      <w:pPr>
        <w:spacing w:after="0" w:line="178"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The same majority approval would be required for us to obtain a waiver of any of our covenants in either indenture. Our covenants include the promises we make about merging or selling substantially all of our assets, which we describe above under “—Mergers and Similar Transactions.” If the holders approve a waiver of a covenant, we will not have to comply with it. The holders, however, cannot approve a waiver of any provision in a particular debt security, or in the applicable indenture as it affects that debt security, that we cannot change without the approval of the holder of that debt security as described above in “—Changes Requiring Each Holder’s Approval,” unless that holder approves the waiver.</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may issue particular debt securities or a particular series of debt securities, as applicable, that are entitled, by their terms, to separately approve matters (for example, modification or waiver of provisions in the applicable indenture) that would also, or otherwise, require approval of holders of a majority in principal amount of all affected debt securities of all affected series issued under such indenture voting together as a single class. Any such affected debt securities or series of debt securities would be entitled to approve such matters (a) pursuant to such special rights by consent of holders of a majority in principal amount of such affected debt securities or series of debt securities voting separately as a class and (b) in addition, as described above, except as may otherwise be provided pursuant to the applicable indenture for such debt securities or series of debt securities, by consent of holders of a majority in principal amount of such affected debt securities or series of debt securities and all other affected debt securities of all series issued under such indenture voting together as one class for this purpose. We may issue series or debt securities of a series having these or other special voting rights without obtaining the consent of or giving notice to holders of outstanding debt securities or series.</w:t>
      </w:r>
    </w:p>
    <w:p>
      <w:pPr>
        <w:spacing w:after="0" w:line="182"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Book-entry and other indirect owners should consult their banks or brokers for information on how approval may be granted or denied if we seek to change an indenture or any debt securities or request a waiver.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Rules for Action by Holders</w:t>
      </w:r>
    </w:p>
    <w:p>
      <w:pPr>
        <w:spacing w:after="0" w:line="121" w:lineRule="exact"/>
        <w:rPr>
          <w:sz w:val="20"/>
          <w:szCs w:val="20"/>
          <w:color w:val="auto"/>
        </w:rPr>
      </w:pPr>
    </w:p>
    <w:p>
      <w:pPr>
        <w:jc w:val="both"/>
        <w:ind w:right="160" w:firstLine="456"/>
        <w:spacing w:after="0" w:line="276" w:lineRule="auto"/>
        <w:rPr>
          <w:sz w:val="20"/>
          <w:szCs w:val="20"/>
          <w:color w:val="auto"/>
        </w:rPr>
      </w:pPr>
      <w:r>
        <w:rPr>
          <w:rFonts w:ascii="Arial" w:cs="Arial" w:eastAsia="Arial" w:hAnsi="Arial"/>
          <w:sz w:val="17"/>
          <w:szCs w:val="17"/>
          <w:color w:val="auto"/>
        </w:rPr>
        <w:t>Only holders of outstanding debt securities of the applicable series will be eligible to take any action under the applicable indenture, such as giving a notice of default, declaring an acceleration, approving any change or waiver or giving the trustee an instruction with respect to debt securities of that series. Also, we will count only outstanding debt securities in determining whether the various percentage requirements for taking action have been met. Any debt securities owned by us or any of our affiliates or surrendered for cancellation or for payment or redemption, for which money has been set aside in trust, are not deemed to be outstanding. Any required approval or waiver must be given by written consent.</w:t>
      </w:r>
    </w:p>
    <w:p>
      <w:pPr>
        <w:spacing w:after="0" w:line="17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some situations, we may follow special rules in calculating the principal amount of debt securities that are to be treated as outstanding for the purposes described above. This may happen, for example, if the principal amount is payable in a non-U.S. dollar currency, increases over time or is not to be fixed until maturity.</w:t>
      </w:r>
    </w:p>
    <w:p>
      <w:pPr>
        <w:spacing w:after="0" w:line="18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We will generally be entitled to set any day as a record date for the purpose of determining the holders that are entitled to take action under either indenture. In certain limited circumstances, only the trustee will be entitled to set a record date for action by holders. If we or the trustee sets a record date for an approval or other action to be taken by holders, that vote or action may be taken only by persons or entities who are holders on the record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date and must be taken during the period that we specify for this purpose, or that the trustee specifies if it sets the record date. We or the trustee, as applicable, may shorten or lengthen this period from time to time. This period, however, may not extend beyond the 180th day after the record date for the action. In addition, record dates for any global debt security may be set in accordance with procedures established by the depositary from time to time. Accordingly, record dates for global debt securities may differ from those for other debt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debt securities cease to be issued in registered global form, they will be issued:</w:t>
      </w:r>
    </w:p>
    <w:p>
      <w:pPr>
        <w:spacing w:after="0" w:line="13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only in fully registered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unless we indicate otherwise in your prospectus supplement, in denominations of $2,000 and integral multiples of $1,000.</w:t>
      </w:r>
    </w:p>
    <w:p>
      <w:pPr>
        <w:spacing w:after="0" w:line="225"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Holders may exchange their debt securities for debt securities of smaller denominations or combined into fewer debt securities of larger denominations, as long as the total principal amount is not changed. You may not exchange your debt securities for securities of a different series or having different terms, unless your prospectus supplement and the supplemental indenture with respect to your debt securities provide for such exchange.</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Holders may exchange or transfer their debt securities at the office of the trustee. They may also replace lost, stolen, destroyed or mutilated debt securities at that office. We have appointed the trustee to act as our agent for registering debt securities in the names of holders and transferring and replacing debt securities. We may appoint another entity to perform these functions or perform them ourselves.</w:t>
      </w:r>
    </w:p>
    <w:p>
      <w:pPr>
        <w:spacing w:after="0" w:line="181"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Holders will not be required to pay a service charge to transfer or exchange their debt securities, but they may be required to pay for any tax or other governmental charge associated with the exchange or transfer. The transfer or exchange, and any replacement, will be made only if our transfer agent is satisfied with the holder’s proof of legal ownership. The transfer agent may require an indemnity before replacing any debt securities.</w:t>
      </w:r>
    </w:p>
    <w:p>
      <w:pPr>
        <w:spacing w:after="0" w:line="147" w:lineRule="exact"/>
        <w:rPr>
          <w:sz w:val="20"/>
          <w:szCs w:val="20"/>
          <w:color w:val="auto"/>
        </w:rPr>
      </w:pPr>
    </w:p>
    <w:p>
      <w:pPr>
        <w:jc w:val="both"/>
        <w:ind w:right="160" w:firstLine="456"/>
        <w:spacing w:after="0" w:line="342" w:lineRule="auto"/>
        <w:rPr>
          <w:sz w:val="20"/>
          <w:szCs w:val="20"/>
          <w:color w:val="auto"/>
        </w:rPr>
      </w:pPr>
      <w:r>
        <w:rPr>
          <w:rFonts w:ascii="Arial" w:cs="Arial" w:eastAsia="Arial" w:hAnsi="Arial"/>
          <w:sz w:val="16"/>
          <w:szCs w:val="16"/>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2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If the debt securities of any series are redeemable and we redeem less than all those debt securities,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of or exchange any debt security selected for redemption, except that we will continue to permit transfers and exchanges of the unredeemed portion of any debt security being partially redeemed.</w:t>
      </w:r>
    </w:p>
    <w:p>
      <w:pPr>
        <w:spacing w:after="0" w:line="17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If a debt security is issued as a global debt security, only DTC or other depositary will be entitled to transfer and exchange the debt security as described in this subsection because the depositary will be the sole holder of the debt security.</w:t>
      </w:r>
    </w:p>
    <w:p>
      <w:pPr>
        <w:spacing w:after="0" w:line="170"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The rules for exchange described above apply to exchange of debt securities for other debt securities of the same series and kind. If a debt security is convertible, exercisable or exchangeable into or for a different kind of security, such as one that we have not yet issued, or for other property, the rules governing that type of conversion, exercise or exchange will be described in the applicable prospectus supplement.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w:t>
      </w:r>
    </w:p>
    <w:p>
      <w:pPr>
        <w:spacing w:after="0" w:line="121" w:lineRule="exact"/>
        <w:rPr>
          <w:sz w:val="20"/>
          <w:szCs w:val="20"/>
          <w:color w:val="auto"/>
        </w:rPr>
      </w:pPr>
    </w:p>
    <w:p>
      <w:pPr>
        <w:ind w:right="680" w:firstLine="456"/>
        <w:spacing w:after="0" w:line="308" w:lineRule="auto"/>
        <w:rPr>
          <w:sz w:val="20"/>
          <w:szCs w:val="20"/>
          <w:color w:val="auto"/>
        </w:rPr>
      </w:pPr>
      <w:r>
        <w:rPr>
          <w:rFonts w:ascii="Arial" w:cs="Arial" w:eastAsia="Arial" w:hAnsi="Arial"/>
          <w:sz w:val="17"/>
          <w:szCs w:val="17"/>
          <w:color w:val="auto"/>
        </w:rPr>
        <w:t>We will pay interest, principal and other amounts payable with respect to the debt securities of any series to the holders of record of those debt securities as of the record dates and otherwise in the manner specified below or in the prospectus supplement for that series.</w:t>
      </w:r>
    </w:p>
    <w:p>
      <w:pPr>
        <w:spacing w:after="0" w:line="14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We will make payments on a global debt security in accordance with the applicable policies of the depositary as in effect from time to time. Under those policies, we will pay directly to the depositary, or its nominee, and not to any indirect owners who own beneficial interests in the global debt security. An indirect owner’s right to receive those payments will be governed by the rules and practices of the depositary and its participants.</w:t>
      </w:r>
    </w:p>
    <w:p>
      <w:pPr>
        <w:spacing w:after="0" w:line="166"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We will make payments on a debt security in non-global, registered form as follows. We will pay interest that is due on an interest payment date by check mailed on the interest payment date to the holder at his or her address shown on the trustee’s records as of the close of business on the regular record date. We will make all other payments by check at the paying agent described below, against surrender of the debt security. All payments by check will be made in next-day funds—i.e., funds that become available on the day after the check is cashed.</w:t>
      </w:r>
    </w:p>
    <w:p>
      <w:pPr>
        <w:spacing w:after="0" w:line="17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Alternatively, if a non-global debt security has a face amount of at least $1,000,000 and the holder asks us to do so, we will pay any amount that becomes due on the debt security by wire transfer of immediately available funds to an account at a bank in New York City, on the due date. To request wire payment, the holder must give the paying agent appropriate wire transfer instructions at least five business days before the requested wire payment is due. In the case of any interest payment due on an interest payment date, the instructions must be given by the person or entity who is the holder on the relevant regular record date. In the case of any other payment, payment will be made only after the debt security is surrendered to the paying agent. Any wire instructions, once properly given, will remain in effect unless and until new instructions are given in the manner described above.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owners should consult their banks or brokers for information on how they will receive payments on their debt securities.</w:t>
      </w:r>
    </w:p>
    <w:p>
      <w:pPr>
        <w:spacing w:after="0" w:line="24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Regardless of who acts as paying agent, all money paid by us to a paying agent that remains unclaimed at the end of two years after the amount is due to a holder will be repaid to us. After that two-year period, the holder may look only to us for payment and not to the trustee, any other paying agent or anyone else.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debt securities of any series may be guaranteed by one or more of our existing and future subsidiaries, including Diamondback O&amp;G LLC, Diamondback E&amp;P LLC and Viper Energy Partners LLC. However, the applicable indenture governing the debt securities will not require that any of our subsidiaries be a guarantor of any series of debt securities and will permit the guarantors of any series of guaranteed debt securities to differ from the guarantors of any other series of guaranteed debt securities. If the Company issues a series of guaranteed debt securities, the identity of the specific guarantors of the debt securities of that series will be identified in the applicable prospectus supplement.</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we issue a series of guaranteed debt securities, a description of some of the terms of guarantees of those debt securities will be set forth in the applicable prospectus supplement. Unless otherwise provided in the prospectus supplement relating to a series of guaranteed debt securities, each guarantor of the debt securities of such series will fully and unconditionally guarantee, on a joint and several basis with each other guarantor, the due and punctual payment of the principal of, and premium, if any, and interest on each debt security of such series, all in accordance with the terms of such debt securities and the applicable indenture.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Notwithstanding the foregoing, unless otherwise provided in the prospectus supplement relating to a series of guaranteed debt securities, the applicable indenture will contain provisions to the effect that the obligations of each guarantor under its guarantees and such indenture shall be limited to the maximum amount as will, after giving effect to all other contingent and fixed liabilities of such guarantor, result in the obligations of such guarantor under such guarantees and such indenture not constituting a fraudulent conveyance or fraudulent transfer under applicable law. However, there can be no assurance that, notwithstanding such limitation, a court would not determine that a guarantee constituted a fraudulent conveyance or fraudulent transfer under applicable law. If that were to occur, the court could void the applicable guarantor’s obligations under that guarantee, subordinate that guarantee to other debt and other liabilities of that guarantor or take other action detrimental to holders of the debt securities of the applicable series, including directing the holders to return any payments received from the applicable guarantor.</w:t>
      </w:r>
    </w:p>
    <w:p>
      <w:pPr>
        <w:spacing w:after="0" w:line="17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Unless otherwise provided in the prospectus supplement relating to a series of guaranteed debt securities, the applicable indenture will (i) provide that, upon the sale or disposition (by merger or otherwise) of any guarantor, (x) if the transferee is not an affiliate of the Company, such guarantor will automatically be released from all obligations under its guarantee of such debt securities or (y) otherwise, the transferee (if other than the Company or another guarantor) will assume the guarantor’s obligations under its guarantee of such debt securities and (ii) permit us to cause the guarantee of any guarantor of such debt securities to be released at any time if we satisfy such conditions, if any, as are specified in the prospectus supplement for such debt securities.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applicable prospectus supplement relating to any series of guaranteed debt securities will specify other terms of the applicable guarantees.</w:t>
      </w:r>
    </w:p>
    <w:p>
      <w:pPr>
        <w:spacing w:after="0" w:line="2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applicable prospectus supplement relating to a series of our senior debt securities provides that those senior debt securities will have the benefit of a guarantee by any or all of our subsidiaries, unless otherwise provided in the applicable prospectus supplement, each such guarantee will be the unsubordinated and unsecured obligation of the applicable guarantor and will rank equally in right of payment with all of the unsecured and unsubordinated indebtedness of such guarantor.</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Any guarantee of any debt securities will be effectively subordinated to all existing and future secured indebtedness of the applicable guarantor, including any secured guarantees of other Company debt, to the extent of the value of the collateral securing that indebtedness. Consequently, in the event of a bankruptcy, or similar proceeding with respect to any guarantor that has provided a guarantee of any debt securities, the holders of that guarantor’s secured indebtedness will be entitled to proceed directly against the collateral that secures that secured indebtedness and such collateral will not be available for satisfaction of any amount owed by such guarantor under its unsecured indebtedness, including its guarantees of any debt securities, until that secured debt is satisfied in full. Unless otherwise provided in the applicable prospectus supplement, the indenture will not limit the ability of any guarantor to incur secured indebtedness.</w:t>
      </w:r>
    </w:p>
    <w:p>
      <w:pPr>
        <w:spacing w:after="0" w:line="189" w:lineRule="exact"/>
        <w:rPr>
          <w:sz w:val="20"/>
          <w:szCs w:val="20"/>
          <w:color w:val="auto"/>
        </w:rPr>
      </w:pPr>
    </w:p>
    <w:p>
      <w:pPr>
        <w:jc w:val="both"/>
        <w:ind w:right="20" w:firstLine="456"/>
        <w:spacing w:after="0" w:line="297" w:lineRule="auto"/>
        <w:rPr>
          <w:sz w:val="20"/>
          <w:szCs w:val="20"/>
          <w:color w:val="auto"/>
        </w:rPr>
      </w:pPr>
      <w:r>
        <w:rPr>
          <w:rFonts w:ascii="Arial" w:cs="Arial" w:eastAsia="Arial" w:hAnsi="Arial"/>
          <w:sz w:val="16"/>
          <w:szCs w:val="16"/>
          <w:color w:val="auto"/>
        </w:rPr>
        <w:t>If the applicable prospectus supplement relating to a series of our subordinated debt securities provides that those subordinated debt securities will have the benefit of a guarantee by any or all of our subsidiaries, unless otherwise provided in the applicable prospectus supplement, each such guarantee will be the subordinated and unsecured obligation of the applicable guarantor and, in addition to being effectively subordinated to secured debt of such guarantor, will be subordinated in right of payment to all of such guarantor’s existing and future senior indebtedness, including any guarantee of the senior debt securities, to the same extent and in the same manner as the subordinated debt securities are subordinated to our senior debt. See “—Subordination Provisions” above.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may appoint one or more financial institutions to act as our paying agents, at whose designated offices debt securities in non-global entry form may be surrendered for payment at their maturity. We call each of those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offices a paying agent. We may add, replace or terminate paying agents from time to time. We may also choose to act as our own paying agent. We will specify in the prospectus supplement for your debt security the initial location of each paying agent for that debt security. We must notify the trustee of changes in the paying agents.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Notices to be given to holders of a global debt security will be given only to the depositary, in accordance with its applicable policies as in effect from time to time. Notices to be given to holders of debt securities not in global form will be sent by mail to the respective addresses of the holders as they appear in the trustee’s records, and will be deemed given when mailed. Neither the failure to give any notice to a particular holder, nor any defect in a notice given to a particular holder, will affect the sufficiency of any notice given to another holder.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Book-entry and other indirect owners should consult their banks or brokers for information on how they will receive notices.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the Trustee</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prospectus supplement for your debt security will describe any material relationships we may have with the trustee with respect to that debt security.</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same financial institution may initially serve as the trustee for our senior debt securities and subordinated debt securities. Consequently, if an actual or potential event of default occurs with respect to any of these securities, the trustee may be considered to have a conflicting interest for purposes of the Trust Indenture Act of 1939. In that case, the trustee may be required to resign under one or more of the indentures, and we would be required to appoint a successor trustee. For this purpose, a “potential” event of default means an event that would be an event of default if the requirements for giving us default notice or for the default having to exist for a specific period of time were disregarded.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description of our common stock, certificate of incorporation and our bylaws are summaries thereof and are qualified by reference to our certificate of incorporation and our bylaws, copies of which have been filed with the SEC.</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authorized capital stock consists of 100,000,000 shares of common stock, par value $0.01 per share, and 10,000,000 shares of preferred stock, par value $0.01 per share. Our common stock is listed on the NASDAQ Global Select Market under the symbol “FANG.”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Holders of shares of common stock are entitled to one vote per share on all matters submitted to a vote of stockholders. Shares of common stock do not have cumulative voting rights, which means that the holders of more than 50% of the shares voting for the election of the board of directors can elect all the directors to be elected at that time, and, in such event, the holders of the remaining shares will be unable to elect any directors to be elected at that time. Our certificate of incorporation denies stockholders any preemptive rights to acquire or subscribe for any stock, obligation, warrant or other securities of ours. Holders of shares of our common stock have no redemption or conversion rights nor are they entitled to the benefits of any sinking fund provisions.</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the event of our liquidation, dissolution or winding up, holders of shares of common stock shall be entitled to receive, pro rata, all the remaining assets of our company available for distribution to our stockholders after payment of our debts and after there shall have been paid to or set aside for the holders of capital stock ranking senior to common stock in respect of rights upon liquidation, dissolution or winding up the full preferential amounts to which they are respectively entitled.</w:t>
      </w:r>
    </w:p>
    <w:p>
      <w:pPr>
        <w:spacing w:after="0" w:line="18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Holders of record of shares of common stock are entitled to receive dividends when and if declared by the board of directors out of any assets legally available for such dividends, subject to both the rights of all outstanding shares of capital stock ranking senior to the common stock in respect of dividends and to any dividend restrictions contained in debt agreements. All outstanding shares of common stock and any shares sold and issued in this offering will be fully paid and nonassessable by us. As of October 28, 2013, there were 47,067,116 shares of our common stock outstanding.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Our board of directors is authorized to issue up to 10,000,000 shares of preferred stock in one or more series. The board of directors may fix for each series:</w:t>
      </w:r>
    </w:p>
    <w:p>
      <w:pPr>
        <w:spacing w:after="0" w:line="76"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distinctive serial designation and number of shares of the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voting powers and the right, if any, to elect a director or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of office of any directors the holders of preferred shares are entitled to elect;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dividend rights,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of redemption, and the amount of and provisions regarding any sinking fund for the purchase or redemption thereof;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liquidation preferences and the amounts payable on dissolution or liquidation;</w:t>
      </w:r>
    </w:p>
    <w:p>
      <w:pPr>
        <w:spacing w:after="0" w:line="130"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and conditions under which shares of the series may or shall be converted into any other series or class of stock or debt of the corporation;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terms or provisions which the board of directors is legally authorized to fix or alter.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do not need stockholder approval to issue or fix the terms of the preferred stock. The actual effect of the authorization of the preferred stock upon your rights as holders of common stock is unknown until our board of directors determines the specific rights of owners of any series of preferred stock. Depending upon the rights granted to any series of preferred stock, your voting power, liquidation preference or other rights could be adversely affected. Preferred stock may be issued in acquisitions or for other corporate purposes. Issuance in connection with a stockholder rights plan or other takeover defense could have the effect of making it more difficult for a third party to acquire, or of discouraging a third party from acquiring, control of our company. We currently have no outstanding preferred stock and have no present plans to issue any shares of preferred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and Corporate Opportunities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limitations of applicable law, our certificate of incorporation, among other things:</w:t>
      </w:r>
    </w:p>
    <w:p>
      <w:pPr>
        <w:spacing w:after="0" w:line="131" w:lineRule="exact"/>
        <w:rPr>
          <w:sz w:val="20"/>
          <w:szCs w:val="20"/>
          <w:color w:val="auto"/>
        </w:rPr>
      </w:pPr>
    </w:p>
    <w:p>
      <w:pPr>
        <w:ind w:left="900" w:right="16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permits us to enter into transactions with entities in which one or more of our officers or directors are financially or otherwise interested so long as it has been approved by our board of directors;</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permits any of our stockholders, officers or directors to conduct business that competes with us and to make investments in any kind of property in which we may make investments; and</w:t>
      </w:r>
    </w:p>
    <w:p>
      <w:pPr>
        <w:spacing w:after="0" w:line="75" w:lineRule="exact"/>
        <w:rPr>
          <w:rFonts w:ascii="Arial" w:cs="Arial" w:eastAsia="Arial" w:hAnsi="Arial"/>
          <w:sz w:val="18"/>
          <w:szCs w:val="18"/>
          <w:color w:val="auto"/>
        </w:rPr>
      </w:pPr>
    </w:p>
    <w:p>
      <w:pPr>
        <w:ind w:left="900" w:hanging="325"/>
        <w:spacing w:after="0" w:line="297"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provides that if any director or officer of one of our affiliates who is also one of our officers or directors becomes aware of a potential business opportunity, transaction or other matter (other than one expressly offered to that director or officer in writing solely in his or her capacity as our director or officer), that director or officer will have no duty to communicate or offer that opportunity to us, and will be permitted to communicate or offer that opportunity to such affiliates and that director or officer will not be deemed to have (i) acted in a manner inconsistent with his or her fiduciary or other duties to us regarding the opportunity or (ii) acted in bad faith or in a manner inconsistent with our best interests.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Certificate of Incorporation and Our Bylaws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Some provisions of our certificate of incorporation and our bylaws contain provisions that could make it more difficult to acquire us by means of a merger, tender offer, proxy contest or otherwise, or to remove our incumbent officers and directors. 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such proposals because negotiation of such proposals could result in an improvement of their terms.</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b w:val="1"/>
          <w:bCs w:val="1"/>
          <w:i w:val="1"/>
          <w:iCs w:val="1"/>
          <w:color w:val="auto"/>
        </w:rPr>
        <w:t xml:space="preserve">Undesignated preferred stock. </w:t>
      </w:r>
      <w:r>
        <w:rPr>
          <w:rFonts w:ascii="Arial" w:cs="Arial" w:eastAsia="Arial" w:hAnsi="Arial"/>
          <w:sz w:val="18"/>
          <w:szCs w:val="18"/>
          <w:color w:val="auto"/>
        </w:rPr>
        <w:t>The ability to authorize and issue undesignated preferred stock may enable our board of directors to render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difficult or discourage an attempt to change control of us by means of a merger, tender offer, proxy contest or otherwise. For example, if in the due exercise of its fiduciary obligations, the board of directors were to determine that a takeover proposal is not in our best interest, the board of directors could cause shares of preferred stock to be issued without stockholder approval in one or more private offerings or other transactions that might dilute the voting or other rights of the proposed acquirer or insurgent stockholder or stockholder group.</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Stockholder meetings. </w:t>
      </w:r>
      <w:r>
        <w:rPr>
          <w:rFonts w:ascii="Arial" w:cs="Arial" w:eastAsia="Arial" w:hAnsi="Arial"/>
          <w:sz w:val="18"/>
          <w:szCs w:val="18"/>
          <w:color w:val="auto"/>
        </w:rPr>
        <w:t>Our certificate of incorporation and bylaws provide that a special meeting of stockholders may be called only by the Chairman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Board, the Chief Executive Officer or by a resolution adopted by a majority of our board of directors.</w:t>
      </w:r>
    </w:p>
    <w:p>
      <w:pPr>
        <w:spacing w:after="0" w:line="17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b w:val="1"/>
          <w:bCs w:val="1"/>
          <w:i w:val="1"/>
          <w:iCs w:val="1"/>
          <w:color w:val="auto"/>
        </w:rPr>
        <w:t xml:space="preserve">Requirements for advance notification of stockholder nominations and proposals. </w:t>
      </w:r>
      <w:r>
        <w:rPr>
          <w:rFonts w:ascii="Arial" w:cs="Arial" w:eastAsia="Arial" w:hAnsi="Arial"/>
          <w:sz w:val="16"/>
          <w:szCs w:val="16"/>
          <w:color w:val="auto"/>
        </w:rPr>
        <w:t>Our bylaws establish advance notice procedures with respect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 proposals and the nomination of candidates for election as directors, other than nominations made by or at the direction of the board of directors.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i w:val="1"/>
          <w:iCs w:val="1"/>
          <w:color w:val="auto"/>
        </w:rPr>
        <w:t xml:space="preserve">Stockholder action by written consent. </w:t>
      </w:r>
      <w:r>
        <w:rPr>
          <w:rFonts w:ascii="Arial" w:cs="Arial" w:eastAsia="Arial" w:hAnsi="Arial"/>
          <w:sz w:val="16"/>
          <w:szCs w:val="16"/>
          <w:color w:val="auto"/>
        </w:rPr>
        <w:t>Our certificate of incorporation provides that, except as may otherwise be provided with respect to the rights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holders of preferred stock, no action that is required or permitted to be taken by our stockholders at any annual or special meeting may be effected by written consent of stockholders in lieu of a meeting of stockholders, unless the action to be effected by written consent of stockholders and the taking of such action by such written consent have expressly been approved in advance by our board. This provision, which may not be amended except by the affirmative vote of at least 66 2/3% of the voting power of all then outstanding shares of capital stock entitled to vote generally in the election of directors, voting together as a single class, makes it difficult for stockholders to initiate or effect an action by written consent that is opposed by our board.</w:t>
      </w:r>
    </w:p>
    <w:p>
      <w:pPr>
        <w:spacing w:after="0" w:line="16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Amendment of the bylaws. </w:t>
      </w:r>
      <w:r>
        <w:rPr>
          <w:rFonts w:ascii="Arial" w:cs="Arial" w:eastAsia="Arial" w:hAnsi="Arial"/>
          <w:sz w:val="18"/>
          <w:szCs w:val="18"/>
          <w:color w:val="auto"/>
        </w:rPr>
        <w:t>Under Delaware law, the power to adopt, amend or repeal bylaws is conferred upon the stockholders. A corporation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however, in its certificate of incorporation also confer upon the board of directors the power to adopt, amend or repeal its bylaws. Our certificate of incorporation and bylaws grant our board the power to adopt, amend and repeal our bylaws at any regular or special meeting of the board on the affirmative vote of a majority of the directors then in office. Our stockholders may adopt, amend or repeal our bylaws but only at any regular or special meeting of stockholders by an affirmative vote of holders of at least 66 2/3% of the voting power of all then outstanding shares of capital stock entitled to vote generally in the election of directors, voting together as a single class.</w:t>
      </w:r>
    </w:p>
    <w:p>
      <w:pPr>
        <w:spacing w:after="0" w:line="193"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Removal of Director. </w:t>
      </w:r>
      <w:r>
        <w:rPr>
          <w:rFonts w:ascii="Arial" w:cs="Arial" w:eastAsia="Arial" w:hAnsi="Arial"/>
          <w:sz w:val="18"/>
          <w:szCs w:val="18"/>
          <w:color w:val="auto"/>
        </w:rPr>
        <w:t>Our certificate of incorporation and bylaws provide that members of our board of directors may only be removed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affirmative vote of holders of at least 66 2/3% of the voting power of all then outstanding shares of capital stock entitled to vote generally in the election of directors, voting together as a single class.</w:t>
      </w:r>
    </w:p>
    <w:p>
      <w:pPr>
        <w:spacing w:after="0" w:line="181"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Amendment of the Certificate of Incorporation. </w:t>
      </w:r>
      <w:r>
        <w:rPr>
          <w:rFonts w:ascii="Arial" w:cs="Arial" w:eastAsia="Arial" w:hAnsi="Arial"/>
          <w:sz w:val="16"/>
          <w:szCs w:val="16"/>
          <w:color w:val="auto"/>
        </w:rPr>
        <w:t>Our certificate of incorporation provides that, in addition to any other vote that may be required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law or any preferred stock designation, the affirmative vote of the holders of at least 66 2/3% of the voting power of all then outstanding shares of capital stock entitled to vote generally in the election of directors, voting together as a single class, is required to amend, alter or repeal, or adopt any provision as part of our certificate of incorporation inconsistent with the provisions of our certificate of incorporation dealing with distributions on our common stock, related party transactions, our board of directors, our bylaws, meetings of our stockholders or amendment of our certificate of incorporation.</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provisions of our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which stockholders may otherwise deem to be in their best interests.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certificate of incorporation provides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Delaware General Corporation Law or our certificate of incorporation or bylaws; or (iv) any action asserting a claim against us pertaining to internal affairs of our corporation. Our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certificate of incorporation is inapplicable or unenforceable if it is challenged in a proceeding or otherwise.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Offering and Sale of Securities</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We and the selling security holders, which as used in this prospectus includes donees, pledgees, transferees or other successors-in-interest selling common stock received after the date of this prospectus from a selling security holder as a gift, pledge, distribution or other transfer, may, from time to time, sell, transfer or otherwise dispose of any or all of the securities offered by this prospectus or any applicable prospectus supplement on any stock exchange, market or trading facility on which such securities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selling security holders may use any one or more of the following methods when disposing of the offered securities:</w:t>
      </w:r>
    </w:p>
    <w:p>
      <w:pPr>
        <w:spacing w:after="0" w:line="131"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short sales effected after the date of this prospectus;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broker-dealers may agree to sell a specified number of such common stock at a stipulated price per share;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selling security holders also may resell all or a portion of the common stock in open market transactions in reliance upon Rule 144 under the Securities Act.</w:t>
      </w:r>
    </w:p>
    <w:p>
      <w:pPr>
        <w:spacing w:after="0" w:line="170"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If underwriters are used to sell the securities, we and the selling security holders, if any, will enter into an underwriting agreement or similar agreement with them at the time of the sale to them. In that event, underwriters may receive compensation from us and the selling security holders, if any, in the form of underwriting discounts or commissions and may also receive commissions from purchasers of the securities for whom they may act as agent.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extent required by applicable law, a prospectus supplement relating to the securities will set forth:</w:t>
      </w:r>
    </w:p>
    <w:p>
      <w:pPr>
        <w:spacing w:after="0" w:line="13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offering terms, including the name or names of any underwriters, dealers or agents;</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or amount of the securities involved, the purchase price of such securities and the proceeds to us and the selling security holders, if any, from such sale;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underwriting discounts, concessions, commissions and other items constituting compensation to underwriters, dealers or agents;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by underwriters or dealers to other dealers;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securities may be offered to the public either through underwriting syndicates represented by one or more managing underwriters or directly by one or more of such firms. Unless otherwise set forth in an applicable prospectus supplement, the obligations of underwriters or dealers to purchase the securities will be subject to certain conditions precedent and the underwriters or dealers will be obligated to purchase all the securities if any are purchased. Any public offering price and any discounts or concessions allowed or reallowed or paid by underwriters or dealers to other dealers may be changed from time to time.</w:t>
      </w:r>
    </w:p>
    <w:p>
      <w:pPr>
        <w:spacing w:after="0" w:line="154"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The selling security holders and any underwriters, dealers or agents that are involved in selling the securities may be deemed to be “underwriters” within the meaning of the Securities Act in connection with such sales. In such event, any commissions received by them and any profit on the resale of the securities purchased by them may be deemed to be underwriting commissions or discounts under the Securities Act.</w:t>
      </w:r>
    </w:p>
    <w:p>
      <w:pPr>
        <w:spacing w:after="0" w:line="166"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order to comply with the securities laws of some states, the shares sold in those jurisdictions may only be sold through registered or licensed brokers or dealers. In addition, in some states, the shares may not be sold unless the shares have been registered or qualified for sale in that state or an exemption from registration or qualification is available and is complied with.</w:t>
      </w:r>
    </w:p>
    <w:p>
      <w:pPr>
        <w:spacing w:after="0" w:line="18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securities may be sold directly by us, the selling security holders or through agents designated by us from time to time. Any agent involved in the offer or sale of the securities in respect of which this prospectus and a prospectus supplement is delivered will be named, and any commissions payable by us or the selling security holders to such agent will be set forth, in any required prospectus supplement. Unless otherwise indicated in the prospectus supplement, any such agent will be acting on a best efforts basis for the period of its appointment.</w:t>
      </w:r>
    </w:p>
    <w:p>
      <w:pPr>
        <w:spacing w:after="0" w:line="187"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If so indicated in the prospectus supplement, we or the selling security holders will authorize underwriters, dealers or agents to solicit offers from certain specified institutions to purchase securities from us or the selling security holders at the public offering price set forth in the prospectus supplement pursuant to delayed delivery contracts providing for payment and delivery on a specified date in the future. Such contracts will be subject to any conditions set forth in the prospectus supplement and the prospectus supplement will set forth the commissions payable for solicitation of such contracts. The underwriters and other persons soliciting such contracts will have no responsibility for the validity or performance of any such contracts.</w:t>
      </w:r>
    </w:p>
    <w:p>
      <w:pPr>
        <w:spacing w:after="0" w:line="15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Underwriters, dealers and agents may be entitled under agreements entered into with us or the selling security holders to be indemnified by us against certain civil liabilities, including liabilities under the Securities Act, or to contribution by us to payments which they may be required to make. The terms and conditions of such indemnification will be described in an applicable prospectus supplement. Underwriters, dealers and agents may be customers of, engage in transactions with or perform services for us or the selling security holders in the ordinary course of business.</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Any underwriters to whom securities are sold by us or the selling security holders for public offering and sale may make a market in such securities, but such underwriters will not be obligated to do so and may discontinue any market making at any time without notice. No assurance can be given as to the liquidity of the trading market for any securities.</w:t>
      </w:r>
    </w:p>
    <w:p>
      <w:pPr>
        <w:spacing w:after="0" w:line="18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Certain persons participating in any offering of securities may engage in transactions that stabilize, maintain or otherwise affect the price of the securities offered. In connection with any such offering, the underwriters, dealers or agents, as the case may be, may purchase and sell securities in the open market. These transactions may include overallotment and stabilizing transactions and purchases to cover syndicate short positions created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offering. Stabilizing transactions consist of certain bids or purchases for the purpose of preventing or retarding a decline in the market price of the securities and syndicate short positions involve the sale by the underwriters, dealers or agents, as the case may be, of a greater number of securities than they are required to purchase from us in the offering. The underwriters may also impose a penalty bid, whereby selling concessions allowed to syndicate members or other broker-dealers for the securities sold for their account may be reclaimed by the syndicate if such securities are repurchased by the syndicate in stabilizing or covering transactions. These activities may stabilize, maintain or otherwise affect the market price of the securities, which may be higher than the price that might otherwise prevail in the open market, and if commenced, may be discontinued at any time. These transactions may be effected on The NASDAQ Global Select Market, in the over-the-counter market or otherwise. These activities will be described in more detail in the sections entitled “Plan of Distribution” or “Underwriting” in the applicable prospectus supplement.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filed with the SEC a registration statement on Form S-3 under the Securities Act covering the securities offered by this prospectus. This prospectus does not contain all of the information that you can find in that registration statement and its exhibits. Certain items are omitted from this prospectus in accordance with the rules and regulations of the SEC. For further information with respect to us and the securities offered by this prospectus, reference is made to the registration statement and the exhibits filed with the registration statement. Statements contained in this prospectus as to the contents of any contract or other document referred to are not necessarily complete and in each instance such statement is qualified by reference to each such contract or document filed with or incorporated by reference as part of the registration statement. We file reports, proxy and information statements and other information with the SEC. You may read any materials we have filed with the SEC free of charge at the SEC’s Public Reference Room at 100 F Street, N.E., Room 1580, Washington, D.C. 20549. Copies of all or any part of these documents may be obtained from such office upon the payment of the fees prescribed by the SEC. The public may obtain information on the operation of the public reference room by calling the SEC at 1-800-SEC-0330. The SEC maintains an Internet site that contains reports, proxy and information statements and other information regarding registrants that file electronically with the SEC. The address of the site is http://www.sec.gov. The registration statement, including all exhibits thereto and amendments thereof, has been filed electronically with the SEC.</w:t>
      </w:r>
    </w:p>
    <w:p>
      <w:pPr>
        <w:spacing w:after="0" w:line="18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You can also find our SEC filings on our website at www.diamondbackenergy.com. The information contained on our website or any other website is not incorporated by reference into this prospectus and does not constitute a part of this prospectus.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SEC allows us to “incorporate by reference” into this prospectus the information we provide in other documents filed by us with the SEC. The information incorporated by reference is an important part of this prospectus and any prospectus supplement. Any statement contained in a document that is incorporated by reference in this prospectus is automatically updated and superseded if information contained in this prospectus and any prospectus supplement, or information that we later file with the SEC, modifies and replaces this information. We incorporate by reference the following documents that we have filed with the SEC (except as indicated below with respect to Item 2.02 or Item 7.01 of Form 8-K):</w:t>
      </w:r>
    </w:p>
    <w:p>
      <w:pPr>
        <w:spacing w:after="0" w:line="78"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2012, filed with the SEC on March 1, 2013;</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Amendment No. 1 to our Annual Report on Form 10-K/A for the year ended December 31, 2012, filed with the SEC on April 11, 2013;</w:t>
      </w:r>
    </w:p>
    <w:p>
      <w:pPr>
        <w:spacing w:after="0" w:line="142" w:lineRule="exact"/>
        <w:rPr>
          <w:rFonts w:ascii="Arial" w:cs="Arial" w:eastAsia="Arial" w:hAnsi="Arial"/>
          <w:sz w:val="17"/>
          <w:szCs w:val="17"/>
          <w:color w:val="auto"/>
        </w:rPr>
      </w:pPr>
    </w:p>
    <w:p>
      <w:pPr>
        <w:ind w:left="900" w:right="18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the Annual Report on Form 10-K for the fiscal year ended December 31, 2012 from our Definitive Proxy Statement on Schedule 14A, filed with the SEC on April 30, 2013;</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Quarterly Reports on Form 10-Q for the three months ended March 31, 2013, June 30, 2013 and September 30, 2013, filed with the SEC on May 9, 2013, August 8, 2013 and November 4, 2013, respectively;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February 1, 2013, April 11, 2013, May 20, 2013, June 6, 2013, June 24,</w:t>
      </w:r>
    </w:p>
    <w:p>
      <w:pPr>
        <w:spacing w:after="0" w:line="23" w:lineRule="exact"/>
        <w:rPr>
          <w:rFonts w:ascii="Arial" w:cs="Arial" w:eastAsia="Arial" w:hAnsi="Arial"/>
          <w:sz w:val="18"/>
          <w:szCs w:val="18"/>
          <w:color w:val="auto"/>
        </w:rPr>
      </w:pPr>
    </w:p>
    <w:p>
      <w:pPr>
        <w:ind w:left="900" w:right="60"/>
        <w:spacing w:after="0" w:line="261" w:lineRule="auto"/>
        <w:rPr>
          <w:rFonts w:ascii="Arial" w:cs="Arial" w:eastAsia="Arial" w:hAnsi="Arial"/>
          <w:sz w:val="18"/>
          <w:szCs w:val="18"/>
          <w:color w:val="auto"/>
        </w:rPr>
      </w:pPr>
      <w:r>
        <w:rPr>
          <w:rFonts w:ascii="Arial" w:cs="Arial" w:eastAsia="Arial" w:hAnsi="Arial"/>
          <w:sz w:val="18"/>
          <w:szCs w:val="18"/>
          <w:color w:val="auto"/>
        </w:rPr>
        <w:t>2013, August 19, 2013, September 4, 2013, September 6, 2013, September 9, 2013, September 12, 2013, September 18, 2013 and September 25, 2013; and</w:t>
      </w:r>
    </w:p>
    <w:p>
      <w:pPr>
        <w:spacing w:after="0" w:line="89"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Form 8-A filed with the SEC on October 11, 2012, including any amendment to that form that we may file in the future for the purpose of updating the description of our common stock.</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also incorporating by reference from our Registration Statement on Form S-1 (File No. 333-190462), originally filed with the SEC on August 8, 2013, as amended on August 14, 2013, (i) the historical Statements of Revenues and Direct Operating Expenses of certain property interests of Gulfport Energy Corporation and the related Report of Independent Certified Public Accountants and (ii) the Unaudited Pro Forma Condensed Consolidated Financial Statement prepared to show the effect the Company’s acquisition of Gulfport Energy Corporation’s oil and natural gas interests in the Permian Basin and the distribution by Windsor Permian LLC to its equity holders of its minority equity interests in Bison Drilling and Field Services LLC and Muskie Holdings LLC.</w:t>
      </w:r>
    </w:p>
    <w:p>
      <w:pPr>
        <w:spacing w:after="0" w:line="1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all documents filed by us with the SEC under Sections 13(a), 13(c), 14 or 15(d) of the Exchange Act (other than those furnished pursuant to Item 2.02 or Item 7.01 of Form 8-K, unless otherwise stated therein) after the date of this prospectus will be considered to be incorporated by reference into this prospectus and to be a part of this prospectus from the dates of the filing of such documents. Pursuant to General Instruction B of Form 8-K, any information submitted under Item 2.02, Results of Operations and Financial Condition, or Item 7.01, Regulation FD Disclosure, of Form 8-K is not deemed to be “filed” for the purpose of Section 18 of the Exchange Act, and we are not subject to the liabilities of Section 18 of the Exchange Act with respect to information submitted under Item 2.02 or Item 7.01 of Form 8-K. We are not incorporating by reference any information submitted under Item 2.02 or Item 7.01 of Form 8-K into any filing under the Securities Act or the Exchange Act or into this prospectus, unless otherwise indicated on such Form 8-K.</w:t>
      </w:r>
    </w:p>
    <w:p>
      <w:pPr>
        <w:spacing w:after="0" w:line="16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You may request a copy of this prospectus or any of the incorporated documents (excluding exhibits, unless the exhibits are specifically incorporated) at no charge to you by writing to Teresa L. Dick, Chief Financial Officer, Diamondback Energy, Inc., 14301 Caliber Drive, Suite 300, Oklahoma City, Oklahoma; telephone: (405) 463-6900.</w:t>
      </w:r>
    </w:p>
    <w:p>
      <w:pPr>
        <w:spacing w:after="0" w:line="18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Unless otherwise indicated in the applicable prospectus supplement, the validity of the securities to be offered hereby offered by us and/or the selling security holders will be passed upon by Akin, Gump, Strauss, Hauer &amp; Feld, L.L.P. If legal matters in connection with offerings made by this prospectus are passed on by counsel for the underwriters, dealers or agents, if any, that counsel will be named in the applicable prospectus supplement.</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audited combined consolidated financial statements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audited statements of revenues and direct operating expenses of working and revenue interests of certain oil and gas properties owned by Gulfport Energy Corporation incorporated by reference in this prospectus and elsewhere in the registration statement have been so incorporated by reference in reliance upon the report of Grant Thornton LLP, independent certified public accountants, upon the authority of said firm as experts in accounting and auditing.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Information incorporated by referenced in this prospectus regarding our estimated quantities of oil and gas reserves and the discounted present value of future net cash flows therefrom is based upon estimates of such reserves and present values prepared by Ryder Scott Company, L.P. as of December 31, 2012 and 2011 and by Pinnacle Energy Services, LLC as of December 31, 2010, each an independent petroleum engineering firm. This information is incorporated by reference in this prospectus in reliance upon the authority of such firms as experts in these matters.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864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6800" w:type="dxa"/>
            <w:vAlign w:val="bottom"/>
          </w:tcPr>
          <w:p>
            <w:pPr>
              <w:ind w:left="3540"/>
              <w:spacing w:after="0"/>
              <w:rPr>
                <w:sz w:val="20"/>
                <w:szCs w:val="20"/>
                <w:color w:val="auto"/>
              </w:rPr>
            </w:pPr>
            <w:r>
              <w:rPr>
                <w:rFonts w:ascii="Arial" w:cs="Arial" w:eastAsia="Arial" w:hAnsi="Arial"/>
                <w:sz w:val="18"/>
                <w:szCs w:val="18"/>
                <w:b w:val="1"/>
                <w:bCs w:val="1"/>
                <w:color w:val="auto"/>
              </w:rPr>
              <w:t>PART II</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0" w:type="dxa"/>
            <w:vAlign w:val="bottom"/>
          </w:tcPr>
          <w:p>
            <w:pPr>
              <w:ind w:left="1740"/>
              <w:spacing w:after="0"/>
              <w:rPr>
                <w:sz w:val="20"/>
                <w:szCs w:val="20"/>
                <w:color w:val="auto"/>
              </w:rPr>
            </w:pPr>
            <w:r>
              <w:rPr>
                <w:rFonts w:ascii="Arial" w:cs="Arial" w:eastAsia="Arial" w:hAnsi="Arial"/>
                <w:sz w:val="18"/>
                <w:szCs w:val="18"/>
                <w:b w:val="1"/>
                <w:bCs w:val="1"/>
                <w:color w:val="auto"/>
              </w:rPr>
              <w:t>INFORMATION NOT REQUIRED IN PROSPECTUS</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40" w:type="dxa"/>
            <w:vAlign w:val="bottom"/>
            <w:gridSpan w:val="4"/>
          </w:tcPr>
          <w:p>
            <w:pPr>
              <w:spacing w:after="0"/>
              <w:rPr>
                <w:sz w:val="20"/>
                <w:szCs w:val="20"/>
                <w:color w:val="auto"/>
              </w:rPr>
            </w:pPr>
            <w:r>
              <w:rPr>
                <w:rFonts w:ascii="Arial" w:cs="Arial" w:eastAsia="Arial" w:hAnsi="Arial"/>
                <w:sz w:val="18"/>
                <w:szCs w:val="18"/>
                <w:b w:val="1"/>
                <w:bCs w:val="1"/>
                <w:color w:val="auto"/>
              </w:rPr>
              <w:t>Item 14. Other Expenses of Issuance and Distribution.</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60" w:type="dxa"/>
            <w:vAlign w:val="bottom"/>
            <w:vMerge w:val="restart"/>
          </w:tcPr>
          <w:p>
            <w:pPr>
              <w:spacing w:after="0"/>
              <w:rPr>
                <w:sz w:val="21"/>
                <w:szCs w:val="21"/>
                <w:color w:val="auto"/>
              </w:rPr>
            </w:pPr>
          </w:p>
        </w:tc>
        <w:tc>
          <w:tcPr>
            <w:tcW w:w="200" w:type="dxa"/>
            <w:vAlign w:val="bottom"/>
            <w:vMerge w:val="restart"/>
          </w:tcPr>
          <w:p>
            <w:pPr>
              <w:spacing w:after="0"/>
              <w:rPr>
                <w:sz w:val="21"/>
                <w:szCs w:val="21"/>
                <w:color w:val="auto"/>
              </w:rPr>
            </w:pPr>
          </w:p>
        </w:tc>
        <w:tc>
          <w:tcPr>
            <w:tcW w:w="48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$ 112,596(1)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FINRA filing fee</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225,500(2)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50,000(2)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10,000(2)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Trustee fees and expenses</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Printing expenses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10,000(2)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1,904(2)</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410,000</w:t>
            </w:r>
          </w:p>
        </w:tc>
        <w:tc>
          <w:tcPr>
            <w:tcW w:w="260" w:type="dxa"/>
            <w:vAlign w:val="bottom"/>
          </w:tcPr>
          <w:p>
            <w:pPr>
              <w:jc w:val="right"/>
              <w:spacing w:after="0"/>
              <w:rPr>
                <w:sz w:val="20"/>
                <w:szCs w:val="20"/>
                <w:color w:val="auto"/>
              </w:rPr>
            </w:pPr>
            <w:r>
              <w:rPr>
                <w:rFonts w:ascii="Arial" w:cs="Arial" w:eastAsia="Arial" w:hAnsi="Arial"/>
                <w:sz w:val="18"/>
                <w:szCs w:val="18"/>
                <w:color w:val="auto"/>
                <w:w w:val="81"/>
              </w:rPr>
              <w:t>(2)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left="460" w:right="40" w:hanging="452"/>
        <w:spacing w:after="0" w:line="256"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accordance with Rules 456(b) and 457(r) of the Securities Act, the registrant is deferring payment of the registration fee with respect to the securities that may be offered by the registrant in a primary offering. The registration fee set forth herein relates solely to the shares of common stock that may be offered pursuant to this registration statement by the selling security holders in a secondary offering.</w:t>
      </w:r>
    </w:p>
    <w:p>
      <w:pPr>
        <w:jc w:val="both"/>
        <w:ind w:left="460" w:right="20" w:hanging="452"/>
        <w:spacing w:after="0" w:line="323"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additional estimated amounts, if any, of fees and expenses to be incurred in connection with any offering of securities by the registrant in a primary or secondary offering pursuant to this registration statement will be determined from time to time and reflected in the applicable prospectus supplement.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of Liability</w:t>
      </w:r>
    </w:p>
    <w:p>
      <w:pPr>
        <w:spacing w:after="0" w:line="117" w:lineRule="exact"/>
        <w:rPr>
          <w:sz w:val="20"/>
          <w:szCs w:val="20"/>
          <w:color w:val="auto"/>
        </w:rPr>
      </w:pPr>
    </w:p>
    <w:p>
      <w:pPr>
        <w:jc w:val="both"/>
        <w:ind w:right="680" w:firstLine="456"/>
        <w:spacing w:after="0" w:line="264" w:lineRule="auto"/>
        <w:rPr>
          <w:sz w:val="20"/>
          <w:szCs w:val="20"/>
          <w:color w:val="auto"/>
        </w:rPr>
      </w:pPr>
      <w:r>
        <w:rPr>
          <w:rFonts w:ascii="Arial" w:cs="Arial" w:eastAsia="Arial" w:hAnsi="Arial"/>
          <w:sz w:val="18"/>
          <w:szCs w:val="18"/>
          <w:color w:val="auto"/>
        </w:rPr>
        <w:t>Section 102(b)(7) of the Delaware General Corporation Law, or the DGCL, permits a corporation, in its certificate of incorporation, to limit or eliminate, subject to certain statutory limitations, the liability of directors to the corporation or its stockholders for monetary damages for breaches of fiduciary duty, except for liability:</w:t>
      </w:r>
    </w:p>
    <w:p>
      <w:pPr>
        <w:spacing w:after="0" w:line="87"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company or its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respect of certain unlawful dividend payments or stock redemptions or repurchases;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accordance with Section 102(b)(7) of the DGCL, Section 9.1 of our certificate of incorporation provides that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8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 Any repeal or amendment of provisions of our certificate of incorporation limiting or eliminating the liability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46"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Section 145 of the DGCL permits a corporation, under specified circumstances, to indemnify its directors, officers, employees or agents against expenses (including attorneys’ fees), judgments, fines and amounts paid in settlements actually and reasonably incurred by them in connection with any action, suit or proceeding brought by third parties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 to believe their conduct was unlawful. In a derivative action, i.e., one by or in the right of the corporation, indemnification may be made only for expenses actually and reasonably incurred by directors, officers, employees or agents in connection with the defense or settlement of an action or suit, and only with respect to a matter as to which they shall have acted in good faith and in a manner they reasonably believed to be in or not opposed to the best interests of the corporation, except that no indemnification shall be made if such person shall have been adjudged liable to the corporation, unless and only to the extent that the court in which the action or suit was brought shall determine upon application that the defendant directors, officers, employees or agents are fairly and reasonably entitled to indemnity for such expenses despite such adjudication of liability</w:t>
      </w:r>
    </w:p>
    <w:p>
      <w:pPr>
        <w:spacing w:after="0" w:line="18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Our certificate of incorporation provides that we will, to the fullest extent authorized or permitted by applicable law, indemnify our current and former directors and officers,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certificate of incorporation will be indemnified by us in connection with a proceeding initiated by such person only if such proceeding was authorized by our board of directors, except for proceedings to enforce rights to indemnification.</w:t>
      </w:r>
    </w:p>
    <w:p>
      <w:pPr>
        <w:spacing w:after="0" w:line="19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right to indemnification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w:t>
      </w:r>
    </w:p>
    <w:p>
      <w:pPr>
        <w:spacing w:after="0" w:line="173"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adoption of such inconsistent provision. Our certificate of incorporation also permits us, to the extent and in the manner authorized or permitted by law, to indemnify and to advance expenses to persons other that those specifically covered by our certificate of incorporation.</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Our bylaws include the provisions relating to advancement of expenses and indemnification rights consistent with those set forth in our certificate of incorporation. In addition, our bylaws provide for a right of indemnitee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entered into indemnification agreements with each of our current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future directors and executive officers.</w:t>
      </w:r>
    </w:p>
    <w:p>
      <w:pPr>
        <w:spacing w:after="0" w:line="18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may enter into an Underwriting Agreement in connection with a specific offering under which the underwriters will be obligated, under certain circumstances, to indemnify our directors and officers against certain liabilities, including liabilities under the Securities Act. Reference is made to the form of Underwriting Agreement to be filed as an Exhibit 1.1 or 1.2 to our Current Report on Form 8-K in connection with a specific offering.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list of exhibits filed as a part of this registration statement.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94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66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9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100"/>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Form of Common Stock Underwriting Agreement</w:t>
            </w:r>
          </w:p>
        </w:tc>
        <w:tc>
          <w:tcPr>
            <w:tcW w:w="0" w:type="dxa"/>
            <w:vAlign w:val="bottom"/>
          </w:tcPr>
          <w:p>
            <w:pPr>
              <w:spacing w:after="0"/>
              <w:rPr>
                <w:sz w:val="1"/>
                <w:szCs w:val="1"/>
                <w:color w:val="auto"/>
              </w:rPr>
            </w:pP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Form of Debt Securities Underwriting Agreement</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w w:val="91"/>
              </w:rPr>
              <w:t>Amended and Restated Certificate of Incorporation (incorporated by reference to Exhibit 3.1 to the Form 10-Q, File No. 001-35700, filed by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the Company with the SEC on November 16, 2012).</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w w:val="92"/>
              </w:rPr>
              <w:t>Amended and Restated Bylaws (incorporated by reference to Exhibit 3.2 to the Form 10-Q, File No. 000-35700, filed by the Company with</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the SEC on November 16, 2012).</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w w:val="92"/>
              </w:rPr>
              <w:t>Specimen Certificate for shares of common stock, par value $0.01 per share, of the Company (incorporated by reference to Exhibit 4.1 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w w:val="94"/>
              </w:rPr>
              <w:t>Amendment No. 4 to the Registration Statement on Form S-1, File No. 333-179502, filed by the Company with the SEC on August 20,</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380" w:type="dxa"/>
            <w:vAlign w:val="bottom"/>
            <w:gridSpan w:val="2"/>
          </w:tcPr>
          <w:p>
            <w:pPr>
              <w:ind w:left="660"/>
              <w:spacing w:after="0"/>
              <w:rPr>
                <w:sz w:val="20"/>
                <w:szCs w:val="20"/>
                <w:color w:val="auto"/>
              </w:rPr>
            </w:pPr>
            <w:r>
              <w:rPr>
                <w:rFonts w:ascii="Arial" w:cs="Arial" w:eastAsia="Arial" w:hAnsi="Arial"/>
                <w:sz w:val="18"/>
                <w:szCs w:val="18"/>
                <w:color w:val="auto"/>
              </w:rPr>
              <w:t>2012).</w:t>
            </w:r>
          </w:p>
        </w:tc>
        <w:tc>
          <w:tcPr>
            <w:tcW w:w="9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w w:val="95"/>
              </w:rPr>
              <w:t>Form of Base Indenture with respect to Senior Debt Securities (and any related guarantees) (including form of Senior Debt Security).</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w w:val="93"/>
              </w:rPr>
              <w:t>Form of Base Indenture with respect to Subordinated Debt Securities (and any related guarantees) (including form of Subordinated Debt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78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93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78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9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ind w:left="100"/>
              <w:spacing w:after="0"/>
              <w:rPr>
                <w:sz w:val="20"/>
                <w:szCs w:val="20"/>
                <w:color w:val="auto"/>
              </w:rPr>
            </w:pPr>
            <w:r>
              <w:rPr>
                <w:rFonts w:ascii="Arial" w:cs="Arial" w:eastAsia="Arial" w:hAnsi="Arial"/>
                <w:sz w:val="18"/>
                <w:szCs w:val="18"/>
                <w:color w:val="auto"/>
              </w:rPr>
              <w:t>4.4</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Registration Rights Agreement, dated as of October 11, 2012, by and between the Company and DB Energy Holdings LLC (incorporated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by reference to Exhibit 4.2 to the Form 10-Q, File No. 001-35700, filed by the Company with the SEC on November 16, 2012).</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4.5</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0"/>
              </w:rPr>
              <w:t>Investor Rights Agreement, dated as of October 11, 2012, by and between the Company and Gulfport Energy Corporation (incorporated by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reference to Exhibit 4.3 to the Form 10-Q, File No. 001-35700, filed by the Company with the SEC on November 16, 2012).</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4.6</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Indenture, dated as of September 18, 2013, among Diamondback Energy, Inc., the subsidiary guarantors party thereto and Wells Fargo,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1"/>
              </w:rPr>
              <w:t>N.A., as trustee (including the form of Diamondback Energy, Inc.’s 7.625% Senior Note due October 1, 2021) (incorporated by reference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Exhibit 4.1 to the Form 8-K, File No. 001-35700, filed by the Company with the SEC on September 18, 2013).</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4.7</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0"/>
              </w:rPr>
              <w:t>Registration Rights Agreement, dated as of September 18, 2013, among Diamondback Energy, Inc., the subsidiary guarantors party thereto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1"/>
              </w:rPr>
              <w:t>and Credit Suisse Securities (USA) LLC, as representative of the several initial purchasers (incorporated by reference to Exhibit 4.2 to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Form 8-K, File No. 001-35700, filed by the Company with the SEC on September 18, 2013).</w:t>
            </w:r>
          </w:p>
        </w:tc>
        <w:tc>
          <w:tcPr>
            <w:tcW w:w="0" w:type="dxa"/>
            <w:vAlign w:val="bottom"/>
          </w:tcPr>
          <w:p>
            <w:pPr>
              <w:spacing w:after="0"/>
              <w:rPr>
                <w:sz w:val="1"/>
                <w:szCs w:val="1"/>
                <w:color w:val="auto"/>
              </w:rPr>
            </w:pP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5.1+</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Opinion of Akin, Gump, Strauss, Hauer &amp; Feld, L.L.P. as to the legality of the securities being registered.</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12.1+</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Statement Regarding the Computation of Ratio of Earnings (Deficit) to Fixed Charges.</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Consent of Akin, Gump, Strauss, Hauer &amp; Feld, L.L.P. (included on Exhibit 5.1).</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Consent of Grant Thornton LLP.</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23.3+</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Consent of Grant Thornton LLP.</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23.4+</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Consent of Ryder Scott Company, L.P.</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23.5+</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Consent of Pinnacle Energy Services, LLC.</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24+</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Power of Attorney (included on the signature page of this Registration Statement).</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25.1**</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7"/>
              </w:rPr>
              <w:t>Statement of Eligibility on Form T-1 under the Trust Indenture Act of 1939, as amended, of Trustee for the Senior Debt Securities.</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25.2**</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Statement of Eligibility on Form T-1 under the Trust Indenture Act of 1939, as amended, of Trustee for the Subordinated Debt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right="2800" w:firstLine="8"/>
        <w:spacing w:after="0" w:line="258" w:lineRule="auto"/>
        <w:tabs>
          <w:tab w:leader="none" w:pos="4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be filed as an exhibit to a Current Report on Form 8-K of the registrant in connection with a specific offering. ** To be filed pursuant to Section 305(b)(2) of the Trust Indenture Act.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35"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4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80" w:right="100" w:hanging="567"/>
        <w:spacing w:after="0" w:line="286" w:lineRule="auto"/>
        <w:tabs>
          <w:tab w:leader="none" w:pos="1480" w:val="left"/>
        </w:tabs>
        <w:numPr>
          <w:ilvl w:val="2"/>
          <w:numId w:val="40"/>
        </w:numPr>
        <w:rPr>
          <w:rFonts w:ascii="Arial" w:cs="Arial" w:eastAsia="Arial" w:hAnsi="Arial"/>
          <w:sz w:val="17"/>
          <w:szCs w:val="17"/>
          <w:color w:val="auto"/>
        </w:rPr>
      </w:pPr>
      <w:r>
        <w:rPr>
          <w:rFonts w:ascii="Arial" w:cs="Arial" w:eastAsia="Arial" w:hAnsi="Arial"/>
          <w:sz w:val="17"/>
          <w:szCs w:val="17"/>
          <w:color w:val="auto"/>
        </w:rPr>
        <w:t>to reflect in the prospectus any 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20"/>
        <w:spacing w:after="0" w:line="279" w:lineRule="auto"/>
        <w:rPr>
          <w:sz w:val="20"/>
          <w:szCs w:val="20"/>
          <w:color w:val="auto"/>
        </w:rPr>
      </w:pPr>
      <w:r>
        <w:rPr>
          <w:rFonts w:ascii="Arial" w:cs="Arial" w:eastAsia="Arial" w:hAnsi="Arial"/>
          <w:sz w:val="17"/>
          <w:szCs w:val="17"/>
          <w:color w:val="auto"/>
        </w:rPr>
        <w:t>(if the total dollar value of securities offered would not exceed that which was registered) and any deviation from the low or high end of the estimated maximum offering range may be reflected in the form of prospectus filed with the SEC pursuant to Rule 424(b) under the Securities Act if, in the aggregate, the changes in volume and price represent no more than a 20% change in the maximum aggregate offering price set forth in the “Calculation of Registration Fee” table in the effective registration statement;</w:t>
      </w:r>
    </w:p>
    <w:p>
      <w:pPr>
        <w:spacing w:after="0" w:line="77" w:lineRule="exact"/>
        <w:rPr>
          <w:sz w:val="20"/>
          <w:szCs w:val="20"/>
          <w:color w:val="auto"/>
        </w:rPr>
      </w:pPr>
    </w:p>
    <w:p>
      <w:pPr>
        <w:ind w:left="1480" w:right="200" w:hanging="567"/>
        <w:spacing w:after="0" w:line="277" w:lineRule="auto"/>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62" w:lineRule="exact"/>
        <w:rPr>
          <w:sz w:val="20"/>
          <w:szCs w:val="20"/>
          <w:color w:val="auto"/>
        </w:rPr>
      </w:pPr>
    </w:p>
    <w:p>
      <w:pPr>
        <w:jc w:val="both"/>
        <w:ind w:left="920" w:right="140"/>
        <w:spacing w:after="0" w:line="302"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subparagraphs (i), (ii) and (iii) do not apply if the information required to be included in a post-effective amendment by</w:t>
      </w:r>
      <w:r>
        <w:rPr>
          <w:rFonts w:ascii="Arial" w:cs="Arial" w:eastAsia="Arial" w:hAnsi="Arial"/>
          <w:sz w:val="16"/>
          <w:szCs w:val="16"/>
          <w:i w:val="1"/>
          <w:iCs w:val="1"/>
          <w:color w:val="auto"/>
        </w:rPr>
        <w:t xml:space="preserve"> </w:t>
      </w:r>
      <w:r>
        <w:rPr>
          <w:rFonts w:ascii="Arial" w:cs="Arial" w:eastAsia="Arial" w:hAnsi="Arial"/>
          <w:sz w:val="16"/>
          <w:szCs w:val="16"/>
          <w:color w:val="auto"/>
        </w:rPr>
        <w:t>those subparagraphs is contained in periodic reports filed with or furnished to the SEC by the registrant pursuant to Section 13 or Section 15(d) of the Securities Exchange Act of 1934, as amended, or the Exchange Act, that are incorporated by reference in this registration statement, or is contained in a form of prospectus filed pursuant to Rule 424(b) of the Securities Act that is part of this registration statement.</w:t>
      </w:r>
    </w:p>
    <w:p>
      <w:pPr>
        <w:spacing w:after="0" w:line="60" w:lineRule="exact"/>
        <w:rPr>
          <w:sz w:val="20"/>
          <w:szCs w:val="20"/>
          <w:color w:val="auto"/>
        </w:rPr>
      </w:pPr>
    </w:p>
    <w:p>
      <w:pPr>
        <w:ind w:left="900" w:hanging="446"/>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900" w:right="82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480" w:right="200" w:hanging="567"/>
        <w:spacing w:after="0" w:line="277" w:lineRule="auto"/>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1480" w:right="20" w:hanging="567"/>
        <w:spacing w:after="0" w:line="269" w:lineRule="auto"/>
        <w:tabs>
          <w:tab w:leader="none" w:pos="14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85" w:lineRule="exact"/>
        <w:rPr>
          <w:rFonts w:ascii="Arial" w:cs="Arial" w:eastAsia="Arial" w:hAnsi="Arial"/>
          <w:sz w:val="17"/>
          <w:szCs w:val="17"/>
          <w:color w:val="auto"/>
        </w:rPr>
      </w:pPr>
    </w:p>
    <w:p>
      <w:pPr>
        <w:ind w:left="900" w:right="60" w:hanging="446"/>
        <w:spacing w:after="0" w:line="25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rFonts w:ascii="Arial" w:cs="Arial" w:eastAsia="Arial" w:hAnsi="Arial"/>
          <w:sz w:val="18"/>
          <w:szCs w:val="18"/>
          <w:color w:val="auto"/>
        </w:rPr>
      </w:pPr>
    </w:p>
    <w:p>
      <w:pPr>
        <w:ind w:left="5580" w:right="100" w:hanging="4667"/>
        <w:spacing w:after="0" w:line="449" w:lineRule="auto"/>
        <w:tabs>
          <w:tab w:leader="none" w:pos="1481"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II-5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60" w:hanging="567"/>
        <w:spacing w:after="0" w:line="277" w:lineRule="auto"/>
        <w:tabs>
          <w:tab w:leader="none" w:pos="1480" w:val="left"/>
        </w:tabs>
        <w:numPr>
          <w:ilvl w:val="2"/>
          <w:numId w:val="4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480" w:right="100" w:hanging="567"/>
        <w:spacing w:after="0" w:line="277" w:lineRule="auto"/>
        <w:tabs>
          <w:tab w:leader="none" w:pos="1480"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2"/>
          <w:numId w:val="4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the purpose of determining any liability under the Securities Act, each filing of the registrant’s annual report pursuant to Section 13(a) or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92" w:lineRule="exact"/>
        <w:rPr>
          <w:rFonts w:ascii="Arial" w:cs="Arial" w:eastAsia="Arial" w:hAnsi="Arial"/>
          <w:sz w:val="18"/>
          <w:szCs w:val="18"/>
          <w:color w:val="auto"/>
        </w:rPr>
      </w:pPr>
    </w:p>
    <w:p>
      <w:pPr>
        <w:ind w:left="460" w:hanging="452"/>
        <w:spacing w:after="0" w:line="271"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provisions described under Item 15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such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4" w:lineRule="exact"/>
        <w:rPr>
          <w:rFonts w:ascii="Arial" w:cs="Arial" w:eastAsia="Arial" w:hAnsi="Arial"/>
          <w:sz w:val="17"/>
          <w:szCs w:val="17"/>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w:t>
      </w:r>
    </w:p>
    <w:p>
      <w:pPr>
        <w:spacing w:after="0" w:line="46" w:lineRule="exact"/>
        <w:rPr>
          <w:rFonts w:ascii="Arial" w:cs="Arial" w:eastAsia="Arial" w:hAnsi="Arial"/>
          <w:sz w:val="16"/>
          <w:szCs w:val="16"/>
          <w:color w:val="auto"/>
        </w:rPr>
      </w:pPr>
    </w:p>
    <w:p>
      <w:pPr>
        <w:ind w:left="460" w:right="40" w:hanging="6"/>
        <w:spacing w:after="0" w:line="261" w:lineRule="auto"/>
        <w:tabs>
          <w:tab w:leader="none" w:pos="705" w:val="left"/>
        </w:tabs>
        <w:numPr>
          <w:ilvl w:val="1"/>
          <w:numId w:val="44"/>
        </w:numPr>
        <w:rPr>
          <w:rFonts w:ascii="Arial" w:cs="Arial" w:eastAsia="Arial" w:hAnsi="Arial"/>
          <w:sz w:val="18"/>
          <w:szCs w:val="18"/>
          <w:color w:val="auto"/>
        </w:rPr>
      </w:pPr>
      <w:r>
        <w:rPr>
          <w:rFonts w:ascii="Arial" w:cs="Arial" w:eastAsia="Arial" w:hAnsi="Arial"/>
          <w:sz w:val="18"/>
          <w:szCs w:val="18"/>
          <w:color w:val="auto"/>
        </w:rPr>
        <w:t>of Section 310 of the Trust Indenture Act in accordance with the rules and regulations prescribed by the Commission under Section 305(b)(2) of the Trust Indenture Act.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Midland, Texas on the 5th day of November 2013.</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DIAMONDBACK ENERGY, INC.</w:t>
      </w:r>
    </w:p>
    <w:p>
      <w:pPr>
        <w:spacing w:after="0" w:line="225" w:lineRule="exact"/>
        <w:rPr>
          <w:sz w:val="20"/>
          <w:szCs w:val="20"/>
          <w:color w:val="auto"/>
        </w:rPr>
      </w:pPr>
    </w:p>
    <w:p>
      <w:pPr>
        <w:ind w:left="6860"/>
        <w:spacing w:after="0"/>
        <w:tabs>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Travis D. Stice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Each person whose signature appears below hereby constitutes and appoints Travis D. Stice, Teresa L. Dick and Randall J. Holder, and each of them, his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178"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November 5, 2013.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8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rPr>
              <w:t>NAME</w:t>
            </w:r>
          </w:p>
        </w:tc>
        <w:tc>
          <w:tcPr>
            <w:tcW w:w="2060" w:type="dxa"/>
            <w:vAlign w:val="bottom"/>
          </w:tcPr>
          <w:p>
            <w:pPr>
              <w:spacing w:after="0"/>
              <w:rPr>
                <w:sz w:val="16"/>
                <w:szCs w:val="16"/>
                <w:color w:val="auto"/>
              </w:rPr>
            </w:pPr>
          </w:p>
        </w:tc>
        <w:tc>
          <w:tcPr>
            <w:tcW w:w="4700" w:type="dxa"/>
            <w:vAlign w:val="bottom"/>
            <w:gridSpan w:val="3"/>
          </w:tcPr>
          <w:p>
            <w:pPr>
              <w:ind w:left="3320"/>
              <w:spacing w:after="0"/>
              <w:rPr>
                <w:sz w:val="20"/>
                <w:szCs w:val="20"/>
                <w:color w:val="auto"/>
              </w:rPr>
            </w:pPr>
            <w:r>
              <w:rPr>
                <w:rFonts w:ascii="Arial" w:cs="Arial" w:eastAsia="Arial" w:hAnsi="Arial"/>
                <w:sz w:val="14"/>
                <w:szCs w:val="14"/>
                <w:b w:val="1"/>
                <w:bCs w:val="1"/>
                <w:color w:val="auto"/>
              </w:rPr>
              <w:t>TITLE</w:t>
            </w:r>
          </w:p>
        </w:tc>
      </w:tr>
      <w:tr>
        <w:trPr>
          <w:trHeight w:val="20"/>
        </w:trPr>
        <w:tc>
          <w:tcPr>
            <w:tcW w:w="20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Travis D. Stice</w:t>
            </w: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w w:val="93"/>
              </w:rPr>
              <w:t>Chief Executive Officer (principal executive officer), Director</w:t>
            </w:r>
          </w:p>
        </w:tc>
      </w:tr>
      <w:tr>
        <w:trPr>
          <w:trHeight w:val="224"/>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2"/>
              </w:rPr>
              <w:t>Travis D. Stice</w:t>
            </w:r>
          </w:p>
        </w:tc>
        <w:tc>
          <w:tcPr>
            <w:tcW w:w="3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31"/>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Teresa L. Dick</w:t>
            </w: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w w:val="94"/>
              </w:rPr>
              <w:t>Chief Financial Officer, Senior Vice President and Assistant</w:t>
            </w:r>
          </w:p>
        </w:tc>
      </w:tr>
      <w:tr>
        <w:trPr>
          <w:trHeight w:val="224"/>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1"/>
              </w:rPr>
              <w:t>Teresa L. Dick</w:t>
            </w: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Secretary (principal financial and accounting officer)</w:t>
            </w:r>
          </w:p>
        </w:tc>
      </w:tr>
      <w:tr>
        <w:trPr>
          <w:trHeight w:val="431"/>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Steven E. West</w:t>
            </w: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7"/>
              </w:rPr>
              <w:t>Steven E. West</w:t>
            </w:r>
          </w:p>
        </w:tc>
        <w:tc>
          <w:tcPr>
            <w:tcW w:w="3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31"/>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Michael P. Cross</w:t>
            </w: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9"/>
              </w:rPr>
              <w:t>Michael P. Cross</w:t>
            </w:r>
          </w:p>
        </w:tc>
        <w:tc>
          <w:tcPr>
            <w:tcW w:w="3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31"/>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David L. Houston</w:t>
            </w: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4"/>
              </w:rPr>
              <w:t>David L. Houston</w:t>
            </w:r>
          </w:p>
        </w:tc>
        <w:tc>
          <w:tcPr>
            <w:tcW w:w="3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31"/>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Mark L. Plaumann</w:t>
            </w: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3"/>
              </w:rPr>
              <w:t>Mark L. Plaumann</w:t>
            </w:r>
          </w:p>
        </w:tc>
        <w:tc>
          <w:tcPr>
            <w:tcW w:w="3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64"/>
        </w:trPr>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700" w:type="dxa"/>
            <w:vAlign w:val="bottom"/>
            <w:gridSpan w:val="3"/>
          </w:tcPr>
          <w:p>
            <w:pPr>
              <w:ind w:left="1000"/>
              <w:spacing w:after="0"/>
              <w:rPr>
                <w:sz w:val="20"/>
                <w:szCs w:val="20"/>
                <w:color w:val="auto"/>
              </w:rPr>
            </w:pPr>
            <w:r>
              <w:rPr>
                <w:rFonts w:ascii="Arial" w:cs="Arial" w:eastAsia="Arial" w:hAnsi="Arial"/>
                <w:sz w:val="18"/>
                <w:szCs w:val="18"/>
                <w:color w:val="auto"/>
              </w:rPr>
              <w:t>S-1</w:t>
            </w:r>
          </w:p>
        </w:tc>
      </w:tr>
    </w:tbl>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co-registrant certifies that it has reasonable grounds to believe that it meets all of the requirements for filing on Form S-3 and has duly caused this registration statement to be signed on its behalf by the undersigned, thereunto duly authorized, in Oklahoma City, Oklahoma on the 5th day of November 2013.</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DIAMONDBACK O&amp;G LLC.</w:t>
      </w:r>
    </w:p>
    <w:p>
      <w:pPr>
        <w:spacing w:after="0" w:line="225" w:lineRule="exact"/>
        <w:rPr>
          <w:sz w:val="20"/>
          <w:szCs w:val="20"/>
          <w:color w:val="auto"/>
        </w:rPr>
      </w:pPr>
    </w:p>
    <w:p>
      <w:pPr>
        <w:ind w:left="6860"/>
        <w:spacing w:after="0"/>
        <w:tabs>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Travis D. Stice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Each person whose signature appears below hereby constitutes and appoints Travis D. Stice, Teresa L. Dick and Randall J. Holder, and each of them, his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178"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November 5, 2013.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8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rPr>
              <w:t>NAME</w:t>
            </w:r>
          </w:p>
        </w:tc>
        <w:tc>
          <w:tcPr>
            <w:tcW w:w="2060" w:type="dxa"/>
            <w:vAlign w:val="bottom"/>
          </w:tcPr>
          <w:p>
            <w:pPr>
              <w:spacing w:after="0"/>
              <w:rPr>
                <w:sz w:val="16"/>
                <w:szCs w:val="16"/>
                <w:color w:val="auto"/>
              </w:rPr>
            </w:pPr>
          </w:p>
        </w:tc>
        <w:tc>
          <w:tcPr>
            <w:tcW w:w="4460" w:type="dxa"/>
            <w:vAlign w:val="bottom"/>
            <w:gridSpan w:val="3"/>
          </w:tcPr>
          <w:p>
            <w:pPr>
              <w:ind w:left="3320"/>
              <w:spacing w:after="0"/>
              <w:rPr>
                <w:sz w:val="20"/>
                <w:szCs w:val="20"/>
                <w:color w:val="auto"/>
              </w:rPr>
            </w:pPr>
            <w:r>
              <w:rPr>
                <w:rFonts w:ascii="Arial" w:cs="Arial" w:eastAsia="Arial" w:hAnsi="Arial"/>
                <w:sz w:val="14"/>
                <w:szCs w:val="14"/>
                <w:b w:val="1"/>
                <w:bCs w:val="1"/>
                <w:color w:val="auto"/>
              </w:rPr>
              <w:t>TITLE</w:t>
            </w:r>
          </w:p>
        </w:tc>
      </w:tr>
      <w:tr>
        <w:trPr>
          <w:trHeight w:val="20"/>
        </w:trPr>
        <w:tc>
          <w:tcPr>
            <w:tcW w:w="20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Travis D. Stice</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w w:val="92"/>
              </w:rPr>
              <w:t>President and Chief Executive Officer (principal executive</w:t>
            </w:r>
          </w:p>
        </w:tc>
      </w:tr>
      <w:tr>
        <w:trPr>
          <w:trHeight w:val="224"/>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2"/>
              </w:rPr>
              <w:t>Travis D. Stice</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officer)</w:t>
            </w:r>
          </w:p>
        </w:tc>
      </w:tr>
      <w:tr>
        <w:trPr>
          <w:trHeight w:val="431"/>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Teresa L. Dick</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w w:val="93"/>
              </w:rPr>
              <w:t>Chief Financial Officer (principal financial and accounting</w:t>
            </w:r>
          </w:p>
        </w:tc>
      </w:tr>
      <w:tr>
        <w:trPr>
          <w:trHeight w:val="224"/>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1"/>
              </w:rPr>
              <w:t>Teresa L. Dick</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officer)</w:t>
            </w:r>
          </w:p>
        </w:tc>
      </w:tr>
      <w:tr>
        <w:trPr>
          <w:trHeight w:val="364"/>
        </w:trPr>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460" w:type="dxa"/>
            <w:vAlign w:val="bottom"/>
            <w:gridSpan w:val="3"/>
          </w:tcPr>
          <w:p>
            <w:pPr>
              <w:ind w:left="100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co-registrant certifies that it has reasonable grounds to believe that it meets all of the requirements for filing on Form S-3 and has duly caused this registration statement to be signed on its behalf by the undersigned, thereunto duly authorized, in Oklahoma City, Oklahoma on the 5th day of November 2013.</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DIAMONDBACK E&amp;P LLC</w:t>
      </w:r>
    </w:p>
    <w:p>
      <w:pPr>
        <w:spacing w:after="0" w:line="225" w:lineRule="exact"/>
        <w:rPr>
          <w:sz w:val="20"/>
          <w:szCs w:val="20"/>
          <w:color w:val="auto"/>
        </w:rPr>
      </w:pPr>
    </w:p>
    <w:p>
      <w:pPr>
        <w:ind w:left="6860"/>
        <w:spacing w:after="0"/>
        <w:tabs>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Travis D. Stice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Each person whose signature appears below hereby constitutes and appoints Travis D. Stice, Teresa L. Dick and Randall J. Holder, and each of them, his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178"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November 5, 2013.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8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rPr>
              <w:t>NAME</w:t>
            </w:r>
          </w:p>
        </w:tc>
        <w:tc>
          <w:tcPr>
            <w:tcW w:w="2060" w:type="dxa"/>
            <w:vAlign w:val="bottom"/>
          </w:tcPr>
          <w:p>
            <w:pPr>
              <w:spacing w:after="0"/>
              <w:rPr>
                <w:sz w:val="16"/>
                <w:szCs w:val="16"/>
                <w:color w:val="auto"/>
              </w:rPr>
            </w:pPr>
          </w:p>
        </w:tc>
        <w:tc>
          <w:tcPr>
            <w:tcW w:w="4460" w:type="dxa"/>
            <w:vAlign w:val="bottom"/>
            <w:gridSpan w:val="3"/>
          </w:tcPr>
          <w:p>
            <w:pPr>
              <w:ind w:left="3320"/>
              <w:spacing w:after="0"/>
              <w:rPr>
                <w:sz w:val="20"/>
                <w:szCs w:val="20"/>
                <w:color w:val="auto"/>
              </w:rPr>
            </w:pPr>
            <w:r>
              <w:rPr>
                <w:rFonts w:ascii="Arial" w:cs="Arial" w:eastAsia="Arial" w:hAnsi="Arial"/>
                <w:sz w:val="14"/>
                <w:szCs w:val="14"/>
                <w:b w:val="1"/>
                <w:bCs w:val="1"/>
                <w:color w:val="auto"/>
              </w:rPr>
              <w:t>TITLE</w:t>
            </w:r>
          </w:p>
        </w:tc>
      </w:tr>
      <w:tr>
        <w:trPr>
          <w:trHeight w:val="20"/>
        </w:trPr>
        <w:tc>
          <w:tcPr>
            <w:tcW w:w="20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Travis D. Stice</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w w:val="92"/>
              </w:rPr>
              <w:t>President and Chief Executive Officer (principal executive</w:t>
            </w:r>
          </w:p>
        </w:tc>
      </w:tr>
      <w:tr>
        <w:trPr>
          <w:trHeight w:val="224"/>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2"/>
              </w:rPr>
              <w:t>Travis D. Stice</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officer)</w:t>
            </w:r>
          </w:p>
        </w:tc>
      </w:tr>
      <w:tr>
        <w:trPr>
          <w:trHeight w:val="431"/>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Teresa L. Dick</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w w:val="93"/>
              </w:rPr>
              <w:t>Chief Financial Officer (principal financial and accounting</w:t>
            </w:r>
          </w:p>
        </w:tc>
      </w:tr>
      <w:tr>
        <w:trPr>
          <w:trHeight w:val="224"/>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1"/>
              </w:rPr>
              <w:t>Teresa L. Dick</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officer)</w:t>
            </w:r>
          </w:p>
        </w:tc>
      </w:tr>
      <w:tr>
        <w:trPr>
          <w:trHeight w:val="364"/>
        </w:trPr>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460" w:type="dxa"/>
            <w:vAlign w:val="bottom"/>
            <w:gridSpan w:val="3"/>
          </w:tcPr>
          <w:p>
            <w:pPr>
              <w:ind w:left="10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co-registrant certifies that it has reasonable grounds to believe that it meets all of the requirements for filing on Form S-3 and has duly caused this registration statement to be signed on its behalf by the undersigned, thereunto duly authorized, in Oklahoma City, Oklahoma on the 5th day of November 2013.</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VIPER ENERGY PARTNERS LLC</w:t>
      </w:r>
    </w:p>
    <w:p>
      <w:pPr>
        <w:spacing w:after="0" w:line="225" w:lineRule="exact"/>
        <w:rPr>
          <w:sz w:val="20"/>
          <w:szCs w:val="20"/>
          <w:color w:val="auto"/>
        </w:rPr>
      </w:pPr>
    </w:p>
    <w:p>
      <w:pPr>
        <w:ind w:left="6860"/>
        <w:spacing w:after="0"/>
        <w:tabs>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Travis D. Stice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Each person whose signature appears below hereby constitutes and appoints Travis D. Stice, Teresa L. Dick and Randall J. Holder, and each of them, his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178"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November 5, 2013.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8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rPr>
              <w:t>NAME</w:t>
            </w:r>
          </w:p>
        </w:tc>
        <w:tc>
          <w:tcPr>
            <w:tcW w:w="2060" w:type="dxa"/>
            <w:vAlign w:val="bottom"/>
          </w:tcPr>
          <w:p>
            <w:pPr>
              <w:spacing w:after="0"/>
              <w:rPr>
                <w:sz w:val="16"/>
                <w:szCs w:val="16"/>
                <w:color w:val="auto"/>
              </w:rPr>
            </w:pPr>
          </w:p>
        </w:tc>
        <w:tc>
          <w:tcPr>
            <w:tcW w:w="4460" w:type="dxa"/>
            <w:vAlign w:val="bottom"/>
            <w:gridSpan w:val="3"/>
          </w:tcPr>
          <w:p>
            <w:pPr>
              <w:ind w:left="3320"/>
              <w:spacing w:after="0"/>
              <w:rPr>
                <w:sz w:val="20"/>
                <w:szCs w:val="20"/>
                <w:color w:val="auto"/>
              </w:rPr>
            </w:pPr>
            <w:r>
              <w:rPr>
                <w:rFonts w:ascii="Arial" w:cs="Arial" w:eastAsia="Arial" w:hAnsi="Arial"/>
                <w:sz w:val="14"/>
                <w:szCs w:val="14"/>
                <w:b w:val="1"/>
                <w:bCs w:val="1"/>
                <w:color w:val="auto"/>
              </w:rPr>
              <w:t>TITLE</w:t>
            </w:r>
          </w:p>
        </w:tc>
      </w:tr>
      <w:tr>
        <w:trPr>
          <w:trHeight w:val="20"/>
        </w:trPr>
        <w:tc>
          <w:tcPr>
            <w:tcW w:w="20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Travis D. Stice</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w w:val="92"/>
              </w:rPr>
              <w:t>President and Chief Executive Officer (principal executive</w:t>
            </w:r>
          </w:p>
        </w:tc>
      </w:tr>
      <w:tr>
        <w:trPr>
          <w:trHeight w:val="224"/>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2"/>
              </w:rPr>
              <w:t>Travis D. Stice</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officer)</w:t>
            </w:r>
          </w:p>
        </w:tc>
      </w:tr>
      <w:tr>
        <w:trPr>
          <w:trHeight w:val="431"/>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Teresa L. Dick</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w w:val="93"/>
              </w:rPr>
              <w:t>Chief Financial Officer (principal financial and accounting</w:t>
            </w:r>
          </w:p>
        </w:tc>
      </w:tr>
      <w:tr>
        <w:trPr>
          <w:trHeight w:val="224"/>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1"/>
              </w:rPr>
              <w:t>Teresa L. Dick</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officer)</w:t>
            </w:r>
          </w:p>
        </w:tc>
      </w:tr>
      <w:tr>
        <w:trPr>
          <w:trHeight w:val="364"/>
        </w:trPr>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460" w:type="dxa"/>
            <w:vAlign w:val="bottom"/>
            <w:gridSpan w:val="3"/>
          </w:tcPr>
          <w:p>
            <w:pPr>
              <w:ind w:left="100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360" w:type="dxa"/>
            <w:vAlign w:val="bottom"/>
          </w:tcPr>
          <w:p>
            <w:pPr>
              <w:jc w:val="center"/>
              <w:ind w:right="1890"/>
              <w:spacing w:after="0"/>
              <w:rPr>
                <w:sz w:val="20"/>
                <w:szCs w:val="20"/>
                <w:color w:val="auto"/>
              </w:rPr>
            </w:pPr>
            <w:r>
              <w:rPr>
                <w:rFonts w:ascii="Arial" w:cs="Arial" w:eastAsia="Arial" w:hAnsi="Arial"/>
                <w:sz w:val="18"/>
                <w:szCs w:val="18"/>
                <w:b w:val="1"/>
                <w:bCs w:val="1"/>
                <w:color w:val="auto"/>
                <w:w w:val="91"/>
              </w:rPr>
              <w:t>Diamondback Energy, Inc.</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360" w:type="dxa"/>
            <w:vAlign w:val="bottom"/>
          </w:tcPr>
          <w:p>
            <w:pPr>
              <w:jc w:val="center"/>
              <w:ind w:right="1890"/>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36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78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93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78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9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100"/>
              <w:spacing w:after="0"/>
              <w:rPr>
                <w:sz w:val="20"/>
                <w:szCs w:val="20"/>
                <w:color w:val="auto"/>
              </w:rPr>
            </w:pPr>
            <w:r>
              <w:rPr>
                <w:rFonts w:ascii="Arial" w:cs="Arial" w:eastAsia="Arial" w:hAnsi="Arial"/>
                <w:sz w:val="18"/>
                <w:szCs w:val="18"/>
                <w:color w:val="auto"/>
              </w:rPr>
              <w:t>1.1*</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Form of Common Stock Underwriting Agreement</w:t>
            </w:r>
          </w:p>
        </w:tc>
        <w:tc>
          <w:tcPr>
            <w:tcW w:w="0" w:type="dxa"/>
            <w:vAlign w:val="bottom"/>
          </w:tcPr>
          <w:p>
            <w:pPr>
              <w:spacing w:after="0"/>
              <w:rPr>
                <w:sz w:val="1"/>
                <w:szCs w:val="1"/>
                <w:color w:val="auto"/>
              </w:rPr>
            </w:pP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1.2*</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Form of Debt Securities Underwriting Agreement</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3.1</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3"/>
              </w:rPr>
              <w:t>Amended and Restated Certificate of Incorporation (incorporated by reference to Exhibit 3.1 to the Form 10-Q, File No. 001-35700, filed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by the Company with the SEC on November 16, 2012).</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3.2</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1"/>
              </w:rPr>
              <w:t>Amended and Restated Bylaws (incorporated by reference to Exhibit 3.2 to the Form 10-Q, File No. 000-35700, filed by the Company with</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the SEC on November 16, 2012).</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4.1</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Specimen Certificate for shares of common stock, par value $0.01 per share, of the Company (incorporated by reference to Exhibit 4.1 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4"/>
              </w:rPr>
              <w:t>Amendment No. 4 to the Registration Statement on Form S-1, File No. 333-179502, filed by the Company with the SEC on August 20,</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2012).</w:t>
            </w:r>
          </w:p>
        </w:tc>
        <w:tc>
          <w:tcPr>
            <w:tcW w:w="9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4.2+</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5"/>
              </w:rPr>
              <w:t>Form of Base Indenture with respect to Senior Debt Securities (and any related guarantees) (including form of Senior Debt Security).</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4.3+</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Form of Base Indenture with respect to Subordinated Debt Securities (and any related guarantees) (including form of Subordinated Debt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4.4</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Registration Rights Agreement, dated as of October 11, 2012, by and between the Company and DB Energy Holdings LLC (incorporated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by reference to Exhibit 4.2 to the Form 10-Q, File No. 001-35700, filed by the Company with the SEC on November 16, 2012).</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4.5</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0"/>
              </w:rPr>
              <w:t>Investor Rights Agreement, dated as of October 11, 2012, by and between the Company and Gulfport Energy Corporation (incorporated by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reference to Exhibit 4.3 to the Form 10-Q, File No. 001-35700, filed by the Company with the SEC on November 16, 2012).</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4.6</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Indenture, dated as of September 18, 2013, among Diamondback Energy, Inc., the subsidiary guarantors party thereto and Wells Fargo,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1"/>
              </w:rPr>
              <w:t>N.A., as trustee (including the form of Diamondback Energy, Inc.’s 7.625% Senior Note due October 1, 2021) (incorporated by reference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Exhibit 4.1 to the Form 8-K, File No. 001-35700, filed by the Company with the SEC on September 18, 2013).</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4.7</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0"/>
              </w:rPr>
              <w:t>Registration Rights Agreement, dated as of September 18, 2013, among Diamondback Energy, Inc., the subsidiary guarantors party thereto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1"/>
              </w:rPr>
              <w:t>and Credit Suisse Securities (USA) LLC, as representative of the several initial purchasers (incorporated by reference to Exhibit 4.2 to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Form 8-K, File No. 001-35700, filed by the Company with the SEC on September 18, 2013).</w:t>
            </w:r>
          </w:p>
        </w:tc>
        <w:tc>
          <w:tcPr>
            <w:tcW w:w="0" w:type="dxa"/>
            <w:vAlign w:val="bottom"/>
          </w:tcPr>
          <w:p>
            <w:pPr>
              <w:spacing w:after="0"/>
              <w:rPr>
                <w:sz w:val="1"/>
                <w:szCs w:val="1"/>
                <w:color w:val="auto"/>
              </w:rPr>
            </w:pP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5.1+</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Opinion of Akin, Gump, Strauss, Hauer &amp; Feld, L.L.P. as to the legality of the securities being registered.</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12.1+</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Statement Regarding the Computation of Ratio of Earnings (Deficit) to Fixed Charges.</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Consent of Akin, Gump, Strauss, Hauer &amp; Feld, L.L.P. (included on Exhibit 5.1).</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Consent of Grant Thornton LLP.</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23.3+</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Consent of Grant Thornton LLP.</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23.4+</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Consent of Ryder Scott Company, L.P.</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23.5+</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Consent of Pinnacle Energy Services, LLC.</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24+</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Power of Attorney (included on the signature page of this Registration Statement).</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25.1**</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7"/>
              </w:rPr>
              <w:t>Statement of Eligibility on Form T-1 under the Trust Indenture Act of 1939, as amended, of Trustee for the Senior Debt Securities.</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360" w:type="dxa"/>
            <w:vAlign w:val="bottom"/>
          </w:tcPr>
          <w:p>
            <w:pPr>
              <w:jc w:val="center"/>
              <w:ind w:right="1890"/>
              <w:spacing w:after="0"/>
              <w:rPr>
                <w:sz w:val="20"/>
                <w:szCs w:val="20"/>
                <w:color w:val="auto"/>
              </w:rPr>
            </w:pPr>
            <w:r>
              <w:rPr>
                <w:rFonts w:ascii="Arial" w:cs="Arial" w:eastAsia="Arial" w:hAnsi="Arial"/>
                <w:sz w:val="18"/>
                <w:szCs w:val="18"/>
                <w:color w:val="auto"/>
                <w:w w:val="92"/>
              </w:rPr>
              <w:t>E-1</w:t>
            </w: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Statement of Eligibility on Form T-1 under the Trust Indenture Act of 1939, as amended, of Trustee for the 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right="2700" w:firstLine="8"/>
        <w:spacing w:after="0" w:line="258" w:lineRule="auto"/>
        <w:tabs>
          <w:tab w:leader="none" w:pos="4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be filed as an exhibit to a Current Report on Form 8-K of the registrant in connection with a specific offering. ** To be filed pursuant to Section 305(b)(2) of the Trust Indenture Act.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280"/>
          </w:cols>
          <w:pgMar w:left="240" w:top="459" w:right="37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1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DIAMONDBACK ENERGY,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THE GUARANTORS PARTY HERETO</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ind w:left="3260"/>
        <w:spacing w:after="0"/>
        <w:tabs>
          <w:tab w:leader="none" w:pos="56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Trustee</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3320"/>
        <w:spacing w:after="0"/>
        <w:tabs>
          <w:tab w:leader="none" w:pos="5180" w:val="left"/>
        </w:tabs>
        <w:rPr>
          <w:sz w:val="20"/>
          <w:szCs w:val="20"/>
          <w:color w:val="auto"/>
        </w:rPr>
      </w:pPr>
      <w:r>
        <w:rPr>
          <w:rFonts w:ascii="Arial" w:cs="Arial" w:eastAsia="Arial" w:hAnsi="Arial"/>
          <w:sz w:val="18"/>
          <w:szCs w:val="18"/>
          <w:b w:val="1"/>
          <w:bCs w:val="1"/>
          <w:color w:val="auto"/>
        </w:rPr>
        <w:t>Dated as of [</w:t>
      </w:r>
      <w:r>
        <w:rPr>
          <w:sz w:val="20"/>
          <w:szCs w:val="20"/>
          <w:color w:val="auto"/>
        </w:rPr>
        <w:tab/>
      </w:r>
      <w:r>
        <w:rPr>
          <w:rFonts w:ascii="Arial" w:cs="Arial" w:eastAsia="Arial" w:hAnsi="Arial"/>
          <w:sz w:val="16"/>
          <w:szCs w:val="16"/>
          <w:b w:val="1"/>
          <w:bCs w:val="1"/>
          <w:color w:val="auto"/>
        </w:rPr>
        <w:t>], 2013</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SENIOR DEBT SECURITIES</w:t>
      </w:r>
    </w:p>
    <w:p>
      <w:pPr>
        <w:sectPr>
          <w:pgSz w:w="11900" w:h="16838" w:orient="portrait"/>
          <w:cols w:equalWidth="0" w:num="1">
            <w:col w:w="10220"/>
          </w:cols>
          <w:pgMar w:left="1440" w:top="121"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9800" w:type="dxa"/>
            <w:vAlign w:val="bottom"/>
            <w:gridSpan w:val="2"/>
          </w:tcPr>
          <w:p>
            <w:pPr>
              <w:ind w:left="2760"/>
              <w:spacing w:after="0"/>
              <w:rPr>
                <w:sz w:val="20"/>
                <w:szCs w:val="20"/>
                <w:color w:val="auto"/>
              </w:rPr>
            </w:pPr>
            <w:r>
              <w:rPr>
                <w:rFonts w:ascii="Arial" w:cs="Arial" w:eastAsia="Arial" w:hAnsi="Arial"/>
                <w:sz w:val="18"/>
                <w:szCs w:val="18"/>
                <w:b w:val="1"/>
                <w:bCs w:val="1"/>
                <w:color w:val="auto"/>
              </w:rPr>
              <w:t>DIAMONDBACK ENERGY, INC.</w:t>
            </w:r>
          </w:p>
        </w:tc>
      </w:tr>
      <w:tr>
        <w:trPr>
          <w:trHeight w:val="418"/>
        </w:trPr>
        <w:tc>
          <w:tcPr>
            <w:tcW w:w="1620" w:type="dxa"/>
            <w:vAlign w:val="bottom"/>
          </w:tcPr>
          <w:p>
            <w:pPr>
              <w:spacing w:after="0"/>
              <w:rPr>
                <w:sz w:val="24"/>
                <w:szCs w:val="24"/>
                <w:color w:val="auto"/>
              </w:rPr>
            </w:pPr>
          </w:p>
        </w:tc>
        <w:tc>
          <w:tcPr>
            <w:tcW w:w="9800" w:type="dxa"/>
            <w:vAlign w:val="bottom"/>
            <w:gridSpan w:val="2"/>
          </w:tcPr>
          <w:p>
            <w:pPr>
              <w:ind w:left="2000"/>
              <w:spacing w:after="0"/>
              <w:rPr>
                <w:sz w:val="20"/>
                <w:szCs w:val="20"/>
                <w:color w:val="auto"/>
              </w:rPr>
            </w:pPr>
            <w:r>
              <w:rPr>
                <w:rFonts w:ascii="Arial" w:cs="Arial" w:eastAsia="Arial" w:hAnsi="Arial"/>
                <w:sz w:val="18"/>
                <w:szCs w:val="18"/>
                <w:color w:val="auto"/>
              </w:rPr>
              <w:t>Certain Sections of this Indenture relating to Sections 310</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2000"/>
              <w:spacing w:after="0"/>
              <w:rPr>
                <w:sz w:val="20"/>
                <w:szCs w:val="20"/>
                <w:color w:val="auto"/>
              </w:rPr>
            </w:pPr>
            <w:r>
              <w:rPr>
                <w:rFonts w:ascii="Arial" w:cs="Arial" w:eastAsia="Arial" w:hAnsi="Arial"/>
                <w:sz w:val="18"/>
                <w:szCs w:val="18"/>
                <w:color w:val="auto"/>
              </w:rPr>
              <w:t>through 318, inclusive, of the Trust Indenture Act of 1939</w:t>
            </w:r>
          </w:p>
        </w:tc>
      </w:tr>
      <w:tr>
        <w:trPr>
          <w:trHeight w:val="412"/>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Trust Indenture Act Section</w:t>
            </w:r>
          </w:p>
        </w:tc>
        <w:tc>
          <w:tcPr>
            <w:tcW w:w="8520" w:type="dxa"/>
            <w:vAlign w:val="bottom"/>
          </w:tcPr>
          <w:p>
            <w:pPr>
              <w:spacing w:after="0"/>
              <w:rPr>
                <w:sz w:val="24"/>
                <w:szCs w:val="24"/>
                <w:color w:val="auto"/>
              </w:rPr>
            </w:pPr>
          </w:p>
        </w:tc>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Indenture Section</w:t>
            </w:r>
          </w:p>
        </w:tc>
      </w:tr>
      <w:tr>
        <w:trPr>
          <w:trHeight w:val="189"/>
        </w:trPr>
        <w:tc>
          <w:tcPr>
            <w:tcW w:w="1620" w:type="dxa"/>
            <w:vAlign w:val="bottom"/>
          </w:tcPr>
          <w:p>
            <w:pPr>
              <w:spacing w:after="0" w:line="189" w:lineRule="exact"/>
              <w:rPr>
                <w:sz w:val="20"/>
                <w:szCs w:val="20"/>
                <w:color w:val="auto"/>
              </w:rPr>
            </w:pPr>
            <w:r>
              <w:rPr>
                <w:rFonts w:ascii="Arial" w:cs="Arial" w:eastAsia="Arial" w:hAnsi="Arial"/>
                <w:sz w:val="18"/>
                <w:szCs w:val="18"/>
                <w:color w:val="auto"/>
              </w:rPr>
              <w:t>Section 310(a)(1)</w:t>
            </w:r>
          </w:p>
        </w:tc>
        <w:tc>
          <w:tcPr>
            <w:tcW w:w="8520" w:type="dxa"/>
            <w:vAlign w:val="bottom"/>
          </w:tcPr>
          <w:p>
            <w:pPr>
              <w:spacing w:after="0"/>
              <w:rPr>
                <w:sz w:val="16"/>
                <w:szCs w:val="16"/>
                <w:color w:val="auto"/>
              </w:rPr>
            </w:pPr>
          </w:p>
        </w:tc>
        <w:tc>
          <w:tcPr>
            <w:tcW w:w="1280" w:type="dxa"/>
            <w:vAlign w:val="bottom"/>
          </w:tcPr>
          <w:p>
            <w:pPr>
              <w:spacing w:after="0" w:line="189" w:lineRule="exact"/>
              <w:rPr>
                <w:sz w:val="20"/>
                <w:szCs w:val="20"/>
                <w:color w:val="auto"/>
              </w:rPr>
            </w:pPr>
            <w:r>
              <w:rPr>
                <w:rFonts w:ascii="Arial" w:cs="Arial" w:eastAsia="Arial" w:hAnsi="Arial"/>
                <w:sz w:val="18"/>
                <w:szCs w:val="18"/>
                <w:color w:val="auto"/>
              </w:rPr>
              <w:t>609</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(a)(2)</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609</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(a)(3)</w:t>
            </w:r>
          </w:p>
        </w:tc>
        <w:tc>
          <w:tcPr>
            <w:tcW w:w="85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(a)(4)</w:t>
            </w:r>
          </w:p>
        </w:tc>
        <w:tc>
          <w:tcPr>
            <w:tcW w:w="85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(b)</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608</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311(a)</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613</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(b)</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613</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312(a)</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701</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702</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(b)</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702</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(c)</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702</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313(a)</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703</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(b)</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703</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(c)</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703</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(d)</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703</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314(a)</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704</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(a)(4)</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101</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(b)</w:t>
            </w:r>
          </w:p>
        </w:tc>
        <w:tc>
          <w:tcPr>
            <w:tcW w:w="85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(c)(1)</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102</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(c)(2)</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102</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(c)(3)</w:t>
            </w:r>
          </w:p>
        </w:tc>
        <w:tc>
          <w:tcPr>
            <w:tcW w:w="85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(d)</w:t>
            </w:r>
          </w:p>
        </w:tc>
        <w:tc>
          <w:tcPr>
            <w:tcW w:w="85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102</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315(a)</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601</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(b)</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602</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(c)</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601</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(d)</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601</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514</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316(a)</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101</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(a)(1)(A)</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502</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512</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(a)(1)(B)</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513</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(a)(2)</w:t>
            </w:r>
          </w:p>
        </w:tc>
        <w:tc>
          <w:tcPr>
            <w:tcW w:w="85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(b)</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508</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(c)</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104</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317(a)(1)</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503</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(a)(2)</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504</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(b)</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1003</w:t>
            </w: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Section 318(a)</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107</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0" w:right="239" w:bottom="1440" w:gutter="0" w:footer="0" w:header="0"/>
        </w:sectPr>
      </w:pPr>
    </w:p>
    <w:bookmarkStart w:id="57" w:name="page58"/>
    <w:bookmarkEnd w:id="5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04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 AND OTHER PROVISIONS OF GENERAL APPLICATION</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224"/>
        </w:trPr>
        <w:tc>
          <w:tcPr>
            <w:tcW w:w="11040" w:type="dxa"/>
            <w:vAlign w:val="bottom"/>
            <w:gridSpan w:val="2"/>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56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948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9480" w:type="dxa"/>
            <w:vAlign w:val="bottom"/>
          </w:tcPr>
          <w:p>
            <w:pPr>
              <w:ind w:left="240"/>
              <w:spacing w:after="0"/>
              <w:rPr>
                <w:sz w:val="20"/>
                <w:szCs w:val="20"/>
                <w:color w:val="auto"/>
              </w:rPr>
            </w:pPr>
            <w:r>
              <w:rPr>
                <w:rFonts w:ascii="Arial" w:cs="Arial" w:eastAsia="Arial" w:hAnsi="Arial"/>
                <w:sz w:val="18"/>
                <w:szCs w:val="18"/>
                <w:color w:val="auto"/>
              </w:rPr>
              <w:t>Compliance Certificates and Opinions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9480" w:type="dxa"/>
            <w:vAlign w:val="bottom"/>
          </w:tcPr>
          <w:p>
            <w:pPr>
              <w:ind w:left="240"/>
              <w:spacing w:after="0"/>
              <w:rPr>
                <w:sz w:val="20"/>
                <w:szCs w:val="20"/>
                <w:color w:val="auto"/>
              </w:rPr>
            </w:pPr>
            <w:r>
              <w:rPr>
                <w:rFonts w:ascii="Arial" w:cs="Arial" w:eastAsia="Arial" w:hAnsi="Arial"/>
                <w:sz w:val="18"/>
                <w:szCs w:val="18"/>
                <w:color w:val="auto"/>
              </w:rPr>
              <w:t>Form of Documents Delivered to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9480" w:type="dxa"/>
            <w:vAlign w:val="bottom"/>
          </w:tcPr>
          <w:p>
            <w:pPr>
              <w:ind w:left="240"/>
              <w:spacing w:after="0"/>
              <w:rPr>
                <w:sz w:val="20"/>
                <w:szCs w:val="20"/>
                <w:color w:val="auto"/>
              </w:rPr>
            </w:pPr>
            <w:r>
              <w:rPr>
                <w:rFonts w:ascii="Arial" w:cs="Arial" w:eastAsia="Arial" w:hAnsi="Arial"/>
                <w:sz w:val="18"/>
                <w:szCs w:val="18"/>
                <w:color w:val="auto"/>
              </w:rPr>
              <w:t>Acts of Holders; Record Dates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9480" w:type="dxa"/>
            <w:vAlign w:val="bottom"/>
          </w:tcPr>
          <w:p>
            <w:pPr>
              <w:ind w:left="240"/>
              <w:spacing w:after="0"/>
              <w:rPr>
                <w:sz w:val="20"/>
                <w:szCs w:val="20"/>
                <w:color w:val="auto"/>
              </w:rPr>
            </w:pPr>
            <w:r>
              <w:rPr>
                <w:rFonts w:ascii="Arial" w:cs="Arial" w:eastAsia="Arial" w:hAnsi="Arial"/>
                <w:sz w:val="18"/>
                <w:szCs w:val="18"/>
                <w:color w:val="auto"/>
              </w:rPr>
              <w:t>Notices, Etc., to Trustee, Company and Guarantors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9480" w:type="dxa"/>
            <w:vAlign w:val="bottom"/>
          </w:tcPr>
          <w:p>
            <w:pPr>
              <w:ind w:left="240"/>
              <w:spacing w:after="0"/>
              <w:rPr>
                <w:sz w:val="20"/>
                <w:szCs w:val="20"/>
                <w:color w:val="auto"/>
              </w:rPr>
            </w:pPr>
            <w:r>
              <w:rPr>
                <w:rFonts w:ascii="Arial" w:cs="Arial" w:eastAsia="Arial" w:hAnsi="Arial"/>
                <w:sz w:val="18"/>
                <w:szCs w:val="18"/>
                <w:color w:val="auto"/>
              </w:rPr>
              <w:t>Notice to Holders; Waiver</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9480" w:type="dxa"/>
            <w:vAlign w:val="bottom"/>
          </w:tcPr>
          <w:p>
            <w:pPr>
              <w:ind w:left="240"/>
              <w:spacing w:after="0"/>
              <w:rPr>
                <w:sz w:val="20"/>
                <w:szCs w:val="20"/>
                <w:color w:val="auto"/>
              </w:rPr>
            </w:pPr>
            <w:r>
              <w:rPr>
                <w:rFonts w:ascii="Arial" w:cs="Arial" w:eastAsia="Arial" w:hAnsi="Arial"/>
                <w:sz w:val="18"/>
                <w:szCs w:val="18"/>
                <w:color w:val="auto"/>
              </w:rPr>
              <w:t>Trust Indenture Act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1.08.</w:t>
            </w:r>
          </w:p>
        </w:tc>
        <w:tc>
          <w:tcPr>
            <w:tcW w:w="9480" w:type="dxa"/>
            <w:vAlign w:val="bottom"/>
          </w:tcPr>
          <w:p>
            <w:pPr>
              <w:ind w:left="240"/>
              <w:spacing w:after="0"/>
              <w:rPr>
                <w:sz w:val="20"/>
                <w:szCs w:val="20"/>
                <w:color w:val="auto"/>
              </w:rPr>
            </w:pPr>
            <w:r>
              <w:rPr>
                <w:rFonts w:ascii="Arial" w:cs="Arial" w:eastAsia="Arial" w:hAnsi="Arial"/>
                <w:sz w:val="18"/>
                <w:szCs w:val="18"/>
                <w:color w:val="auto"/>
              </w:rPr>
              <w:t>Effect of Headings and Table of Contents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1.09.</w:t>
            </w:r>
          </w:p>
        </w:tc>
        <w:tc>
          <w:tcPr>
            <w:tcW w:w="9480" w:type="dxa"/>
            <w:vAlign w:val="bottom"/>
          </w:tcPr>
          <w:p>
            <w:pPr>
              <w:ind w:left="240"/>
              <w:spacing w:after="0"/>
              <w:rPr>
                <w:sz w:val="20"/>
                <w:szCs w:val="20"/>
                <w:color w:val="auto"/>
              </w:rPr>
            </w:pPr>
            <w:r>
              <w:rPr>
                <w:rFonts w:ascii="Arial" w:cs="Arial" w:eastAsia="Arial" w:hAnsi="Arial"/>
                <w:sz w:val="18"/>
                <w:szCs w:val="18"/>
                <w:color w:val="auto"/>
              </w:rPr>
              <w:t>Successors and Assigns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1.10.</w:t>
            </w:r>
          </w:p>
        </w:tc>
        <w:tc>
          <w:tcPr>
            <w:tcW w:w="9480" w:type="dxa"/>
            <w:vAlign w:val="bottom"/>
          </w:tcPr>
          <w:p>
            <w:pPr>
              <w:ind w:left="240"/>
              <w:spacing w:after="0"/>
              <w:rPr>
                <w:sz w:val="20"/>
                <w:szCs w:val="20"/>
                <w:color w:val="auto"/>
              </w:rPr>
            </w:pPr>
            <w:r>
              <w:rPr>
                <w:rFonts w:ascii="Arial" w:cs="Arial" w:eastAsia="Arial" w:hAnsi="Arial"/>
                <w:sz w:val="18"/>
                <w:szCs w:val="18"/>
                <w:color w:val="auto"/>
              </w:rPr>
              <w:t>Separability Clause</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9480" w:type="dxa"/>
            <w:vAlign w:val="bottom"/>
          </w:tcPr>
          <w:p>
            <w:pPr>
              <w:ind w:left="240"/>
              <w:spacing w:after="0"/>
              <w:rPr>
                <w:sz w:val="20"/>
                <w:szCs w:val="20"/>
                <w:color w:val="auto"/>
              </w:rPr>
            </w:pPr>
            <w:r>
              <w:rPr>
                <w:rFonts w:ascii="Arial" w:cs="Arial" w:eastAsia="Arial" w:hAnsi="Arial"/>
                <w:sz w:val="18"/>
                <w:szCs w:val="18"/>
                <w:color w:val="auto"/>
              </w:rPr>
              <w:t>Benefits of Indenture</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9480" w:type="dxa"/>
            <w:vAlign w:val="bottom"/>
          </w:tcPr>
          <w:p>
            <w:pPr>
              <w:ind w:left="240"/>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9480" w:type="dxa"/>
            <w:vAlign w:val="bottom"/>
          </w:tcPr>
          <w:p>
            <w:pPr>
              <w:ind w:left="240"/>
              <w:spacing w:after="0"/>
              <w:rPr>
                <w:sz w:val="20"/>
                <w:szCs w:val="20"/>
                <w:color w:val="auto"/>
              </w:rPr>
            </w:pPr>
            <w:r>
              <w:rPr>
                <w:rFonts w:ascii="Arial" w:cs="Arial" w:eastAsia="Arial" w:hAnsi="Arial"/>
                <w:sz w:val="18"/>
                <w:szCs w:val="18"/>
                <w:color w:val="auto"/>
              </w:rPr>
              <w:t>Legal Holidays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1.14.</w:t>
            </w:r>
          </w:p>
        </w:tc>
        <w:tc>
          <w:tcPr>
            <w:tcW w:w="9480" w:type="dxa"/>
            <w:vAlign w:val="bottom"/>
          </w:tcPr>
          <w:p>
            <w:pPr>
              <w:ind w:left="240"/>
              <w:spacing w:after="0"/>
              <w:rPr>
                <w:sz w:val="20"/>
                <w:szCs w:val="20"/>
                <w:color w:val="auto"/>
              </w:rPr>
            </w:pPr>
            <w:r>
              <w:rPr>
                <w:rFonts w:ascii="Arial" w:cs="Arial" w:eastAsia="Arial" w:hAnsi="Arial"/>
                <w:sz w:val="18"/>
                <w:szCs w:val="18"/>
                <w:color w:val="auto"/>
              </w:rPr>
              <w:t>No Adverse Interpretation of Other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1.15.</w:t>
            </w:r>
          </w:p>
        </w:tc>
        <w:tc>
          <w:tcPr>
            <w:tcW w:w="9480" w:type="dxa"/>
            <w:vAlign w:val="bottom"/>
          </w:tcPr>
          <w:p>
            <w:pPr>
              <w:ind w:left="240"/>
              <w:spacing w:after="0"/>
              <w:rPr>
                <w:sz w:val="20"/>
                <w:szCs w:val="20"/>
                <w:color w:val="auto"/>
              </w:rPr>
            </w:pPr>
            <w:r>
              <w:rPr>
                <w:rFonts w:ascii="Arial" w:cs="Arial" w:eastAsia="Arial" w:hAnsi="Arial"/>
                <w:sz w:val="18"/>
                <w:szCs w:val="18"/>
                <w:color w:val="auto"/>
              </w:rPr>
              <w:t>No Personal Liability of Directors, Officers, Employees and Stockholders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1.16.</w:t>
            </w:r>
          </w:p>
        </w:tc>
        <w:tc>
          <w:tcPr>
            <w:tcW w:w="9480" w:type="dxa"/>
            <w:vAlign w:val="bottom"/>
          </w:tcPr>
          <w:p>
            <w:pPr>
              <w:ind w:left="240"/>
              <w:spacing w:after="0"/>
              <w:rPr>
                <w:sz w:val="20"/>
                <w:szCs w:val="20"/>
                <w:color w:val="auto"/>
              </w:rPr>
            </w:pPr>
            <w:r>
              <w:rPr>
                <w:rFonts w:ascii="Arial" w:cs="Arial" w:eastAsia="Arial" w:hAnsi="Arial"/>
                <w:sz w:val="18"/>
                <w:szCs w:val="18"/>
                <w:color w:val="auto"/>
              </w:rPr>
              <w:t>Language of Notices, Etc</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1.17.</w:t>
            </w:r>
          </w:p>
        </w:tc>
        <w:tc>
          <w:tcPr>
            <w:tcW w:w="9480" w:type="dxa"/>
            <w:vAlign w:val="bottom"/>
          </w:tcPr>
          <w:p>
            <w:pPr>
              <w:ind w:left="240"/>
              <w:spacing w:after="0"/>
              <w:rPr>
                <w:sz w:val="20"/>
                <w:szCs w:val="20"/>
                <w:color w:val="auto"/>
              </w:rPr>
            </w:pPr>
            <w:r>
              <w:rPr>
                <w:rFonts w:ascii="Arial" w:cs="Arial" w:eastAsia="Arial" w:hAnsi="Arial"/>
                <w:sz w:val="18"/>
                <w:szCs w:val="18"/>
                <w:color w:val="auto"/>
              </w:rPr>
              <w:t>Force Majeure</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1.18.</w:t>
            </w:r>
          </w:p>
        </w:tc>
        <w:tc>
          <w:tcPr>
            <w:tcW w:w="9480" w:type="dxa"/>
            <w:vAlign w:val="bottom"/>
          </w:tcPr>
          <w:p>
            <w:pPr>
              <w:ind w:left="240"/>
              <w:spacing w:after="0"/>
              <w:rPr>
                <w:sz w:val="20"/>
                <w:szCs w:val="20"/>
                <w:color w:val="auto"/>
              </w:rPr>
            </w:pPr>
            <w:r>
              <w:rPr>
                <w:rFonts w:ascii="Arial" w:cs="Arial" w:eastAsia="Arial" w:hAnsi="Arial"/>
                <w:sz w:val="18"/>
                <w:szCs w:val="18"/>
                <w:color w:val="auto"/>
              </w:rPr>
              <w:t>Waiver of Jury Trial</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040" w:type="dxa"/>
            <w:vAlign w:val="bottom"/>
            <w:gridSpan w:val="2"/>
          </w:tcPr>
          <w:p>
            <w:pPr>
              <w:spacing w:after="0"/>
              <w:rPr>
                <w:sz w:val="20"/>
                <w:szCs w:val="20"/>
                <w:color w:val="auto"/>
              </w:rPr>
            </w:pPr>
            <w:r>
              <w:rPr>
                <w:rFonts w:ascii="Arial" w:cs="Arial" w:eastAsia="Arial" w:hAnsi="Arial"/>
                <w:sz w:val="18"/>
                <w:szCs w:val="18"/>
                <w:color w:val="auto"/>
              </w:rPr>
              <w:t>ARTICLE II SECURITY FORMS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56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9480" w:type="dxa"/>
            <w:vAlign w:val="bottom"/>
          </w:tcPr>
          <w:p>
            <w:pPr>
              <w:ind w:left="240"/>
              <w:spacing w:after="0"/>
              <w:rPr>
                <w:sz w:val="20"/>
                <w:szCs w:val="20"/>
                <w:color w:val="auto"/>
              </w:rPr>
            </w:pPr>
            <w:r>
              <w:rPr>
                <w:rFonts w:ascii="Arial" w:cs="Arial" w:eastAsia="Arial" w:hAnsi="Arial"/>
                <w:sz w:val="18"/>
                <w:szCs w:val="18"/>
                <w:color w:val="auto"/>
              </w:rPr>
              <w:t>Forms Generally</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9480" w:type="dxa"/>
            <w:vAlign w:val="bottom"/>
          </w:tcPr>
          <w:p>
            <w:pPr>
              <w:ind w:left="240"/>
              <w:spacing w:after="0"/>
              <w:rPr>
                <w:sz w:val="20"/>
                <w:szCs w:val="20"/>
                <w:color w:val="auto"/>
              </w:rPr>
            </w:pPr>
            <w:r>
              <w:rPr>
                <w:rFonts w:ascii="Arial" w:cs="Arial" w:eastAsia="Arial" w:hAnsi="Arial"/>
                <w:sz w:val="18"/>
                <w:szCs w:val="18"/>
                <w:color w:val="auto"/>
              </w:rPr>
              <w:t>Form of Face of Security</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9480" w:type="dxa"/>
            <w:vAlign w:val="bottom"/>
          </w:tcPr>
          <w:p>
            <w:pPr>
              <w:ind w:left="240"/>
              <w:spacing w:after="0"/>
              <w:rPr>
                <w:sz w:val="20"/>
                <w:szCs w:val="20"/>
                <w:color w:val="auto"/>
              </w:rPr>
            </w:pPr>
            <w:r>
              <w:rPr>
                <w:rFonts w:ascii="Arial" w:cs="Arial" w:eastAsia="Arial" w:hAnsi="Arial"/>
                <w:sz w:val="18"/>
                <w:szCs w:val="18"/>
                <w:color w:val="auto"/>
              </w:rPr>
              <w:t>Form of Reverse of Security</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9480" w:type="dxa"/>
            <w:vAlign w:val="bottom"/>
          </w:tcPr>
          <w:p>
            <w:pPr>
              <w:ind w:left="240"/>
              <w:spacing w:after="0"/>
              <w:rPr>
                <w:sz w:val="20"/>
                <w:szCs w:val="20"/>
                <w:color w:val="auto"/>
              </w:rPr>
            </w:pPr>
            <w:r>
              <w:rPr>
                <w:rFonts w:ascii="Arial" w:cs="Arial" w:eastAsia="Arial" w:hAnsi="Arial"/>
                <w:sz w:val="18"/>
                <w:szCs w:val="18"/>
                <w:color w:val="auto"/>
              </w:rPr>
              <w:t>Form of Legend for Global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9480" w:type="dxa"/>
            <w:vAlign w:val="bottom"/>
          </w:tcPr>
          <w:p>
            <w:pPr>
              <w:ind w:left="240"/>
              <w:spacing w:after="0"/>
              <w:rPr>
                <w:sz w:val="20"/>
                <w:szCs w:val="20"/>
                <w:color w:val="auto"/>
              </w:rPr>
            </w:pPr>
            <w:r>
              <w:rPr>
                <w:rFonts w:ascii="Arial" w:cs="Arial" w:eastAsia="Arial" w:hAnsi="Arial"/>
                <w:sz w:val="18"/>
                <w:szCs w:val="18"/>
                <w:color w:val="auto"/>
              </w:rPr>
              <w:t>Form of Trustee’s Certificate of Authentication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040" w:type="dxa"/>
            <w:vAlign w:val="bottom"/>
            <w:gridSpan w:val="2"/>
          </w:tcPr>
          <w:p>
            <w:pPr>
              <w:spacing w:after="0"/>
              <w:rPr>
                <w:sz w:val="20"/>
                <w:szCs w:val="20"/>
                <w:color w:val="auto"/>
              </w:rPr>
            </w:pPr>
            <w:r>
              <w:rPr>
                <w:rFonts w:ascii="Arial" w:cs="Arial" w:eastAsia="Arial" w:hAnsi="Arial"/>
                <w:sz w:val="18"/>
                <w:szCs w:val="18"/>
                <w:color w:val="auto"/>
              </w:rPr>
              <w:t>ARTICLE III THE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56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9480" w:type="dxa"/>
            <w:vAlign w:val="bottom"/>
          </w:tcPr>
          <w:p>
            <w:pPr>
              <w:ind w:left="240"/>
              <w:spacing w:after="0"/>
              <w:rPr>
                <w:sz w:val="20"/>
                <w:szCs w:val="20"/>
                <w:color w:val="auto"/>
              </w:rPr>
            </w:pPr>
            <w:r>
              <w:rPr>
                <w:rFonts w:ascii="Arial" w:cs="Arial" w:eastAsia="Arial" w:hAnsi="Arial"/>
                <w:sz w:val="18"/>
                <w:szCs w:val="18"/>
                <w:color w:val="auto"/>
              </w:rPr>
              <w:t>Amount Unlimited; Issuable in Series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9480" w:type="dxa"/>
            <w:vAlign w:val="bottom"/>
          </w:tcPr>
          <w:p>
            <w:pPr>
              <w:ind w:left="240"/>
              <w:spacing w:after="0"/>
              <w:rPr>
                <w:sz w:val="20"/>
                <w:szCs w:val="20"/>
                <w:color w:val="auto"/>
              </w:rPr>
            </w:pPr>
            <w:r>
              <w:rPr>
                <w:rFonts w:ascii="Arial" w:cs="Arial" w:eastAsia="Arial" w:hAnsi="Arial"/>
                <w:sz w:val="18"/>
                <w:szCs w:val="18"/>
                <w:color w:val="auto"/>
              </w:rPr>
              <w:t>Denominations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9480" w:type="dxa"/>
            <w:vAlign w:val="bottom"/>
          </w:tcPr>
          <w:p>
            <w:pPr>
              <w:ind w:left="240"/>
              <w:spacing w:after="0"/>
              <w:rPr>
                <w:sz w:val="20"/>
                <w:szCs w:val="20"/>
                <w:color w:val="auto"/>
              </w:rPr>
            </w:pPr>
            <w:r>
              <w:rPr>
                <w:rFonts w:ascii="Arial" w:cs="Arial" w:eastAsia="Arial" w:hAnsi="Arial"/>
                <w:sz w:val="18"/>
                <w:szCs w:val="18"/>
                <w:color w:val="auto"/>
              </w:rPr>
              <w:t>Execution, Authentication, Delivery and Dating</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9480" w:type="dxa"/>
            <w:vAlign w:val="bottom"/>
          </w:tcPr>
          <w:p>
            <w:pPr>
              <w:ind w:left="240"/>
              <w:spacing w:after="0"/>
              <w:rPr>
                <w:sz w:val="20"/>
                <w:szCs w:val="20"/>
                <w:color w:val="auto"/>
              </w:rPr>
            </w:pPr>
            <w:r>
              <w:rPr>
                <w:rFonts w:ascii="Arial" w:cs="Arial" w:eastAsia="Arial" w:hAnsi="Arial"/>
                <w:sz w:val="18"/>
                <w:szCs w:val="18"/>
                <w:color w:val="auto"/>
              </w:rPr>
              <w:t>Temporary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3.05.</w:t>
            </w:r>
          </w:p>
        </w:tc>
        <w:tc>
          <w:tcPr>
            <w:tcW w:w="9480" w:type="dxa"/>
            <w:vAlign w:val="bottom"/>
          </w:tcPr>
          <w:p>
            <w:pPr>
              <w:ind w:left="240"/>
              <w:spacing w:after="0"/>
              <w:rPr>
                <w:sz w:val="20"/>
                <w:szCs w:val="20"/>
                <w:color w:val="auto"/>
              </w:rPr>
            </w:pPr>
            <w:r>
              <w:rPr>
                <w:rFonts w:ascii="Arial" w:cs="Arial" w:eastAsia="Arial" w:hAnsi="Arial"/>
                <w:sz w:val="18"/>
                <w:szCs w:val="18"/>
                <w:color w:val="auto"/>
              </w:rPr>
              <w:t>Registration, Registration of Transfer and Exchange</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3.06.</w:t>
            </w:r>
          </w:p>
        </w:tc>
        <w:tc>
          <w:tcPr>
            <w:tcW w:w="9480" w:type="dxa"/>
            <w:vAlign w:val="bottom"/>
          </w:tcPr>
          <w:p>
            <w:pPr>
              <w:ind w:left="240"/>
              <w:spacing w:after="0"/>
              <w:rPr>
                <w:sz w:val="20"/>
                <w:szCs w:val="20"/>
                <w:color w:val="auto"/>
              </w:rPr>
            </w:pPr>
            <w:r>
              <w:rPr>
                <w:rFonts w:ascii="Arial" w:cs="Arial" w:eastAsia="Arial" w:hAnsi="Arial"/>
                <w:sz w:val="18"/>
                <w:szCs w:val="18"/>
                <w:color w:val="auto"/>
              </w:rPr>
              <w:t>Mutilated, Destroyed, Lost and Wrongfully Taken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3.07.</w:t>
            </w:r>
          </w:p>
        </w:tc>
        <w:tc>
          <w:tcPr>
            <w:tcW w:w="9480" w:type="dxa"/>
            <w:vAlign w:val="bottom"/>
          </w:tcPr>
          <w:p>
            <w:pPr>
              <w:ind w:left="240"/>
              <w:spacing w:after="0"/>
              <w:rPr>
                <w:sz w:val="20"/>
                <w:szCs w:val="20"/>
                <w:color w:val="auto"/>
              </w:rPr>
            </w:pPr>
            <w:r>
              <w:rPr>
                <w:rFonts w:ascii="Arial" w:cs="Arial" w:eastAsia="Arial" w:hAnsi="Arial"/>
                <w:sz w:val="18"/>
                <w:szCs w:val="18"/>
                <w:color w:val="auto"/>
              </w:rPr>
              <w:t>Payment of Interest; Interest Rights Preserved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3.08.</w:t>
            </w:r>
          </w:p>
        </w:tc>
        <w:tc>
          <w:tcPr>
            <w:tcW w:w="9480" w:type="dxa"/>
            <w:vAlign w:val="bottom"/>
          </w:tcPr>
          <w:p>
            <w:pPr>
              <w:ind w:left="240"/>
              <w:spacing w:after="0"/>
              <w:rPr>
                <w:sz w:val="20"/>
                <w:szCs w:val="20"/>
                <w:color w:val="auto"/>
              </w:rPr>
            </w:pPr>
            <w:r>
              <w:rPr>
                <w:rFonts w:ascii="Arial" w:cs="Arial" w:eastAsia="Arial" w:hAnsi="Arial"/>
                <w:sz w:val="18"/>
                <w:szCs w:val="18"/>
                <w:color w:val="auto"/>
              </w:rPr>
              <w:t>Persons Deemed Owners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3.09.</w:t>
            </w:r>
          </w:p>
        </w:tc>
        <w:tc>
          <w:tcPr>
            <w:tcW w:w="9480" w:type="dxa"/>
            <w:vAlign w:val="bottom"/>
          </w:tcPr>
          <w:p>
            <w:pPr>
              <w:ind w:left="240"/>
              <w:spacing w:after="0"/>
              <w:rPr>
                <w:sz w:val="20"/>
                <w:szCs w:val="20"/>
                <w:color w:val="auto"/>
              </w:rPr>
            </w:pPr>
            <w:r>
              <w:rPr>
                <w:rFonts w:ascii="Arial" w:cs="Arial" w:eastAsia="Arial" w:hAnsi="Arial"/>
                <w:sz w:val="18"/>
                <w:szCs w:val="18"/>
                <w:color w:val="auto"/>
              </w:rPr>
              <w:t>Cancellation</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9480" w:type="dxa"/>
            <w:vAlign w:val="bottom"/>
          </w:tcPr>
          <w:p>
            <w:pPr>
              <w:ind w:left="240"/>
              <w:spacing w:after="0"/>
              <w:rPr>
                <w:sz w:val="20"/>
                <w:szCs w:val="20"/>
                <w:color w:val="auto"/>
              </w:rPr>
            </w:pPr>
            <w:r>
              <w:rPr>
                <w:rFonts w:ascii="Arial" w:cs="Arial" w:eastAsia="Arial" w:hAnsi="Arial"/>
                <w:sz w:val="18"/>
                <w:szCs w:val="18"/>
                <w:color w:val="auto"/>
              </w:rPr>
              <w:t>Computation of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3.11.</w:t>
            </w:r>
          </w:p>
        </w:tc>
        <w:tc>
          <w:tcPr>
            <w:tcW w:w="9480" w:type="dxa"/>
            <w:vAlign w:val="bottom"/>
          </w:tcPr>
          <w:p>
            <w:pPr>
              <w:ind w:left="240"/>
              <w:spacing w:after="0"/>
              <w:rPr>
                <w:sz w:val="20"/>
                <w:szCs w:val="20"/>
                <w:color w:val="auto"/>
              </w:rPr>
            </w:pPr>
            <w:r>
              <w:rPr>
                <w:rFonts w:ascii="Arial" w:cs="Arial" w:eastAsia="Arial" w:hAnsi="Arial"/>
                <w:sz w:val="18"/>
                <w:szCs w:val="18"/>
                <w:color w:val="auto"/>
              </w:rPr>
              <w:t>CUSIP Numbers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0"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0"/>
        </w:trPr>
        <w:tc>
          <w:tcPr>
            <w:tcW w:w="9680" w:type="dxa"/>
            <w:vAlign w:val="bottom"/>
            <w:gridSpan w:val="2"/>
          </w:tcPr>
          <w:p>
            <w:pPr>
              <w:spacing w:after="0"/>
              <w:rPr>
                <w:sz w:val="20"/>
                <w:szCs w:val="20"/>
                <w:color w:val="auto"/>
              </w:rPr>
            </w:pPr>
            <w:r>
              <w:rPr>
                <w:rFonts w:ascii="Arial" w:cs="Arial" w:eastAsia="Arial" w:hAnsi="Arial"/>
                <w:sz w:val="18"/>
                <w:szCs w:val="18"/>
                <w:color w:val="auto"/>
              </w:rPr>
              <w:t>ARTICLE IV SATISFACTION AND DISCHARGE</w:t>
            </w:r>
          </w:p>
        </w:tc>
        <w:tc>
          <w:tcPr>
            <w:tcW w:w="1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8180" w:type="dxa"/>
            <w:vAlign w:val="bottom"/>
          </w:tcPr>
          <w:p>
            <w:pPr>
              <w:ind w:left="180"/>
              <w:spacing w:after="0"/>
              <w:rPr>
                <w:sz w:val="20"/>
                <w:szCs w:val="20"/>
                <w:color w:val="auto"/>
              </w:rPr>
            </w:pPr>
            <w:r>
              <w:rPr>
                <w:rFonts w:ascii="Arial" w:cs="Arial" w:eastAsia="Arial" w:hAnsi="Arial"/>
                <w:sz w:val="18"/>
                <w:szCs w:val="18"/>
                <w:color w:val="auto"/>
              </w:rPr>
              <w:t>Satisfaction and Discharge of Indenture</w:t>
            </w:r>
          </w:p>
        </w:tc>
        <w:tc>
          <w:tcPr>
            <w:tcW w:w="1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8180" w:type="dxa"/>
            <w:vAlign w:val="bottom"/>
          </w:tcPr>
          <w:p>
            <w:pPr>
              <w:ind w:left="180"/>
              <w:spacing w:after="0"/>
              <w:rPr>
                <w:sz w:val="20"/>
                <w:szCs w:val="20"/>
                <w:color w:val="auto"/>
              </w:rPr>
            </w:pPr>
            <w:r>
              <w:rPr>
                <w:rFonts w:ascii="Arial" w:cs="Arial" w:eastAsia="Arial" w:hAnsi="Arial"/>
                <w:sz w:val="18"/>
                <w:szCs w:val="18"/>
                <w:color w:val="auto"/>
              </w:rPr>
              <w:t>Application of Trust Money</w:t>
            </w:r>
          </w:p>
        </w:tc>
        <w:tc>
          <w:tcPr>
            <w:tcW w:w="1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9680" w:type="dxa"/>
            <w:vAlign w:val="bottom"/>
            <w:gridSpan w:val="2"/>
          </w:tcPr>
          <w:p>
            <w:pPr>
              <w:spacing w:after="0"/>
              <w:rPr>
                <w:sz w:val="20"/>
                <w:szCs w:val="20"/>
                <w:color w:val="auto"/>
              </w:rPr>
            </w:pPr>
            <w:r>
              <w:rPr>
                <w:rFonts w:ascii="Arial" w:cs="Arial" w:eastAsia="Arial" w:hAnsi="Arial"/>
                <w:sz w:val="18"/>
                <w:szCs w:val="18"/>
                <w:color w:val="auto"/>
              </w:rPr>
              <w:t>ARTICLE V REMEDIES</w:t>
            </w:r>
          </w:p>
        </w:tc>
        <w:tc>
          <w:tcPr>
            <w:tcW w:w="1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8180" w:type="dxa"/>
            <w:vAlign w:val="bottom"/>
          </w:tcPr>
          <w:p>
            <w:pPr>
              <w:ind w:left="180"/>
              <w:spacing w:after="0"/>
              <w:rPr>
                <w:sz w:val="20"/>
                <w:szCs w:val="20"/>
                <w:color w:val="auto"/>
              </w:rPr>
            </w:pPr>
            <w:r>
              <w:rPr>
                <w:rFonts w:ascii="Arial" w:cs="Arial" w:eastAsia="Arial" w:hAnsi="Arial"/>
                <w:sz w:val="18"/>
                <w:szCs w:val="18"/>
                <w:color w:val="auto"/>
              </w:rPr>
              <w:t>Events of Default</w:t>
            </w:r>
          </w:p>
        </w:tc>
        <w:tc>
          <w:tcPr>
            <w:tcW w:w="1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8180" w:type="dxa"/>
            <w:vAlign w:val="bottom"/>
          </w:tcPr>
          <w:p>
            <w:pPr>
              <w:ind w:left="180"/>
              <w:spacing w:after="0"/>
              <w:rPr>
                <w:sz w:val="20"/>
                <w:szCs w:val="20"/>
                <w:color w:val="auto"/>
              </w:rPr>
            </w:pPr>
            <w:r>
              <w:rPr>
                <w:rFonts w:ascii="Arial" w:cs="Arial" w:eastAsia="Arial" w:hAnsi="Arial"/>
                <w:sz w:val="18"/>
                <w:szCs w:val="18"/>
                <w:color w:val="auto"/>
              </w:rPr>
              <w:t>Acceleration of Maturity; Rescission and Annulment</w:t>
            </w:r>
          </w:p>
        </w:tc>
        <w:tc>
          <w:tcPr>
            <w:tcW w:w="1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8180" w:type="dxa"/>
            <w:vAlign w:val="bottom"/>
          </w:tcPr>
          <w:p>
            <w:pPr>
              <w:ind w:left="180"/>
              <w:spacing w:after="0"/>
              <w:rPr>
                <w:sz w:val="20"/>
                <w:szCs w:val="20"/>
                <w:color w:val="auto"/>
              </w:rPr>
            </w:pPr>
            <w:r>
              <w:rPr>
                <w:rFonts w:ascii="Arial" w:cs="Arial" w:eastAsia="Arial" w:hAnsi="Arial"/>
                <w:sz w:val="18"/>
                <w:szCs w:val="18"/>
                <w:color w:val="auto"/>
              </w:rPr>
              <w:t>Collection of Indebtedness and Suits for Enforcement by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8180" w:type="dxa"/>
            <w:vAlign w:val="bottom"/>
          </w:tcPr>
          <w:p>
            <w:pPr>
              <w:ind w:left="180"/>
              <w:spacing w:after="0"/>
              <w:rPr>
                <w:sz w:val="20"/>
                <w:szCs w:val="20"/>
                <w:color w:val="auto"/>
              </w:rPr>
            </w:pPr>
            <w:r>
              <w:rPr>
                <w:rFonts w:ascii="Arial" w:cs="Arial" w:eastAsia="Arial" w:hAnsi="Arial"/>
                <w:sz w:val="18"/>
                <w:szCs w:val="18"/>
                <w:color w:val="auto"/>
              </w:rPr>
              <w:t>Trustee May File Proofs of Claim</w:t>
            </w:r>
          </w:p>
        </w:tc>
        <w:tc>
          <w:tcPr>
            <w:tcW w:w="1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5.05.</w:t>
            </w:r>
          </w:p>
        </w:tc>
        <w:tc>
          <w:tcPr>
            <w:tcW w:w="8180" w:type="dxa"/>
            <w:vAlign w:val="bottom"/>
          </w:tcPr>
          <w:p>
            <w:pPr>
              <w:ind w:left="180"/>
              <w:spacing w:after="0"/>
              <w:rPr>
                <w:sz w:val="20"/>
                <w:szCs w:val="20"/>
                <w:color w:val="auto"/>
              </w:rPr>
            </w:pPr>
            <w:r>
              <w:rPr>
                <w:rFonts w:ascii="Arial" w:cs="Arial" w:eastAsia="Arial" w:hAnsi="Arial"/>
                <w:sz w:val="18"/>
                <w:szCs w:val="18"/>
                <w:color w:val="auto"/>
              </w:rPr>
              <w:t>Trustee May Enforce Claims Without Possession of Securities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5.06.</w:t>
            </w:r>
          </w:p>
        </w:tc>
        <w:tc>
          <w:tcPr>
            <w:tcW w:w="8180" w:type="dxa"/>
            <w:vAlign w:val="bottom"/>
          </w:tcPr>
          <w:p>
            <w:pPr>
              <w:ind w:left="180"/>
              <w:spacing w:after="0"/>
              <w:rPr>
                <w:sz w:val="20"/>
                <w:szCs w:val="20"/>
                <w:color w:val="auto"/>
              </w:rPr>
            </w:pPr>
            <w:r>
              <w:rPr>
                <w:rFonts w:ascii="Arial" w:cs="Arial" w:eastAsia="Arial" w:hAnsi="Arial"/>
                <w:sz w:val="18"/>
                <w:szCs w:val="18"/>
                <w:color w:val="auto"/>
              </w:rPr>
              <w:t>Application of Money Collected</w:t>
            </w:r>
          </w:p>
        </w:tc>
        <w:tc>
          <w:tcPr>
            <w:tcW w:w="1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5.07.</w:t>
            </w:r>
          </w:p>
        </w:tc>
        <w:tc>
          <w:tcPr>
            <w:tcW w:w="8180" w:type="dxa"/>
            <w:vAlign w:val="bottom"/>
          </w:tcPr>
          <w:p>
            <w:pPr>
              <w:ind w:left="180"/>
              <w:spacing w:after="0"/>
              <w:rPr>
                <w:sz w:val="20"/>
                <w:szCs w:val="20"/>
                <w:color w:val="auto"/>
              </w:rPr>
            </w:pPr>
            <w:r>
              <w:rPr>
                <w:rFonts w:ascii="Arial" w:cs="Arial" w:eastAsia="Arial" w:hAnsi="Arial"/>
                <w:sz w:val="18"/>
                <w:szCs w:val="18"/>
                <w:color w:val="auto"/>
              </w:rPr>
              <w:t>Limitation on Suits</w:t>
            </w:r>
          </w:p>
        </w:tc>
        <w:tc>
          <w:tcPr>
            <w:tcW w:w="1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5.08.</w:t>
            </w:r>
          </w:p>
        </w:tc>
        <w:tc>
          <w:tcPr>
            <w:tcW w:w="8180" w:type="dxa"/>
            <w:vAlign w:val="bottom"/>
          </w:tcPr>
          <w:p>
            <w:pPr>
              <w:ind w:left="180"/>
              <w:spacing w:after="0"/>
              <w:rPr>
                <w:sz w:val="20"/>
                <w:szCs w:val="20"/>
                <w:color w:val="auto"/>
              </w:rPr>
            </w:pPr>
            <w:r>
              <w:rPr>
                <w:rFonts w:ascii="Arial" w:cs="Arial" w:eastAsia="Arial" w:hAnsi="Arial"/>
                <w:sz w:val="18"/>
                <w:szCs w:val="18"/>
                <w:color w:val="auto"/>
              </w:rPr>
              <w:t>Unconditional Right of Holders to Receive Principal, Premium and Interest and to Convert</w:t>
            </w:r>
          </w:p>
        </w:tc>
        <w:tc>
          <w:tcPr>
            <w:tcW w:w="1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5.09.</w:t>
            </w:r>
          </w:p>
        </w:tc>
        <w:tc>
          <w:tcPr>
            <w:tcW w:w="8180" w:type="dxa"/>
            <w:vAlign w:val="bottom"/>
          </w:tcPr>
          <w:p>
            <w:pPr>
              <w:ind w:left="180"/>
              <w:spacing w:after="0"/>
              <w:rPr>
                <w:sz w:val="20"/>
                <w:szCs w:val="20"/>
                <w:color w:val="auto"/>
              </w:rPr>
            </w:pPr>
            <w:r>
              <w:rPr>
                <w:rFonts w:ascii="Arial" w:cs="Arial" w:eastAsia="Arial" w:hAnsi="Arial"/>
                <w:sz w:val="18"/>
                <w:szCs w:val="18"/>
                <w:color w:val="auto"/>
              </w:rPr>
              <w:t>Restoration of Rights and Remedies</w:t>
            </w:r>
          </w:p>
        </w:tc>
        <w:tc>
          <w:tcPr>
            <w:tcW w:w="1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8180" w:type="dxa"/>
            <w:vAlign w:val="bottom"/>
          </w:tcPr>
          <w:p>
            <w:pPr>
              <w:ind w:left="180"/>
              <w:spacing w:after="0"/>
              <w:rPr>
                <w:sz w:val="20"/>
                <w:szCs w:val="20"/>
                <w:color w:val="auto"/>
              </w:rPr>
            </w:pPr>
            <w:r>
              <w:rPr>
                <w:rFonts w:ascii="Arial" w:cs="Arial" w:eastAsia="Arial" w:hAnsi="Arial"/>
                <w:sz w:val="18"/>
                <w:szCs w:val="18"/>
                <w:color w:val="auto"/>
              </w:rPr>
              <w:t>Rights and Remedies Cumulative</w:t>
            </w:r>
          </w:p>
        </w:tc>
        <w:tc>
          <w:tcPr>
            <w:tcW w:w="1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8180" w:type="dxa"/>
            <w:vAlign w:val="bottom"/>
          </w:tcPr>
          <w:p>
            <w:pPr>
              <w:ind w:left="180"/>
              <w:spacing w:after="0"/>
              <w:rPr>
                <w:sz w:val="20"/>
                <w:szCs w:val="20"/>
                <w:color w:val="auto"/>
              </w:rPr>
            </w:pPr>
            <w:r>
              <w:rPr>
                <w:rFonts w:ascii="Arial" w:cs="Arial" w:eastAsia="Arial" w:hAnsi="Arial"/>
                <w:sz w:val="18"/>
                <w:szCs w:val="18"/>
                <w:color w:val="auto"/>
              </w:rPr>
              <w:t>Delay or Omission Not Waiver</w:t>
            </w:r>
          </w:p>
        </w:tc>
        <w:tc>
          <w:tcPr>
            <w:tcW w:w="1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8180" w:type="dxa"/>
            <w:vAlign w:val="bottom"/>
          </w:tcPr>
          <w:p>
            <w:pPr>
              <w:ind w:left="180"/>
              <w:spacing w:after="0"/>
              <w:rPr>
                <w:sz w:val="20"/>
                <w:szCs w:val="20"/>
                <w:color w:val="auto"/>
              </w:rPr>
            </w:pPr>
            <w:r>
              <w:rPr>
                <w:rFonts w:ascii="Arial" w:cs="Arial" w:eastAsia="Arial" w:hAnsi="Arial"/>
                <w:sz w:val="18"/>
                <w:szCs w:val="18"/>
                <w:color w:val="auto"/>
              </w:rPr>
              <w:t>Control by Holders</w:t>
            </w:r>
          </w:p>
        </w:tc>
        <w:tc>
          <w:tcPr>
            <w:tcW w:w="1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8180" w:type="dxa"/>
            <w:vAlign w:val="bottom"/>
          </w:tcPr>
          <w:p>
            <w:pPr>
              <w:ind w:left="180"/>
              <w:spacing w:after="0"/>
              <w:rPr>
                <w:sz w:val="20"/>
                <w:szCs w:val="20"/>
                <w:color w:val="auto"/>
              </w:rPr>
            </w:pPr>
            <w:r>
              <w:rPr>
                <w:rFonts w:ascii="Arial" w:cs="Arial" w:eastAsia="Arial" w:hAnsi="Arial"/>
                <w:sz w:val="18"/>
                <w:szCs w:val="18"/>
                <w:color w:val="auto"/>
              </w:rPr>
              <w:t>Waiver of Past Defaults</w:t>
            </w:r>
          </w:p>
        </w:tc>
        <w:tc>
          <w:tcPr>
            <w:tcW w:w="1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8180" w:type="dxa"/>
            <w:vAlign w:val="bottom"/>
          </w:tcPr>
          <w:p>
            <w:pPr>
              <w:ind w:left="180"/>
              <w:spacing w:after="0"/>
              <w:rPr>
                <w:sz w:val="20"/>
                <w:szCs w:val="20"/>
                <w:color w:val="auto"/>
              </w:rPr>
            </w:pPr>
            <w:r>
              <w:rPr>
                <w:rFonts w:ascii="Arial" w:cs="Arial" w:eastAsia="Arial" w:hAnsi="Arial"/>
                <w:sz w:val="18"/>
                <w:szCs w:val="18"/>
                <w:color w:val="auto"/>
              </w:rPr>
              <w:t>Undertaking for Costs</w:t>
            </w:r>
          </w:p>
        </w:tc>
        <w:tc>
          <w:tcPr>
            <w:tcW w:w="1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5.15.</w:t>
            </w:r>
          </w:p>
        </w:tc>
        <w:tc>
          <w:tcPr>
            <w:tcW w:w="8180" w:type="dxa"/>
            <w:vAlign w:val="bottom"/>
          </w:tcPr>
          <w:p>
            <w:pPr>
              <w:ind w:left="180"/>
              <w:spacing w:after="0"/>
              <w:rPr>
                <w:sz w:val="20"/>
                <w:szCs w:val="20"/>
                <w:color w:val="auto"/>
              </w:rPr>
            </w:pPr>
            <w:r>
              <w:rPr>
                <w:rFonts w:ascii="Arial" w:cs="Arial" w:eastAsia="Arial" w:hAnsi="Arial"/>
                <w:sz w:val="18"/>
                <w:szCs w:val="18"/>
                <w:color w:val="auto"/>
              </w:rPr>
              <w:t>Waiver of Usury, Stay or Extension Laws</w:t>
            </w:r>
          </w:p>
        </w:tc>
        <w:tc>
          <w:tcPr>
            <w:tcW w:w="1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680" w:type="dxa"/>
            <w:vAlign w:val="bottom"/>
            <w:gridSpan w:val="2"/>
          </w:tcPr>
          <w:p>
            <w:pPr>
              <w:spacing w:after="0"/>
              <w:rPr>
                <w:sz w:val="20"/>
                <w:szCs w:val="20"/>
                <w:color w:val="auto"/>
              </w:rPr>
            </w:pPr>
            <w:r>
              <w:rPr>
                <w:rFonts w:ascii="Arial" w:cs="Arial" w:eastAsia="Arial" w:hAnsi="Arial"/>
                <w:sz w:val="18"/>
                <w:szCs w:val="18"/>
                <w:color w:val="auto"/>
              </w:rPr>
              <w:t>ARTICLE VI THE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8180" w:type="dxa"/>
            <w:vAlign w:val="bottom"/>
          </w:tcPr>
          <w:p>
            <w:pPr>
              <w:ind w:left="180"/>
              <w:spacing w:after="0"/>
              <w:rPr>
                <w:sz w:val="20"/>
                <w:szCs w:val="20"/>
                <w:color w:val="auto"/>
              </w:rPr>
            </w:pPr>
            <w:r>
              <w:rPr>
                <w:rFonts w:ascii="Arial" w:cs="Arial" w:eastAsia="Arial" w:hAnsi="Arial"/>
                <w:sz w:val="18"/>
                <w:szCs w:val="18"/>
                <w:color w:val="auto"/>
              </w:rPr>
              <w:t>Certain Duties and Responsibilities</w:t>
            </w:r>
          </w:p>
        </w:tc>
        <w:tc>
          <w:tcPr>
            <w:tcW w:w="1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8180" w:type="dxa"/>
            <w:vAlign w:val="bottom"/>
          </w:tcPr>
          <w:p>
            <w:pPr>
              <w:ind w:left="180"/>
              <w:spacing w:after="0"/>
              <w:rPr>
                <w:sz w:val="20"/>
                <w:szCs w:val="20"/>
                <w:color w:val="auto"/>
              </w:rPr>
            </w:pPr>
            <w:r>
              <w:rPr>
                <w:rFonts w:ascii="Arial" w:cs="Arial" w:eastAsia="Arial" w:hAnsi="Arial"/>
                <w:sz w:val="18"/>
                <w:szCs w:val="18"/>
                <w:color w:val="auto"/>
              </w:rPr>
              <w:t>Notice of Defaults</w:t>
            </w:r>
          </w:p>
        </w:tc>
        <w:tc>
          <w:tcPr>
            <w:tcW w:w="1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8180" w:type="dxa"/>
            <w:vAlign w:val="bottom"/>
          </w:tcPr>
          <w:p>
            <w:pPr>
              <w:ind w:left="180"/>
              <w:spacing w:after="0"/>
              <w:rPr>
                <w:sz w:val="20"/>
                <w:szCs w:val="20"/>
                <w:color w:val="auto"/>
              </w:rPr>
            </w:pPr>
            <w:r>
              <w:rPr>
                <w:rFonts w:ascii="Arial" w:cs="Arial" w:eastAsia="Arial" w:hAnsi="Arial"/>
                <w:sz w:val="18"/>
                <w:szCs w:val="18"/>
                <w:color w:val="auto"/>
              </w:rPr>
              <w:t>Certain Rights of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8180" w:type="dxa"/>
            <w:vAlign w:val="bottom"/>
          </w:tcPr>
          <w:p>
            <w:pPr>
              <w:ind w:left="180"/>
              <w:spacing w:after="0"/>
              <w:rPr>
                <w:sz w:val="20"/>
                <w:szCs w:val="20"/>
                <w:color w:val="auto"/>
              </w:rPr>
            </w:pPr>
            <w:r>
              <w:rPr>
                <w:rFonts w:ascii="Arial" w:cs="Arial" w:eastAsia="Arial" w:hAnsi="Arial"/>
                <w:sz w:val="18"/>
                <w:szCs w:val="18"/>
                <w:color w:val="auto"/>
              </w:rPr>
              <w:t>Not Responsible for Recitals or Issuance of Securities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8180" w:type="dxa"/>
            <w:vAlign w:val="bottom"/>
          </w:tcPr>
          <w:p>
            <w:pPr>
              <w:ind w:left="180"/>
              <w:spacing w:after="0"/>
              <w:rPr>
                <w:sz w:val="20"/>
                <w:szCs w:val="20"/>
                <w:color w:val="auto"/>
              </w:rPr>
            </w:pPr>
            <w:r>
              <w:rPr>
                <w:rFonts w:ascii="Arial" w:cs="Arial" w:eastAsia="Arial" w:hAnsi="Arial"/>
                <w:sz w:val="18"/>
                <w:szCs w:val="18"/>
                <w:color w:val="auto"/>
              </w:rPr>
              <w:t>May Hold Securities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8180" w:type="dxa"/>
            <w:vAlign w:val="bottom"/>
          </w:tcPr>
          <w:p>
            <w:pPr>
              <w:ind w:left="180"/>
              <w:spacing w:after="0"/>
              <w:rPr>
                <w:sz w:val="20"/>
                <w:szCs w:val="20"/>
                <w:color w:val="auto"/>
              </w:rPr>
            </w:pPr>
            <w:r>
              <w:rPr>
                <w:rFonts w:ascii="Arial" w:cs="Arial" w:eastAsia="Arial" w:hAnsi="Arial"/>
                <w:sz w:val="18"/>
                <w:szCs w:val="18"/>
                <w:color w:val="auto"/>
              </w:rPr>
              <w:t>Money Held in Trust</w:t>
            </w:r>
          </w:p>
        </w:tc>
        <w:tc>
          <w:tcPr>
            <w:tcW w:w="1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8180" w:type="dxa"/>
            <w:vAlign w:val="bottom"/>
          </w:tcPr>
          <w:p>
            <w:pPr>
              <w:ind w:left="180"/>
              <w:spacing w:after="0"/>
              <w:rPr>
                <w:sz w:val="20"/>
                <w:szCs w:val="20"/>
                <w:color w:val="auto"/>
              </w:rPr>
            </w:pPr>
            <w:r>
              <w:rPr>
                <w:rFonts w:ascii="Arial" w:cs="Arial" w:eastAsia="Arial" w:hAnsi="Arial"/>
                <w:sz w:val="18"/>
                <w:szCs w:val="18"/>
                <w:color w:val="auto"/>
              </w:rPr>
              <w:t>Compensation and Reimbursement</w:t>
            </w:r>
          </w:p>
        </w:tc>
        <w:tc>
          <w:tcPr>
            <w:tcW w:w="1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6.08.</w:t>
            </w:r>
          </w:p>
        </w:tc>
        <w:tc>
          <w:tcPr>
            <w:tcW w:w="8180" w:type="dxa"/>
            <w:vAlign w:val="bottom"/>
          </w:tcPr>
          <w:p>
            <w:pPr>
              <w:ind w:left="180"/>
              <w:spacing w:after="0"/>
              <w:rPr>
                <w:sz w:val="20"/>
                <w:szCs w:val="20"/>
                <w:color w:val="auto"/>
              </w:rPr>
            </w:pPr>
            <w:r>
              <w:rPr>
                <w:rFonts w:ascii="Arial" w:cs="Arial" w:eastAsia="Arial" w:hAnsi="Arial"/>
                <w:sz w:val="18"/>
                <w:szCs w:val="18"/>
                <w:color w:val="auto"/>
              </w:rPr>
              <w:t>Conflicting Interests</w:t>
            </w:r>
          </w:p>
        </w:tc>
        <w:tc>
          <w:tcPr>
            <w:tcW w:w="1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6.09.</w:t>
            </w:r>
          </w:p>
        </w:tc>
        <w:tc>
          <w:tcPr>
            <w:tcW w:w="8180" w:type="dxa"/>
            <w:vAlign w:val="bottom"/>
          </w:tcPr>
          <w:p>
            <w:pPr>
              <w:ind w:left="180"/>
              <w:spacing w:after="0"/>
              <w:rPr>
                <w:sz w:val="20"/>
                <w:szCs w:val="20"/>
                <w:color w:val="auto"/>
              </w:rPr>
            </w:pPr>
            <w:r>
              <w:rPr>
                <w:rFonts w:ascii="Arial" w:cs="Arial" w:eastAsia="Arial" w:hAnsi="Arial"/>
                <w:sz w:val="18"/>
                <w:szCs w:val="18"/>
                <w:color w:val="auto"/>
              </w:rPr>
              <w:t>Corporate Trustee Required; Eligibility</w:t>
            </w:r>
          </w:p>
        </w:tc>
        <w:tc>
          <w:tcPr>
            <w:tcW w:w="1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8180" w:type="dxa"/>
            <w:vAlign w:val="bottom"/>
          </w:tcPr>
          <w:p>
            <w:pPr>
              <w:ind w:left="180"/>
              <w:spacing w:after="0"/>
              <w:rPr>
                <w:sz w:val="20"/>
                <w:szCs w:val="20"/>
                <w:color w:val="auto"/>
              </w:rPr>
            </w:pPr>
            <w:r>
              <w:rPr>
                <w:rFonts w:ascii="Arial" w:cs="Arial" w:eastAsia="Arial" w:hAnsi="Arial"/>
                <w:sz w:val="18"/>
                <w:szCs w:val="18"/>
                <w:color w:val="auto"/>
              </w:rPr>
              <w:t>Resignation and Removal; Appointment of Successor</w:t>
            </w:r>
          </w:p>
        </w:tc>
        <w:tc>
          <w:tcPr>
            <w:tcW w:w="1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8180" w:type="dxa"/>
            <w:vAlign w:val="bottom"/>
          </w:tcPr>
          <w:p>
            <w:pPr>
              <w:ind w:left="180"/>
              <w:spacing w:after="0"/>
              <w:rPr>
                <w:sz w:val="20"/>
                <w:szCs w:val="20"/>
                <w:color w:val="auto"/>
              </w:rPr>
            </w:pPr>
            <w:r>
              <w:rPr>
                <w:rFonts w:ascii="Arial" w:cs="Arial" w:eastAsia="Arial" w:hAnsi="Arial"/>
                <w:sz w:val="18"/>
                <w:szCs w:val="18"/>
                <w:color w:val="auto"/>
              </w:rPr>
              <w:t>Acceptance of Appointment by Successor</w:t>
            </w:r>
          </w:p>
        </w:tc>
        <w:tc>
          <w:tcPr>
            <w:tcW w:w="16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8180" w:type="dxa"/>
            <w:vAlign w:val="bottom"/>
          </w:tcPr>
          <w:p>
            <w:pPr>
              <w:ind w:left="180"/>
              <w:spacing w:after="0"/>
              <w:rPr>
                <w:sz w:val="20"/>
                <w:szCs w:val="20"/>
                <w:color w:val="auto"/>
              </w:rPr>
            </w:pPr>
            <w:r>
              <w:rPr>
                <w:rFonts w:ascii="Arial" w:cs="Arial" w:eastAsia="Arial" w:hAnsi="Arial"/>
                <w:sz w:val="18"/>
                <w:szCs w:val="18"/>
                <w:color w:val="auto"/>
              </w:rPr>
              <w:t>Merger, Conversion, Consolidation or Succession to Business</w:t>
            </w:r>
          </w:p>
        </w:tc>
        <w:tc>
          <w:tcPr>
            <w:tcW w:w="16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6.13.</w:t>
            </w:r>
          </w:p>
        </w:tc>
        <w:tc>
          <w:tcPr>
            <w:tcW w:w="8180" w:type="dxa"/>
            <w:vAlign w:val="bottom"/>
          </w:tcPr>
          <w:p>
            <w:pPr>
              <w:ind w:left="180"/>
              <w:spacing w:after="0"/>
              <w:rPr>
                <w:sz w:val="20"/>
                <w:szCs w:val="20"/>
                <w:color w:val="auto"/>
              </w:rPr>
            </w:pPr>
            <w:r>
              <w:rPr>
                <w:rFonts w:ascii="Arial" w:cs="Arial" w:eastAsia="Arial" w:hAnsi="Arial"/>
                <w:sz w:val="18"/>
                <w:szCs w:val="18"/>
                <w:color w:val="auto"/>
              </w:rPr>
              <w:t>Preferential Collection of Claims Against Company</w:t>
            </w:r>
          </w:p>
        </w:tc>
        <w:tc>
          <w:tcPr>
            <w:tcW w:w="16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6.14.</w:t>
            </w:r>
          </w:p>
        </w:tc>
        <w:tc>
          <w:tcPr>
            <w:tcW w:w="8180" w:type="dxa"/>
            <w:vAlign w:val="bottom"/>
          </w:tcPr>
          <w:p>
            <w:pPr>
              <w:ind w:left="180"/>
              <w:spacing w:after="0"/>
              <w:rPr>
                <w:sz w:val="20"/>
                <w:szCs w:val="20"/>
                <w:color w:val="auto"/>
              </w:rPr>
            </w:pPr>
            <w:r>
              <w:rPr>
                <w:rFonts w:ascii="Arial" w:cs="Arial" w:eastAsia="Arial" w:hAnsi="Arial"/>
                <w:sz w:val="18"/>
                <w:szCs w:val="18"/>
                <w:color w:val="auto"/>
              </w:rPr>
              <w:t>Appointment of Authenticating Agent</w:t>
            </w:r>
          </w:p>
        </w:tc>
        <w:tc>
          <w:tcPr>
            <w:tcW w:w="16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9680" w:type="dxa"/>
            <w:vAlign w:val="bottom"/>
            <w:gridSpan w:val="2"/>
          </w:tcPr>
          <w:p>
            <w:pPr>
              <w:spacing w:after="0"/>
              <w:rPr>
                <w:sz w:val="20"/>
                <w:szCs w:val="20"/>
                <w:color w:val="auto"/>
              </w:rPr>
            </w:pPr>
            <w:r>
              <w:rPr>
                <w:rFonts w:ascii="Arial" w:cs="Arial" w:eastAsia="Arial" w:hAnsi="Arial"/>
                <w:sz w:val="18"/>
                <w:szCs w:val="18"/>
                <w:color w:val="auto"/>
              </w:rPr>
              <w:t>ARTICLE VII HOLDERS’ LISTS AND REPORTS BY TRUSTEE AND COMPANY</w:t>
            </w:r>
          </w:p>
        </w:tc>
        <w:tc>
          <w:tcPr>
            <w:tcW w:w="1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8180" w:type="dxa"/>
            <w:vAlign w:val="bottom"/>
          </w:tcPr>
          <w:p>
            <w:pPr>
              <w:ind w:left="180"/>
              <w:spacing w:after="0"/>
              <w:rPr>
                <w:sz w:val="20"/>
                <w:szCs w:val="20"/>
                <w:color w:val="auto"/>
              </w:rPr>
            </w:pPr>
            <w:r>
              <w:rPr>
                <w:rFonts w:ascii="Arial" w:cs="Arial" w:eastAsia="Arial" w:hAnsi="Arial"/>
                <w:sz w:val="18"/>
                <w:szCs w:val="18"/>
                <w:color w:val="auto"/>
              </w:rPr>
              <w:t>Company to Furnish Trustee Names and Addresses of Holders</w:t>
            </w:r>
          </w:p>
        </w:tc>
        <w:tc>
          <w:tcPr>
            <w:tcW w:w="1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8180" w:type="dxa"/>
            <w:vAlign w:val="bottom"/>
          </w:tcPr>
          <w:p>
            <w:pPr>
              <w:ind w:left="180"/>
              <w:spacing w:after="0"/>
              <w:rPr>
                <w:sz w:val="20"/>
                <w:szCs w:val="20"/>
                <w:color w:val="auto"/>
              </w:rPr>
            </w:pPr>
            <w:r>
              <w:rPr>
                <w:rFonts w:ascii="Arial" w:cs="Arial" w:eastAsia="Arial" w:hAnsi="Arial"/>
                <w:sz w:val="18"/>
                <w:szCs w:val="18"/>
                <w:color w:val="auto"/>
              </w:rPr>
              <w:t>Preservation of Information; Communications to Holders</w:t>
            </w:r>
          </w:p>
        </w:tc>
        <w:tc>
          <w:tcPr>
            <w:tcW w:w="1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8180" w:type="dxa"/>
            <w:vAlign w:val="bottom"/>
          </w:tcPr>
          <w:p>
            <w:pPr>
              <w:ind w:left="180"/>
              <w:spacing w:after="0"/>
              <w:rPr>
                <w:sz w:val="20"/>
                <w:szCs w:val="20"/>
                <w:color w:val="auto"/>
              </w:rPr>
            </w:pPr>
            <w:r>
              <w:rPr>
                <w:rFonts w:ascii="Arial" w:cs="Arial" w:eastAsia="Arial" w:hAnsi="Arial"/>
                <w:sz w:val="18"/>
                <w:szCs w:val="18"/>
                <w:color w:val="auto"/>
              </w:rPr>
              <w:t>Reports by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8180" w:type="dxa"/>
            <w:vAlign w:val="bottom"/>
          </w:tcPr>
          <w:p>
            <w:pPr>
              <w:ind w:left="180"/>
              <w:spacing w:after="0"/>
              <w:rPr>
                <w:sz w:val="20"/>
                <w:szCs w:val="20"/>
                <w:color w:val="auto"/>
              </w:rPr>
            </w:pPr>
            <w:r>
              <w:rPr>
                <w:rFonts w:ascii="Arial" w:cs="Arial" w:eastAsia="Arial" w:hAnsi="Arial"/>
                <w:sz w:val="18"/>
                <w:szCs w:val="18"/>
                <w:color w:val="auto"/>
              </w:rPr>
              <w:t>Reports by Company and Guarantors</w:t>
            </w:r>
          </w:p>
        </w:tc>
        <w:tc>
          <w:tcPr>
            <w:tcW w:w="164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4"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ARTICLE VIII CONSOLIDATION, MERGER, CONVEYANCE, TRANSFER OR LEASE</w:t>
            </w:r>
          </w:p>
        </w:tc>
        <w:tc>
          <w:tcPr>
            <w:tcW w:w="24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0"/>
        </w:trPr>
        <w:tc>
          <w:tcPr>
            <w:tcW w:w="154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360" w:type="dxa"/>
            <w:vAlign w:val="bottom"/>
          </w:tcPr>
          <w:p>
            <w:pPr>
              <w:ind w:left="160"/>
              <w:spacing w:after="0"/>
              <w:rPr>
                <w:sz w:val="20"/>
                <w:szCs w:val="20"/>
                <w:color w:val="auto"/>
              </w:rPr>
            </w:pPr>
            <w:r>
              <w:rPr>
                <w:rFonts w:ascii="Arial" w:cs="Arial" w:eastAsia="Arial" w:hAnsi="Arial"/>
                <w:sz w:val="18"/>
                <w:szCs w:val="18"/>
                <w:color w:val="auto"/>
              </w:rPr>
              <w:t>Company May Consolidate, Etc., Only on Certain Terms</w:t>
            </w:r>
          </w:p>
        </w:tc>
        <w:tc>
          <w:tcPr>
            <w:tcW w:w="24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360" w:type="dxa"/>
            <w:vAlign w:val="bottom"/>
          </w:tcPr>
          <w:p>
            <w:pPr>
              <w:ind w:left="160"/>
              <w:spacing w:after="0"/>
              <w:rPr>
                <w:sz w:val="20"/>
                <w:szCs w:val="20"/>
                <w:color w:val="auto"/>
              </w:rPr>
            </w:pPr>
            <w:r>
              <w:rPr>
                <w:rFonts w:ascii="Arial" w:cs="Arial" w:eastAsia="Arial" w:hAnsi="Arial"/>
                <w:sz w:val="18"/>
                <w:szCs w:val="18"/>
                <w:color w:val="auto"/>
              </w:rPr>
              <w:t>Successor Substituted</w:t>
            </w:r>
          </w:p>
        </w:tc>
        <w:tc>
          <w:tcPr>
            <w:tcW w:w="24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8900" w:type="dxa"/>
            <w:vAlign w:val="bottom"/>
            <w:gridSpan w:val="2"/>
          </w:tcPr>
          <w:p>
            <w:pPr>
              <w:spacing w:after="0"/>
              <w:rPr>
                <w:sz w:val="20"/>
                <w:szCs w:val="20"/>
                <w:color w:val="auto"/>
              </w:rPr>
            </w:pPr>
            <w:r>
              <w:rPr>
                <w:rFonts w:ascii="Arial" w:cs="Arial" w:eastAsia="Arial" w:hAnsi="Arial"/>
                <w:sz w:val="18"/>
                <w:szCs w:val="18"/>
                <w:color w:val="auto"/>
              </w:rPr>
              <w:t>ARTICLE IX SUPPLEMENTAL INDENTURES</w:t>
            </w:r>
          </w:p>
        </w:tc>
        <w:tc>
          <w:tcPr>
            <w:tcW w:w="24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0"/>
        </w:trPr>
        <w:tc>
          <w:tcPr>
            <w:tcW w:w="154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7360" w:type="dxa"/>
            <w:vAlign w:val="bottom"/>
          </w:tcPr>
          <w:p>
            <w:pPr>
              <w:ind w:left="160"/>
              <w:spacing w:after="0"/>
              <w:rPr>
                <w:sz w:val="20"/>
                <w:szCs w:val="20"/>
                <w:color w:val="auto"/>
              </w:rPr>
            </w:pPr>
            <w:r>
              <w:rPr>
                <w:rFonts w:ascii="Arial" w:cs="Arial" w:eastAsia="Arial" w:hAnsi="Arial"/>
                <w:sz w:val="18"/>
                <w:szCs w:val="18"/>
                <w:color w:val="auto"/>
              </w:rPr>
              <w:t>Supplemental Indentures Without Consent of Holders</w:t>
            </w:r>
          </w:p>
        </w:tc>
        <w:tc>
          <w:tcPr>
            <w:tcW w:w="24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7360" w:type="dxa"/>
            <w:vAlign w:val="bottom"/>
          </w:tcPr>
          <w:p>
            <w:pPr>
              <w:ind w:left="160"/>
              <w:spacing w:after="0"/>
              <w:rPr>
                <w:sz w:val="20"/>
                <w:szCs w:val="20"/>
                <w:color w:val="auto"/>
              </w:rPr>
            </w:pPr>
            <w:r>
              <w:rPr>
                <w:rFonts w:ascii="Arial" w:cs="Arial" w:eastAsia="Arial" w:hAnsi="Arial"/>
                <w:sz w:val="18"/>
                <w:szCs w:val="18"/>
                <w:color w:val="auto"/>
              </w:rPr>
              <w:t>Supplemental Indentures With Consent of Holders</w:t>
            </w:r>
          </w:p>
        </w:tc>
        <w:tc>
          <w:tcPr>
            <w:tcW w:w="24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7360" w:type="dxa"/>
            <w:vAlign w:val="bottom"/>
          </w:tcPr>
          <w:p>
            <w:pPr>
              <w:ind w:left="160"/>
              <w:spacing w:after="0"/>
              <w:rPr>
                <w:sz w:val="20"/>
                <w:szCs w:val="20"/>
                <w:color w:val="auto"/>
              </w:rPr>
            </w:pPr>
            <w:r>
              <w:rPr>
                <w:rFonts w:ascii="Arial" w:cs="Arial" w:eastAsia="Arial" w:hAnsi="Arial"/>
                <w:sz w:val="18"/>
                <w:szCs w:val="18"/>
                <w:color w:val="auto"/>
              </w:rPr>
              <w:t>Execution of Supplemental Indentures</w:t>
            </w:r>
          </w:p>
        </w:tc>
        <w:tc>
          <w:tcPr>
            <w:tcW w:w="2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7360" w:type="dxa"/>
            <w:vAlign w:val="bottom"/>
          </w:tcPr>
          <w:p>
            <w:pPr>
              <w:ind w:left="160"/>
              <w:spacing w:after="0"/>
              <w:rPr>
                <w:sz w:val="20"/>
                <w:szCs w:val="20"/>
                <w:color w:val="auto"/>
              </w:rPr>
            </w:pPr>
            <w:r>
              <w:rPr>
                <w:rFonts w:ascii="Arial" w:cs="Arial" w:eastAsia="Arial" w:hAnsi="Arial"/>
                <w:sz w:val="18"/>
                <w:szCs w:val="18"/>
                <w:color w:val="auto"/>
              </w:rPr>
              <w:t>Effect of Supplemental Indentures</w:t>
            </w:r>
          </w:p>
        </w:tc>
        <w:tc>
          <w:tcPr>
            <w:tcW w:w="2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7360" w:type="dxa"/>
            <w:vAlign w:val="bottom"/>
          </w:tcPr>
          <w:p>
            <w:pPr>
              <w:ind w:left="160"/>
              <w:spacing w:after="0"/>
              <w:rPr>
                <w:sz w:val="20"/>
                <w:szCs w:val="20"/>
                <w:color w:val="auto"/>
              </w:rPr>
            </w:pPr>
            <w:r>
              <w:rPr>
                <w:rFonts w:ascii="Arial" w:cs="Arial" w:eastAsia="Arial" w:hAnsi="Arial"/>
                <w:sz w:val="18"/>
                <w:szCs w:val="18"/>
                <w:color w:val="auto"/>
              </w:rPr>
              <w:t>Conformity with Trust Indenture Act</w:t>
            </w:r>
          </w:p>
        </w:tc>
        <w:tc>
          <w:tcPr>
            <w:tcW w:w="2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9.06.</w:t>
            </w:r>
          </w:p>
        </w:tc>
        <w:tc>
          <w:tcPr>
            <w:tcW w:w="7360" w:type="dxa"/>
            <w:vAlign w:val="bottom"/>
          </w:tcPr>
          <w:p>
            <w:pPr>
              <w:ind w:left="160"/>
              <w:spacing w:after="0"/>
              <w:rPr>
                <w:sz w:val="20"/>
                <w:szCs w:val="20"/>
                <w:color w:val="auto"/>
              </w:rPr>
            </w:pPr>
            <w:r>
              <w:rPr>
                <w:rFonts w:ascii="Arial" w:cs="Arial" w:eastAsia="Arial" w:hAnsi="Arial"/>
                <w:sz w:val="18"/>
                <w:szCs w:val="18"/>
                <w:color w:val="auto"/>
              </w:rPr>
              <w:t>Reference in Securities to Supplemental Indentures</w:t>
            </w:r>
          </w:p>
        </w:tc>
        <w:tc>
          <w:tcPr>
            <w:tcW w:w="2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8900" w:type="dxa"/>
            <w:vAlign w:val="bottom"/>
            <w:gridSpan w:val="2"/>
          </w:tcPr>
          <w:p>
            <w:pPr>
              <w:spacing w:after="0"/>
              <w:rPr>
                <w:sz w:val="20"/>
                <w:szCs w:val="20"/>
                <w:color w:val="auto"/>
              </w:rPr>
            </w:pPr>
            <w:r>
              <w:rPr>
                <w:rFonts w:ascii="Arial" w:cs="Arial" w:eastAsia="Arial" w:hAnsi="Arial"/>
                <w:sz w:val="18"/>
                <w:szCs w:val="18"/>
                <w:color w:val="auto"/>
              </w:rPr>
              <w:t>ARTICLE X COVENANTS</w:t>
            </w:r>
          </w:p>
        </w:tc>
        <w:tc>
          <w:tcPr>
            <w:tcW w:w="2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0"/>
        </w:trPr>
        <w:tc>
          <w:tcPr>
            <w:tcW w:w="154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7360" w:type="dxa"/>
            <w:vAlign w:val="bottom"/>
          </w:tcPr>
          <w:p>
            <w:pPr>
              <w:ind w:left="160"/>
              <w:spacing w:after="0"/>
              <w:rPr>
                <w:sz w:val="20"/>
                <w:szCs w:val="20"/>
                <w:color w:val="auto"/>
              </w:rPr>
            </w:pPr>
            <w:r>
              <w:rPr>
                <w:rFonts w:ascii="Arial" w:cs="Arial" w:eastAsia="Arial" w:hAnsi="Arial"/>
                <w:sz w:val="18"/>
                <w:szCs w:val="18"/>
                <w:color w:val="auto"/>
              </w:rPr>
              <w:t>Payment of Principal, Premium and Interest</w:t>
            </w:r>
          </w:p>
        </w:tc>
        <w:tc>
          <w:tcPr>
            <w:tcW w:w="2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7360" w:type="dxa"/>
            <w:vAlign w:val="bottom"/>
          </w:tcPr>
          <w:p>
            <w:pPr>
              <w:ind w:left="160"/>
              <w:spacing w:after="0"/>
              <w:rPr>
                <w:sz w:val="20"/>
                <w:szCs w:val="20"/>
                <w:color w:val="auto"/>
              </w:rPr>
            </w:pPr>
            <w:r>
              <w:rPr>
                <w:rFonts w:ascii="Arial" w:cs="Arial" w:eastAsia="Arial" w:hAnsi="Arial"/>
                <w:sz w:val="18"/>
                <w:szCs w:val="18"/>
                <w:color w:val="auto"/>
              </w:rPr>
              <w:t>Maintenance of Office or Agency</w:t>
            </w:r>
          </w:p>
        </w:tc>
        <w:tc>
          <w:tcPr>
            <w:tcW w:w="2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10.03.</w:t>
            </w:r>
          </w:p>
        </w:tc>
        <w:tc>
          <w:tcPr>
            <w:tcW w:w="7360" w:type="dxa"/>
            <w:vAlign w:val="bottom"/>
          </w:tcPr>
          <w:p>
            <w:pPr>
              <w:ind w:left="160"/>
              <w:spacing w:after="0"/>
              <w:rPr>
                <w:sz w:val="20"/>
                <w:szCs w:val="20"/>
                <w:color w:val="auto"/>
              </w:rPr>
            </w:pPr>
            <w:r>
              <w:rPr>
                <w:rFonts w:ascii="Arial" w:cs="Arial" w:eastAsia="Arial" w:hAnsi="Arial"/>
                <w:sz w:val="18"/>
                <w:szCs w:val="18"/>
                <w:color w:val="auto"/>
              </w:rPr>
              <w:t>Money for Securities Payments to Be Held in Trust</w:t>
            </w:r>
          </w:p>
        </w:tc>
        <w:tc>
          <w:tcPr>
            <w:tcW w:w="24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10.04.</w:t>
            </w:r>
          </w:p>
        </w:tc>
        <w:tc>
          <w:tcPr>
            <w:tcW w:w="7360" w:type="dxa"/>
            <w:vAlign w:val="bottom"/>
          </w:tcPr>
          <w:p>
            <w:pPr>
              <w:ind w:left="160"/>
              <w:spacing w:after="0"/>
              <w:rPr>
                <w:sz w:val="20"/>
                <w:szCs w:val="20"/>
                <w:color w:val="auto"/>
              </w:rPr>
            </w:pPr>
            <w:r>
              <w:rPr>
                <w:rFonts w:ascii="Arial" w:cs="Arial" w:eastAsia="Arial" w:hAnsi="Arial"/>
                <w:sz w:val="18"/>
                <w:szCs w:val="18"/>
                <w:color w:val="auto"/>
              </w:rPr>
              <w:t>Statement by Officers as to Default</w:t>
            </w:r>
          </w:p>
        </w:tc>
        <w:tc>
          <w:tcPr>
            <w:tcW w:w="2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10.05.</w:t>
            </w:r>
          </w:p>
        </w:tc>
        <w:tc>
          <w:tcPr>
            <w:tcW w:w="7360" w:type="dxa"/>
            <w:vAlign w:val="bottom"/>
          </w:tcPr>
          <w:p>
            <w:pPr>
              <w:ind w:left="160"/>
              <w:spacing w:after="0"/>
              <w:rPr>
                <w:sz w:val="20"/>
                <w:szCs w:val="20"/>
                <w:color w:val="auto"/>
              </w:rPr>
            </w:pPr>
            <w:r>
              <w:rPr>
                <w:rFonts w:ascii="Arial" w:cs="Arial" w:eastAsia="Arial" w:hAnsi="Arial"/>
                <w:sz w:val="18"/>
                <w:szCs w:val="18"/>
                <w:color w:val="auto"/>
              </w:rPr>
              <w:t>Waiver of Certain Covenants</w:t>
            </w:r>
          </w:p>
        </w:tc>
        <w:tc>
          <w:tcPr>
            <w:tcW w:w="24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8900" w:type="dxa"/>
            <w:vAlign w:val="bottom"/>
            <w:gridSpan w:val="2"/>
          </w:tcPr>
          <w:p>
            <w:pPr>
              <w:spacing w:after="0"/>
              <w:rPr>
                <w:sz w:val="20"/>
                <w:szCs w:val="20"/>
                <w:color w:val="auto"/>
              </w:rPr>
            </w:pPr>
            <w:r>
              <w:rPr>
                <w:rFonts w:ascii="Arial" w:cs="Arial" w:eastAsia="Arial" w:hAnsi="Arial"/>
                <w:sz w:val="18"/>
                <w:szCs w:val="18"/>
                <w:color w:val="auto"/>
              </w:rPr>
              <w:t>ARTICLE XI REDEMPTION OF SECURITIES</w:t>
            </w:r>
          </w:p>
        </w:tc>
        <w:tc>
          <w:tcPr>
            <w:tcW w:w="24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10"/>
        </w:trPr>
        <w:tc>
          <w:tcPr>
            <w:tcW w:w="1540" w:type="dxa"/>
            <w:vAlign w:val="bottom"/>
          </w:tcPr>
          <w:p>
            <w:pPr>
              <w:ind w:left="360"/>
              <w:spacing w:after="0"/>
              <w:rPr>
                <w:sz w:val="20"/>
                <w:szCs w:val="20"/>
                <w:color w:val="auto"/>
              </w:rPr>
            </w:pPr>
            <w:r>
              <w:rPr>
                <w:rFonts w:ascii="Arial" w:cs="Arial" w:eastAsia="Arial" w:hAnsi="Arial"/>
                <w:sz w:val="18"/>
                <w:szCs w:val="18"/>
                <w:color w:val="auto"/>
              </w:rPr>
              <w:t>Section 11.01.</w:t>
            </w:r>
          </w:p>
        </w:tc>
        <w:tc>
          <w:tcPr>
            <w:tcW w:w="7360" w:type="dxa"/>
            <w:vAlign w:val="bottom"/>
          </w:tcPr>
          <w:p>
            <w:pPr>
              <w:ind w:left="160"/>
              <w:spacing w:after="0"/>
              <w:rPr>
                <w:sz w:val="20"/>
                <w:szCs w:val="20"/>
                <w:color w:val="auto"/>
              </w:rPr>
            </w:pPr>
            <w:r>
              <w:rPr>
                <w:rFonts w:ascii="Arial" w:cs="Arial" w:eastAsia="Arial" w:hAnsi="Arial"/>
                <w:sz w:val="18"/>
                <w:szCs w:val="18"/>
                <w:color w:val="auto"/>
              </w:rPr>
              <w:t>Applicability of Article</w:t>
            </w:r>
          </w:p>
        </w:tc>
        <w:tc>
          <w:tcPr>
            <w:tcW w:w="24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11.02.</w:t>
            </w:r>
          </w:p>
        </w:tc>
        <w:tc>
          <w:tcPr>
            <w:tcW w:w="7360" w:type="dxa"/>
            <w:vAlign w:val="bottom"/>
          </w:tcPr>
          <w:p>
            <w:pPr>
              <w:ind w:left="160"/>
              <w:spacing w:after="0"/>
              <w:rPr>
                <w:sz w:val="20"/>
                <w:szCs w:val="20"/>
                <w:color w:val="auto"/>
              </w:rPr>
            </w:pPr>
            <w:r>
              <w:rPr>
                <w:rFonts w:ascii="Arial" w:cs="Arial" w:eastAsia="Arial" w:hAnsi="Arial"/>
                <w:sz w:val="18"/>
                <w:szCs w:val="18"/>
                <w:color w:val="auto"/>
              </w:rPr>
              <w:t>Election to Redeem; Notice to Trustee</w:t>
            </w:r>
          </w:p>
        </w:tc>
        <w:tc>
          <w:tcPr>
            <w:tcW w:w="24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11.03.</w:t>
            </w:r>
          </w:p>
        </w:tc>
        <w:tc>
          <w:tcPr>
            <w:tcW w:w="7360" w:type="dxa"/>
            <w:vAlign w:val="bottom"/>
          </w:tcPr>
          <w:p>
            <w:pPr>
              <w:ind w:left="160"/>
              <w:spacing w:after="0"/>
              <w:rPr>
                <w:sz w:val="20"/>
                <w:szCs w:val="20"/>
                <w:color w:val="auto"/>
              </w:rPr>
            </w:pPr>
            <w:r>
              <w:rPr>
                <w:rFonts w:ascii="Arial" w:cs="Arial" w:eastAsia="Arial" w:hAnsi="Arial"/>
                <w:sz w:val="18"/>
                <w:szCs w:val="18"/>
                <w:color w:val="auto"/>
              </w:rPr>
              <w:t>Selection by Trustee of Securities to Be Redeemed</w:t>
            </w:r>
          </w:p>
        </w:tc>
        <w:tc>
          <w:tcPr>
            <w:tcW w:w="24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11.04.</w:t>
            </w:r>
          </w:p>
        </w:tc>
        <w:tc>
          <w:tcPr>
            <w:tcW w:w="7360" w:type="dxa"/>
            <w:vAlign w:val="bottom"/>
          </w:tcPr>
          <w:p>
            <w:pPr>
              <w:ind w:left="160"/>
              <w:spacing w:after="0"/>
              <w:rPr>
                <w:sz w:val="20"/>
                <w:szCs w:val="20"/>
                <w:color w:val="auto"/>
              </w:rPr>
            </w:pPr>
            <w:r>
              <w:rPr>
                <w:rFonts w:ascii="Arial" w:cs="Arial" w:eastAsia="Arial" w:hAnsi="Arial"/>
                <w:sz w:val="18"/>
                <w:szCs w:val="18"/>
                <w:color w:val="auto"/>
              </w:rPr>
              <w:t>Notice of Redemption</w:t>
            </w:r>
          </w:p>
        </w:tc>
        <w:tc>
          <w:tcPr>
            <w:tcW w:w="24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11.05.</w:t>
            </w:r>
          </w:p>
        </w:tc>
        <w:tc>
          <w:tcPr>
            <w:tcW w:w="7360" w:type="dxa"/>
            <w:vAlign w:val="bottom"/>
          </w:tcPr>
          <w:p>
            <w:pPr>
              <w:ind w:left="160"/>
              <w:spacing w:after="0"/>
              <w:rPr>
                <w:sz w:val="20"/>
                <w:szCs w:val="20"/>
                <w:color w:val="auto"/>
              </w:rPr>
            </w:pPr>
            <w:r>
              <w:rPr>
                <w:rFonts w:ascii="Arial" w:cs="Arial" w:eastAsia="Arial" w:hAnsi="Arial"/>
                <w:sz w:val="18"/>
                <w:szCs w:val="18"/>
                <w:color w:val="auto"/>
              </w:rPr>
              <w:t>Deposit of Redemption Price</w:t>
            </w:r>
          </w:p>
        </w:tc>
        <w:tc>
          <w:tcPr>
            <w:tcW w:w="24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11.06.</w:t>
            </w:r>
          </w:p>
        </w:tc>
        <w:tc>
          <w:tcPr>
            <w:tcW w:w="7360" w:type="dxa"/>
            <w:vAlign w:val="bottom"/>
          </w:tcPr>
          <w:p>
            <w:pPr>
              <w:ind w:left="160"/>
              <w:spacing w:after="0"/>
              <w:rPr>
                <w:sz w:val="20"/>
                <w:szCs w:val="20"/>
                <w:color w:val="auto"/>
              </w:rPr>
            </w:pPr>
            <w:r>
              <w:rPr>
                <w:rFonts w:ascii="Arial" w:cs="Arial" w:eastAsia="Arial" w:hAnsi="Arial"/>
                <w:sz w:val="18"/>
                <w:szCs w:val="18"/>
                <w:color w:val="auto"/>
              </w:rPr>
              <w:t>Securities Payable on Redemption Date</w:t>
            </w:r>
          </w:p>
        </w:tc>
        <w:tc>
          <w:tcPr>
            <w:tcW w:w="24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11.07.</w:t>
            </w:r>
          </w:p>
        </w:tc>
        <w:tc>
          <w:tcPr>
            <w:tcW w:w="7360" w:type="dxa"/>
            <w:vAlign w:val="bottom"/>
          </w:tcPr>
          <w:p>
            <w:pPr>
              <w:ind w:left="160"/>
              <w:spacing w:after="0"/>
              <w:rPr>
                <w:sz w:val="20"/>
                <w:szCs w:val="20"/>
                <w:color w:val="auto"/>
              </w:rPr>
            </w:pPr>
            <w:r>
              <w:rPr>
                <w:rFonts w:ascii="Arial" w:cs="Arial" w:eastAsia="Arial" w:hAnsi="Arial"/>
                <w:sz w:val="18"/>
                <w:szCs w:val="18"/>
                <w:color w:val="auto"/>
              </w:rPr>
              <w:t>Securities Redeemed in Part</w:t>
            </w:r>
          </w:p>
        </w:tc>
        <w:tc>
          <w:tcPr>
            <w:tcW w:w="24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11.08.</w:t>
            </w:r>
          </w:p>
        </w:tc>
        <w:tc>
          <w:tcPr>
            <w:tcW w:w="7360" w:type="dxa"/>
            <w:vAlign w:val="bottom"/>
          </w:tcPr>
          <w:p>
            <w:pPr>
              <w:ind w:left="160"/>
              <w:spacing w:after="0"/>
              <w:rPr>
                <w:sz w:val="20"/>
                <w:szCs w:val="20"/>
                <w:color w:val="auto"/>
              </w:rPr>
            </w:pPr>
            <w:r>
              <w:rPr>
                <w:rFonts w:ascii="Arial" w:cs="Arial" w:eastAsia="Arial" w:hAnsi="Arial"/>
                <w:sz w:val="18"/>
                <w:szCs w:val="18"/>
                <w:color w:val="auto"/>
              </w:rPr>
              <w:t>No Limit on Repurchases</w:t>
            </w:r>
          </w:p>
        </w:tc>
        <w:tc>
          <w:tcPr>
            <w:tcW w:w="24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8900" w:type="dxa"/>
            <w:vAlign w:val="bottom"/>
            <w:gridSpan w:val="2"/>
          </w:tcPr>
          <w:p>
            <w:pPr>
              <w:spacing w:after="0"/>
              <w:rPr>
                <w:sz w:val="20"/>
                <w:szCs w:val="20"/>
                <w:color w:val="auto"/>
              </w:rPr>
            </w:pPr>
            <w:r>
              <w:rPr>
                <w:rFonts w:ascii="Arial" w:cs="Arial" w:eastAsia="Arial" w:hAnsi="Arial"/>
                <w:sz w:val="18"/>
                <w:szCs w:val="18"/>
                <w:color w:val="auto"/>
              </w:rPr>
              <w:t>ARTICLE XII SINKING FUNDS</w:t>
            </w:r>
          </w:p>
        </w:tc>
        <w:tc>
          <w:tcPr>
            <w:tcW w:w="24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0"/>
        </w:trPr>
        <w:tc>
          <w:tcPr>
            <w:tcW w:w="1540" w:type="dxa"/>
            <w:vAlign w:val="bottom"/>
          </w:tcPr>
          <w:p>
            <w:pPr>
              <w:ind w:left="360"/>
              <w:spacing w:after="0"/>
              <w:rPr>
                <w:sz w:val="20"/>
                <w:szCs w:val="20"/>
                <w:color w:val="auto"/>
              </w:rPr>
            </w:pPr>
            <w:r>
              <w:rPr>
                <w:rFonts w:ascii="Arial" w:cs="Arial" w:eastAsia="Arial" w:hAnsi="Arial"/>
                <w:sz w:val="18"/>
                <w:szCs w:val="18"/>
                <w:color w:val="auto"/>
              </w:rPr>
              <w:t>Section 12.01.</w:t>
            </w:r>
          </w:p>
        </w:tc>
        <w:tc>
          <w:tcPr>
            <w:tcW w:w="7360" w:type="dxa"/>
            <w:vAlign w:val="bottom"/>
          </w:tcPr>
          <w:p>
            <w:pPr>
              <w:ind w:left="160"/>
              <w:spacing w:after="0"/>
              <w:rPr>
                <w:sz w:val="20"/>
                <w:szCs w:val="20"/>
                <w:color w:val="auto"/>
              </w:rPr>
            </w:pPr>
            <w:r>
              <w:rPr>
                <w:rFonts w:ascii="Arial" w:cs="Arial" w:eastAsia="Arial" w:hAnsi="Arial"/>
                <w:sz w:val="18"/>
                <w:szCs w:val="18"/>
                <w:color w:val="auto"/>
              </w:rPr>
              <w:t>Applicability of Article</w:t>
            </w:r>
          </w:p>
        </w:tc>
        <w:tc>
          <w:tcPr>
            <w:tcW w:w="24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12.02.</w:t>
            </w:r>
          </w:p>
        </w:tc>
        <w:tc>
          <w:tcPr>
            <w:tcW w:w="7360" w:type="dxa"/>
            <w:vAlign w:val="bottom"/>
          </w:tcPr>
          <w:p>
            <w:pPr>
              <w:ind w:left="160"/>
              <w:spacing w:after="0"/>
              <w:rPr>
                <w:sz w:val="20"/>
                <w:szCs w:val="20"/>
                <w:color w:val="auto"/>
              </w:rPr>
            </w:pPr>
            <w:r>
              <w:rPr>
                <w:rFonts w:ascii="Arial" w:cs="Arial" w:eastAsia="Arial" w:hAnsi="Arial"/>
                <w:sz w:val="18"/>
                <w:szCs w:val="18"/>
                <w:color w:val="auto"/>
              </w:rPr>
              <w:t>Satisfaction of Sinking Fund Payments with Securities</w:t>
            </w:r>
          </w:p>
        </w:tc>
        <w:tc>
          <w:tcPr>
            <w:tcW w:w="24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12.03.</w:t>
            </w:r>
          </w:p>
        </w:tc>
        <w:tc>
          <w:tcPr>
            <w:tcW w:w="7360" w:type="dxa"/>
            <w:vAlign w:val="bottom"/>
          </w:tcPr>
          <w:p>
            <w:pPr>
              <w:ind w:left="160"/>
              <w:spacing w:after="0"/>
              <w:rPr>
                <w:sz w:val="20"/>
                <w:szCs w:val="20"/>
                <w:color w:val="auto"/>
              </w:rPr>
            </w:pPr>
            <w:r>
              <w:rPr>
                <w:rFonts w:ascii="Arial" w:cs="Arial" w:eastAsia="Arial" w:hAnsi="Arial"/>
                <w:sz w:val="18"/>
                <w:szCs w:val="18"/>
                <w:color w:val="auto"/>
              </w:rPr>
              <w:t>Redemption of Securities for Sinking Fund</w:t>
            </w:r>
          </w:p>
        </w:tc>
        <w:tc>
          <w:tcPr>
            <w:tcW w:w="24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8900" w:type="dxa"/>
            <w:vAlign w:val="bottom"/>
            <w:gridSpan w:val="2"/>
          </w:tcPr>
          <w:p>
            <w:pPr>
              <w:spacing w:after="0"/>
              <w:rPr>
                <w:sz w:val="20"/>
                <w:szCs w:val="20"/>
                <w:color w:val="auto"/>
              </w:rPr>
            </w:pPr>
            <w:r>
              <w:rPr>
                <w:rFonts w:ascii="Arial" w:cs="Arial" w:eastAsia="Arial" w:hAnsi="Arial"/>
                <w:sz w:val="18"/>
                <w:szCs w:val="18"/>
                <w:color w:val="auto"/>
              </w:rPr>
              <w:t>ARTICLE XIII DEFEASANCE AND COVENANT DEFEASANCE</w:t>
            </w:r>
          </w:p>
        </w:tc>
        <w:tc>
          <w:tcPr>
            <w:tcW w:w="24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10"/>
        </w:trPr>
        <w:tc>
          <w:tcPr>
            <w:tcW w:w="1540" w:type="dxa"/>
            <w:vAlign w:val="bottom"/>
          </w:tcPr>
          <w:p>
            <w:pPr>
              <w:ind w:left="360"/>
              <w:spacing w:after="0"/>
              <w:rPr>
                <w:sz w:val="20"/>
                <w:szCs w:val="20"/>
                <w:color w:val="auto"/>
              </w:rPr>
            </w:pPr>
            <w:r>
              <w:rPr>
                <w:rFonts w:ascii="Arial" w:cs="Arial" w:eastAsia="Arial" w:hAnsi="Arial"/>
                <w:sz w:val="18"/>
                <w:szCs w:val="18"/>
                <w:color w:val="auto"/>
              </w:rPr>
              <w:t>Section 13.01.</w:t>
            </w:r>
          </w:p>
        </w:tc>
        <w:tc>
          <w:tcPr>
            <w:tcW w:w="7360" w:type="dxa"/>
            <w:vAlign w:val="bottom"/>
          </w:tcPr>
          <w:p>
            <w:pPr>
              <w:ind w:left="160"/>
              <w:spacing w:after="0"/>
              <w:rPr>
                <w:sz w:val="20"/>
                <w:szCs w:val="20"/>
                <w:color w:val="auto"/>
              </w:rPr>
            </w:pPr>
            <w:r>
              <w:rPr>
                <w:rFonts w:ascii="Arial" w:cs="Arial" w:eastAsia="Arial" w:hAnsi="Arial"/>
                <w:sz w:val="18"/>
                <w:szCs w:val="18"/>
                <w:color w:val="auto"/>
              </w:rPr>
              <w:t>Company’s Option to Effect Defeasance or Covenant Defeasance</w:t>
            </w:r>
          </w:p>
        </w:tc>
        <w:tc>
          <w:tcPr>
            <w:tcW w:w="24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13.02.</w:t>
            </w:r>
          </w:p>
        </w:tc>
        <w:tc>
          <w:tcPr>
            <w:tcW w:w="7360" w:type="dxa"/>
            <w:vAlign w:val="bottom"/>
          </w:tcPr>
          <w:p>
            <w:pPr>
              <w:ind w:left="160"/>
              <w:spacing w:after="0"/>
              <w:rPr>
                <w:sz w:val="20"/>
                <w:szCs w:val="20"/>
                <w:color w:val="auto"/>
              </w:rPr>
            </w:pPr>
            <w:r>
              <w:rPr>
                <w:rFonts w:ascii="Arial" w:cs="Arial" w:eastAsia="Arial" w:hAnsi="Arial"/>
                <w:sz w:val="18"/>
                <w:szCs w:val="18"/>
                <w:color w:val="auto"/>
              </w:rPr>
              <w:t>Defeasance and Discharge</w:t>
            </w:r>
          </w:p>
        </w:tc>
        <w:tc>
          <w:tcPr>
            <w:tcW w:w="24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13.03.</w:t>
            </w:r>
          </w:p>
        </w:tc>
        <w:tc>
          <w:tcPr>
            <w:tcW w:w="7360" w:type="dxa"/>
            <w:vAlign w:val="bottom"/>
          </w:tcPr>
          <w:p>
            <w:pPr>
              <w:ind w:left="160"/>
              <w:spacing w:after="0"/>
              <w:rPr>
                <w:sz w:val="20"/>
                <w:szCs w:val="20"/>
                <w:color w:val="auto"/>
              </w:rPr>
            </w:pPr>
            <w:r>
              <w:rPr>
                <w:rFonts w:ascii="Arial" w:cs="Arial" w:eastAsia="Arial" w:hAnsi="Arial"/>
                <w:sz w:val="18"/>
                <w:szCs w:val="18"/>
                <w:color w:val="auto"/>
              </w:rPr>
              <w:t>Covenant Defeasance</w:t>
            </w:r>
          </w:p>
        </w:tc>
        <w:tc>
          <w:tcPr>
            <w:tcW w:w="24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13.04.</w:t>
            </w:r>
          </w:p>
        </w:tc>
        <w:tc>
          <w:tcPr>
            <w:tcW w:w="7360" w:type="dxa"/>
            <w:vAlign w:val="bottom"/>
          </w:tcPr>
          <w:p>
            <w:pPr>
              <w:ind w:left="160"/>
              <w:spacing w:after="0"/>
              <w:rPr>
                <w:sz w:val="20"/>
                <w:szCs w:val="20"/>
                <w:color w:val="auto"/>
              </w:rPr>
            </w:pPr>
            <w:r>
              <w:rPr>
                <w:rFonts w:ascii="Arial" w:cs="Arial" w:eastAsia="Arial" w:hAnsi="Arial"/>
                <w:sz w:val="18"/>
                <w:szCs w:val="18"/>
                <w:color w:val="auto"/>
              </w:rPr>
              <w:t>Conditions to Defeasance or Covenant Defeasance</w:t>
            </w:r>
          </w:p>
        </w:tc>
        <w:tc>
          <w:tcPr>
            <w:tcW w:w="242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74"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10000" w:type="dxa"/>
            <w:vAlign w:val="bottom"/>
            <w:gridSpan w:val="2"/>
          </w:tcPr>
          <w:p>
            <w:pPr>
              <w:ind w:left="360"/>
              <w:spacing w:after="0"/>
              <w:rPr>
                <w:sz w:val="20"/>
                <w:szCs w:val="20"/>
                <w:color w:val="auto"/>
              </w:rPr>
            </w:pPr>
            <w:r>
              <w:rPr>
                <w:rFonts w:ascii="Arial" w:cs="Arial" w:eastAsia="Arial" w:hAnsi="Arial"/>
                <w:sz w:val="18"/>
                <w:szCs w:val="18"/>
                <w:color w:val="auto"/>
              </w:rPr>
              <w:t>Section 13.05.   Deposited Money and U.S. Government Obligations to Be Held in Trust; Miscellaneous Provisions</w:t>
            </w:r>
          </w:p>
        </w:tc>
        <w:tc>
          <w:tcPr>
            <w:tcW w:w="13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13.06.</w:t>
            </w:r>
          </w:p>
        </w:tc>
        <w:tc>
          <w:tcPr>
            <w:tcW w:w="8460" w:type="dxa"/>
            <w:vAlign w:val="bottom"/>
          </w:tcPr>
          <w:p>
            <w:pPr>
              <w:ind w:left="160"/>
              <w:spacing w:after="0"/>
              <w:rPr>
                <w:sz w:val="20"/>
                <w:szCs w:val="20"/>
                <w:color w:val="auto"/>
              </w:rPr>
            </w:pPr>
            <w:r>
              <w:rPr>
                <w:rFonts w:ascii="Arial" w:cs="Arial" w:eastAsia="Arial" w:hAnsi="Arial"/>
                <w:sz w:val="18"/>
                <w:szCs w:val="18"/>
                <w:color w:val="auto"/>
              </w:rPr>
              <w:t>Reinstatement</w:t>
            </w:r>
          </w:p>
        </w:tc>
        <w:tc>
          <w:tcPr>
            <w:tcW w:w="1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0000" w:type="dxa"/>
            <w:vAlign w:val="bottom"/>
            <w:gridSpan w:val="2"/>
          </w:tcPr>
          <w:p>
            <w:pPr>
              <w:spacing w:after="0"/>
              <w:rPr>
                <w:sz w:val="20"/>
                <w:szCs w:val="20"/>
                <w:color w:val="auto"/>
              </w:rPr>
            </w:pPr>
            <w:r>
              <w:rPr>
                <w:rFonts w:ascii="Arial" w:cs="Arial" w:eastAsia="Arial" w:hAnsi="Arial"/>
                <w:sz w:val="18"/>
                <w:szCs w:val="18"/>
                <w:color w:val="auto"/>
              </w:rPr>
              <w:t>ARTICLE XIV GUARANTEES</w:t>
            </w:r>
          </w:p>
        </w:tc>
        <w:tc>
          <w:tcPr>
            <w:tcW w:w="1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540" w:type="dxa"/>
            <w:vAlign w:val="bottom"/>
          </w:tcPr>
          <w:p>
            <w:pPr>
              <w:ind w:left="360"/>
              <w:spacing w:after="0"/>
              <w:rPr>
                <w:sz w:val="20"/>
                <w:szCs w:val="20"/>
                <w:color w:val="auto"/>
              </w:rPr>
            </w:pPr>
            <w:r>
              <w:rPr>
                <w:rFonts w:ascii="Arial" w:cs="Arial" w:eastAsia="Arial" w:hAnsi="Arial"/>
                <w:sz w:val="18"/>
                <w:szCs w:val="18"/>
                <w:color w:val="auto"/>
              </w:rPr>
              <w:t>Section 14.01.</w:t>
            </w:r>
          </w:p>
        </w:tc>
        <w:tc>
          <w:tcPr>
            <w:tcW w:w="8460" w:type="dxa"/>
            <w:vAlign w:val="bottom"/>
          </w:tcPr>
          <w:p>
            <w:pPr>
              <w:ind w:left="160"/>
              <w:spacing w:after="0"/>
              <w:rPr>
                <w:sz w:val="20"/>
                <w:szCs w:val="20"/>
                <w:color w:val="auto"/>
              </w:rPr>
            </w:pPr>
            <w:r>
              <w:rPr>
                <w:rFonts w:ascii="Arial" w:cs="Arial" w:eastAsia="Arial" w:hAnsi="Arial"/>
                <w:sz w:val="18"/>
                <w:szCs w:val="18"/>
                <w:color w:val="auto"/>
              </w:rPr>
              <w:t>Guarantees</w:t>
            </w:r>
          </w:p>
        </w:tc>
        <w:tc>
          <w:tcPr>
            <w:tcW w:w="1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65"/>
        </w:trPr>
        <w:tc>
          <w:tcPr>
            <w:tcW w:w="1540" w:type="dxa"/>
            <w:vAlign w:val="bottom"/>
          </w:tcPr>
          <w:p>
            <w:pPr>
              <w:spacing w:after="0"/>
              <w:rPr>
                <w:sz w:val="24"/>
                <w:szCs w:val="24"/>
                <w:color w:val="auto"/>
              </w:rPr>
            </w:pPr>
          </w:p>
        </w:tc>
        <w:tc>
          <w:tcPr>
            <w:tcW w:w="8460" w:type="dxa"/>
            <w:vAlign w:val="bottom"/>
          </w:tcPr>
          <w:p>
            <w:pPr>
              <w:ind w:left="4120"/>
              <w:spacing w:after="0"/>
              <w:rPr>
                <w:sz w:val="20"/>
                <w:szCs w:val="20"/>
                <w:color w:val="auto"/>
              </w:rPr>
            </w:pPr>
            <w:r>
              <w:rPr>
                <w:rFonts w:ascii="Arial" w:cs="Arial" w:eastAsia="Arial" w:hAnsi="Arial"/>
                <w:sz w:val="18"/>
                <w:szCs w:val="18"/>
                <w:color w:val="auto"/>
              </w:rPr>
              <w:t>v</w:t>
            </w:r>
          </w:p>
        </w:tc>
        <w:tc>
          <w:tcPr>
            <w:tcW w:w="13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1" w:name="page62"/>
    <w:bookmarkEnd w:id="61"/>
    <w:p>
      <w:pPr>
        <w:ind w:right="4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 dated as of [ ], 2013, among DIAMONDBACK ENERGY, INC., a corporation duly organized and existing under the laws of the State of Delaware (herein called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having its principal office at 500 West Texas, Suite 1225, Midland, Texas 79701, the Initial Guarantors (as</w:t>
      </w:r>
    </w:p>
    <w:p>
      <w:pPr>
        <w:ind w:right="540"/>
        <w:spacing w:after="0" w:line="261" w:lineRule="auto"/>
        <w:rPr>
          <w:sz w:val="20"/>
          <w:szCs w:val="20"/>
          <w:color w:val="auto"/>
        </w:rPr>
      </w:pPr>
      <w:r>
        <w:rPr>
          <w:rFonts w:ascii="Arial" w:cs="Arial" w:eastAsia="Arial" w:hAnsi="Arial"/>
          <w:sz w:val="18"/>
          <w:szCs w:val="18"/>
          <w:color w:val="auto"/>
        </w:rPr>
        <w:t>defined hereinafter), each having its principal office at 500 West Texas, Suite 1225, Midland, Texas 79701, and [ ], as Trustee (herein called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ind w:right="700" w:firstLine="456"/>
        <w:spacing w:after="0" w:line="342" w:lineRule="auto"/>
        <w:rPr>
          <w:sz w:val="20"/>
          <w:szCs w:val="20"/>
          <w:color w:val="auto"/>
        </w:rPr>
      </w:pPr>
      <w:r>
        <w:rPr>
          <w:rFonts w:ascii="Arial" w:cs="Arial" w:eastAsia="Arial" w:hAnsi="Arial"/>
          <w:sz w:val="16"/>
          <w:szCs w:val="16"/>
          <w:color w:val="auto"/>
        </w:rPr>
        <w:t>The Company has duly authorized the execution and delivery of this Indenture to provide for the issuance from time to time of its unsecured debentures, notes or other evidences of indebtedness (herein called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to be issued in one or more series as in this Indenture provided.</w:t>
      </w:r>
    </w:p>
    <w:p>
      <w:pPr>
        <w:spacing w:after="0" w:line="12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Each of the Initial Guarantors has duly authorized the execution and delivery of this Indenture to provide for the guarantee by such Initial Guarantor of such series of Securities as to which such guarantee has been made applicable as provided herein.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things necessary to make this Indenture a valid agreement of the Company and of the Initial Guarantors in accordance with its terms have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done.</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NOW, THEREFORE, THIS INDENTURE WITNESSETH:</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agreed, for the equal and proportionate benefit of all Holders of the Securities or of series thereof, as follows: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 AND OTHER PROVISIONS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GENERAL APPLICATION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r>
        <w:rPr>
          <w:rFonts w:ascii="Arial" w:cs="Arial" w:eastAsia="Arial" w:hAnsi="Arial"/>
          <w:sz w:val="17"/>
          <w:szCs w:val="17"/>
          <w:color w:val="auto"/>
        </w:rPr>
        <w:t>. For all purposes of this Indenture, except as otherwise expressly provided or unless the context otherwise requires:</w:t>
      </w:r>
    </w:p>
    <w:p>
      <w:pPr>
        <w:spacing w:after="0" w:line="129" w:lineRule="exact"/>
        <w:rPr>
          <w:sz w:val="20"/>
          <w:szCs w:val="20"/>
          <w:color w:val="auto"/>
        </w:rPr>
      </w:pPr>
    </w:p>
    <w:p>
      <w:pPr>
        <w:ind w:left="1160" w:hanging="257"/>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terms defined in this Article have the meanings assigned to them in this Article and include the plural as well as the singular;</w:t>
      </w:r>
    </w:p>
    <w:p>
      <w:pPr>
        <w:spacing w:after="0" w:line="117" w:lineRule="exact"/>
        <w:rPr>
          <w:rFonts w:ascii="Arial" w:cs="Arial" w:eastAsia="Arial" w:hAnsi="Arial"/>
          <w:sz w:val="18"/>
          <w:szCs w:val="18"/>
          <w:color w:val="auto"/>
        </w:rPr>
      </w:pPr>
    </w:p>
    <w:p>
      <w:pPr>
        <w:ind w:left="460" w:right="20" w:firstLine="443"/>
        <w:spacing w:after="0" w:line="277" w:lineRule="auto"/>
        <w:tabs>
          <w:tab w:leader="none" w:pos="11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either directly or by reference therein, have the meanings assigned to them therein;</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GAAP;</w:t>
      </w:r>
    </w:p>
    <w:p>
      <w:pPr>
        <w:spacing w:after="0" w:line="117" w:lineRule="exact"/>
        <w:rPr>
          <w:rFonts w:ascii="Arial" w:cs="Arial" w:eastAsia="Arial" w:hAnsi="Arial"/>
          <w:sz w:val="18"/>
          <w:szCs w:val="18"/>
          <w:color w:val="auto"/>
        </w:rPr>
      </w:pPr>
    </w:p>
    <w:p>
      <w:pPr>
        <w:ind w:left="460" w:right="60" w:firstLine="443"/>
        <w:spacing w:after="0" w:line="277" w:lineRule="auto"/>
        <w:tabs>
          <w:tab w:leader="none" w:pos="11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“Article” or a “Section” refers to an Article or a Section, as the case may be, of this Indenture;</w:t>
      </w:r>
    </w:p>
    <w:p>
      <w:pPr>
        <w:sectPr>
          <w:pgSz w:w="11900" w:h="16838" w:orient="portrait"/>
          <w:cols w:equalWidth="0" w:num="1">
            <w:col w:w="11380"/>
          </w:cols>
          <w:pgMar w:left="240" w:top="274" w:right="279" w:bottom="1440" w:gutter="0" w:footer="0" w:header="0"/>
        </w:sectPr>
      </w:pPr>
    </w:p>
    <w:bookmarkStart w:id="62" w:name="page63"/>
    <w:bookmarkEnd w:id="62"/>
    <w:p>
      <w:pPr>
        <w:ind w:left="460" w:right="200" w:firstLine="443"/>
        <w:spacing w:after="0" w:line="277" w:lineRule="auto"/>
        <w:tabs>
          <w:tab w:leader="none" w:pos="1153"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words “herein,” “hereof” and “hereunder” and other words of similar import refer to this Indenture as a whole and not to any particular Article, Section or other subdivision;</w:t>
      </w:r>
    </w:p>
    <w:p>
      <w:pPr>
        <w:spacing w:after="0" w:line="62" w:lineRule="exact"/>
        <w:rPr>
          <w:rFonts w:ascii="Arial" w:cs="Arial" w:eastAsia="Arial" w:hAnsi="Arial"/>
          <w:sz w:val="18"/>
          <w:szCs w:val="18"/>
          <w:color w:val="auto"/>
        </w:rPr>
      </w:pPr>
    </w:p>
    <w:p>
      <w:pPr>
        <w:ind w:left="460" w:right="40" w:firstLine="443"/>
        <w:spacing w:after="0" w:line="273" w:lineRule="auto"/>
        <w:tabs>
          <w:tab w:leader="none" w:pos="1153"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when used with respect to any Security, the words “convert,” “converted” and “conversion” are intended to refer to the right of the Holder or the Company to convert or exchange such Security into or for securities or other property in accordance with such terms, if any, as may hereafter be specified for such Security as contemplated by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and these words are not intended to refer to any right of the Holder or the Company to exchange such Security for other Securities of the same series and like tenor pursuant to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w:t>
      </w:r>
      <w:r>
        <w:rPr>
          <w:rFonts w:ascii="Arial" w:cs="Arial" w:eastAsia="Arial" w:hAnsi="Arial"/>
          <w:sz w:val="17"/>
          <w:szCs w:val="17"/>
          <w:u w:val="single" w:color="auto"/>
          <w:color w:val="auto"/>
        </w:rPr>
        <w:t>3.06</w:t>
      </w:r>
      <w:r>
        <w:rPr>
          <w:rFonts w:ascii="Arial" w:cs="Arial" w:eastAsia="Arial" w:hAnsi="Arial"/>
          <w:sz w:val="17"/>
          <w:szCs w:val="17"/>
          <w:color w:val="auto"/>
        </w:rPr>
        <w:t xml:space="preserve">, </w:t>
      </w:r>
      <w:r>
        <w:rPr>
          <w:rFonts w:ascii="Arial" w:cs="Arial" w:eastAsia="Arial" w:hAnsi="Arial"/>
          <w:sz w:val="17"/>
          <w:szCs w:val="17"/>
          <w:u w:val="single" w:color="auto"/>
          <w:color w:val="auto"/>
        </w:rPr>
        <w:t>9.06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11.07</w:t>
      </w:r>
      <w:r>
        <w:rPr>
          <w:rFonts w:ascii="Arial" w:cs="Arial" w:eastAsia="Arial" w:hAnsi="Arial"/>
          <w:sz w:val="17"/>
          <w:szCs w:val="17"/>
          <w:color w:val="auto"/>
        </w:rPr>
        <w:t xml:space="preserve"> or another similar provision of this Indenture, unless the context otherwise requires; and references herein to the terms of any Security that may be converted mean such terms as may be specified for such Security as contemplated in </w:t>
      </w:r>
      <w:r>
        <w:rPr>
          <w:rFonts w:ascii="Arial" w:cs="Arial" w:eastAsia="Arial" w:hAnsi="Arial"/>
          <w:sz w:val="17"/>
          <w:szCs w:val="17"/>
          <w:u w:val="single" w:color="auto"/>
          <w:color w:val="auto"/>
        </w:rPr>
        <w:t>Section 3.01</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jc w:val="both"/>
        <w:ind w:left="460" w:right="100" w:firstLine="443"/>
        <w:spacing w:after="0" w:line="264" w:lineRule="auto"/>
        <w:tabs>
          <w:tab w:leader="none" w:pos="11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“duly provided for” and other words of similar import with respect to any amount or property required to be paid or delivered, as applicable, shall include, without limitation, having made such amount or property available for payment or delivery;</w:t>
      </w:r>
    </w:p>
    <w:p>
      <w:pPr>
        <w:spacing w:after="0" w:line="73" w:lineRule="exact"/>
        <w:rPr>
          <w:rFonts w:ascii="Arial" w:cs="Arial" w:eastAsia="Arial" w:hAnsi="Arial"/>
          <w:sz w:val="18"/>
          <w:szCs w:val="18"/>
          <w:color w:val="auto"/>
        </w:rPr>
      </w:pPr>
    </w:p>
    <w:p>
      <w:pPr>
        <w:ind w:left="460" w:right="260" w:firstLine="443"/>
        <w:spacing w:after="0" w:line="277" w:lineRule="auto"/>
        <w:tabs>
          <w:tab w:leader="none" w:pos="11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shall be deemed to include substitute, replacement of successor sections or rules adopted by the Commission from time to time;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when the words “includes” or “including” are used herein, they shall be deemed to be followed by the words “without limitation;” and</w:t>
      </w:r>
    </w:p>
    <w:p>
      <w:pPr>
        <w:spacing w:after="0" w:line="128" w:lineRule="exact"/>
        <w:rPr>
          <w:rFonts w:ascii="Arial" w:cs="Arial" w:eastAsia="Arial" w:hAnsi="Arial"/>
          <w:sz w:val="17"/>
          <w:szCs w:val="17"/>
          <w:color w:val="auto"/>
        </w:rPr>
      </w:pPr>
    </w:p>
    <w:p>
      <w:pPr>
        <w:ind w:left="1240" w:hanging="337"/>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w:t>
      </w:r>
      <w:r>
        <w:rPr>
          <w:rFonts w:ascii="Arial" w:cs="Arial" w:eastAsia="Arial" w:hAnsi="Arial"/>
          <w:sz w:val="18"/>
          <w:szCs w:val="18"/>
          <w:color w:val="auto"/>
        </w:rPr>
        <w:t>,” when used with respect to any Holder, has the meaning specified in Section 1.04.</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Procedures</w:t>
      </w:r>
      <w:r>
        <w:rPr>
          <w:rFonts w:ascii="Arial" w:cs="Arial" w:eastAsia="Arial" w:hAnsi="Arial"/>
          <w:sz w:val="18"/>
          <w:szCs w:val="18"/>
          <w:color w:val="auto"/>
        </w:rPr>
        <w:t>” of a Depositary means, with respect to any matter at any time, the policies and procedures of such Depositary, if any, that are applicable to such matter at such time.</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Authenticating Agent</w:t>
      </w:r>
      <w:r>
        <w:rPr>
          <w:rFonts w:ascii="Arial" w:cs="Arial" w:eastAsia="Arial" w:hAnsi="Arial"/>
          <w:sz w:val="18"/>
          <w:szCs w:val="18"/>
          <w:color w:val="auto"/>
        </w:rPr>
        <w:t>” means, when used with respect to Securities of any series, any Person authorized by the Trustee to act on behalf of the Trustee to authenticate the Securities of such series.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means either the board of directors of the Company or any duly authorized committee of that board.</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63" w:name="page64"/>
    <w:bookmarkEnd w:id="63"/>
    <w:p>
      <w:pPr>
        <w:ind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Board Resolution</w:t>
      </w:r>
      <w:r>
        <w:rPr>
          <w:rFonts w:ascii="Arial" w:cs="Arial" w:eastAsia="Arial" w:hAnsi="Arial"/>
          <w:sz w:val="16"/>
          <w:szCs w:val="16"/>
          <w:color w:val="auto"/>
        </w:rPr>
        <w:t>” means a copy of a resolution certified by the Secretary or an Assistant Secretary of the Company to have been duly adopted by the Board of Directors and to be in full force and effect on the date of such certification, and delivered to the Trustee. Where any provision of this Indenture refers to action to be taken pursuant to a Board Resolution (including the establishment of any series of the Securities and the forms and terms thereof), such action may be taken by any officer or employee of the Company authorized to take such action by the Board of Directors as evidenced by a Board Resolution.</w:t>
      </w:r>
    </w:p>
    <w:p>
      <w:pPr>
        <w:spacing w:after="0" w:line="15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xml:space="preserve">,” when used with respect to any Place of Payment, means each Monday, Tuesday, Wednesday, Thursday and Friday which is not a day on which banking institutions in that Place of Payment are authorized or obligated by law or executive order to close;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when used with respect to any Security, “Business Day” may have such other meaning, if any, as may be specified for such Security as contemplated by </w:t>
      </w:r>
      <w:r>
        <w:rPr>
          <w:rFonts w:ascii="Arial" w:cs="Arial" w:eastAsia="Arial" w:hAnsi="Arial"/>
          <w:sz w:val="16"/>
          <w:szCs w:val="16"/>
          <w:u w:val="single" w:color="auto"/>
          <w:color w:val="auto"/>
        </w:rPr>
        <w:t>Section 3.01</w:t>
      </w:r>
      <w:r>
        <w:rPr>
          <w:rFonts w:ascii="Arial" w:cs="Arial" w:eastAsia="Arial" w:hAnsi="Arial"/>
          <w:sz w:val="16"/>
          <w:szCs w:val="16"/>
          <w:color w:val="auto"/>
        </w:rPr>
        <w:t>.</w:t>
      </w:r>
    </w:p>
    <w:p>
      <w:pPr>
        <w:spacing w:after="0" w:line="14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8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the Person named as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the first paragraph of this instrument until a successor Person shall have become such pursuant to the applicable provisions of this Indenture, and thereafter “Company” shall mean such successor Person.</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Request</w:t>
      </w:r>
      <w:r>
        <w:rPr>
          <w:rFonts w:ascii="Arial" w:cs="Arial" w:eastAsia="Arial" w:hAnsi="Arial"/>
          <w:sz w:val="18"/>
          <w:szCs w:val="18"/>
          <w:color w:val="auto"/>
        </w:rPr>
        <w:t>” or “</w:t>
      </w:r>
      <w:r>
        <w:rPr>
          <w:rFonts w:ascii="Arial" w:cs="Arial" w:eastAsia="Arial" w:hAnsi="Arial"/>
          <w:sz w:val="18"/>
          <w:szCs w:val="18"/>
          <w:b w:val="1"/>
          <w:bCs w:val="1"/>
          <w:i w:val="1"/>
          <w:iCs w:val="1"/>
          <w:color w:val="auto"/>
        </w:rPr>
        <w:t>Company Order</w:t>
      </w:r>
      <w:r>
        <w:rPr>
          <w:rFonts w:ascii="Arial" w:cs="Arial" w:eastAsia="Arial" w:hAnsi="Arial"/>
          <w:sz w:val="18"/>
          <w:szCs w:val="18"/>
          <w:color w:val="auto"/>
        </w:rPr>
        <w:t>” means a written request or order signed in the name of the Company by any two of the following: a Chairman of the Board, a Chief Executive Officer, a President, a Vice President, a Treasurer, an Assistant Treasurer, its Secretary or an Assistant Secretary of the Company, or any other officer or officers of the Company designated in writing by or pursuant to authority of the Board of Directors and delivered to the Trustee from time to time.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Trust Office</w:t>
      </w:r>
      <w:r>
        <w:rPr>
          <w:rFonts w:ascii="Arial" w:cs="Arial" w:eastAsia="Arial" w:hAnsi="Arial"/>
          <w:sz w:val="16"/>
          <w:szCs w:val="16"/>
          <w:color w:val="auto"/>
        </w:rPr>
        <w:t>” means the designated office of the Trustee at which at any particular time its corporate trust business shall be administered</w:t>
      </w:r>
    </w:p>
    <w:p>
      <w:pPr>
        <w:spacing w:after="0" w:line="4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and which, at the date hereof, is located at , attention , or at such other address as the Trustee may designate from time to time by notice to the Holders and the Company, or the principal corporate trust office of any successor Trustee.</w:t>
      </w:r>
    </w:p>
    <w:p>
      <w:pPr>
        <w:spacing w:after="0" w:line="18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means a corporation, association, company (including a limited liability company), joint-stock company, business trust or other business entity (other than a partnership).</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Covenant Defeasance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13.03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Defaulted Interest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3.07</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Defeasance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13.02</w:t>
      </w:r>
      <w:r>
        <w:rPr>
          <w:rFonts w:ascii="Arial" w:cs="Arial" w:eastAsia="Arial" w:hAnsi="Arial"/>
          <w:sz w:val="18"/>
          <w:szCs w:val="18"/>
          <w:color w:val="auto"/>
        </w:rPr>
        <w:t>.</w:t>
      </w:r>
    </w:p>
    <w:p>
      <w:pPr>
        <w:spacing w:after="0" w:line="221"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Depositary</w:t>
      </w:r>
      <w:r>
        <w:rPr>
          <w:rFonts w:ascii="Arial" w:cs="Arial" w:eastAsia="Arial" w:hAnsi="Arial"/>
          <w:sz w:val="18"/>
          <w:szCs w:val="18"/>
          <w:color w:val="auto"/>
        </w:rPr>
        <w:t>” means</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Securities of any series issuable in whole or in part in the form of one or more Global Securities, a clearing agency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registered under the Exchange Act that is designated to act as depositary for such Securities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DTC</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4" w:name="page65"/>
    <w:bookmarkEnd w:id="6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and any statute successor thereto, in each case as amended from time to time.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the Public Company Accounting Oversight Board or in such other statements by such other entity as have been approved by a significant segment of the accounting profession, which are in effect from time to time. All ratio computations based on GAAP contained in this Indenture will be computed in conformity with GAAP.</w:t>
      </w:r>
    </w:p>
    <w:p>
      <w:pPr>
        <w:spacing w:after="0" w:line="154"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Security</w:t>
      </w:r>
      <w:r>
        <w:rPr>
          <w:rFonts w:ascii="Arial" w:cs="Arial" w:eastAsia="Arial" w:hAnsi="Arial"/>
          <w:sz w:val="18"/>
          <w:szCs w:val="18"/>
          <w:color w:val="auto"/>
        </w:rPr>
        <w:t xml:space="preserve">” means a Security that evidences all or part of the Securities of any series and bears the legend set forth in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(or such legend as may be specified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for such Securities).</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Guarantee</w:t>
      </w:r>
      <w:r>
        <w:rPr>
          <w:rFonts w:ascii="Arial" w:cs="Arial" w:eastAsia="Arial" w:hAnsi="Arial"/>
          <w:sz w:val="18"/>
          <w:szCs w:val="18"/>
          <w:color w:val="auto"/>
        </w:rPr>
        <w:t xml:space="preserve">” means a guarantee of any Securities by a Guarantor as contemplated by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“Guarantee,” when used with respect to any Security or with respect to the Securities of any series, means a guarantee of such Security or of the Securities of such series, respectively, by a Guarantor of such Security or of the Securities of such series, respectively, as contemplated by </w:t>
      </w:r>
      <w:r>
        <w:rPr>
          <w:rFonts w:ascii="Arial" w:cs="Arial" w:eastAsia="Arial" w:hAnsi="Arial"/>
          <w:sz w:val="18"/>
          <w:szCs w:val="18"/>
          <w:u w:val="single" w:color="auto"/>
          <w:color w:val="auto"/>
        </w:rPr>
        <w:t>Article XIV</w:t>
      </w:r>
      <w:r>
        <w:rPr>
          <w:rFonts w:ascii="Arial" w:cs="Arial" w:eastAsia="Arial" w:hAnsi="Arial"/>
          <w:sz w:val="18"/>
          <w:szCs w:val="18"/>
          <w:color w:val="auto"/>
        </w:rPr>
        <w:t>.</w:t>
      </w:r>
    </w:p>
    <w:p>
      <w:pPr>
        <w:spacing w:after="0" w:line="18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Guarantor</w:t>
      </w:r>
      <w:r>
        <w:rPr>
          <w:rFonts w:ascii="Arial" w:cs="Arial" w:eastAsia="Arial" w:hAnsi="Arial"/>
          <w:sz w:val="16"/>
          <w:szCs w:val="16"/>
          <w:color w:val="auto"/>
        </w:rPr>
        <w:t xml:space="preserve">” means each of the Initial Guarantors and any other Person who shall have become a Guarantor under this Indenture pursuant to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hereof, in each case unless and until a successor Person shall have become a successor thereto pursuant to the applicable provisions of this Indenture in place thereof, and thereafter references to such Guarantor shall mean such successor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term “Guarantor,” when used, with respect to the Securities of any series, means the Persons who shall from time to time be the Guarantors of Securities of such series as contemplated by </w:t>
      </w:r>
      <w:r>
        <w:rPr>
          <w:rFonts w:ascii="Arial" w:cs="Arial" w:eastAsia="Arial" w:hAnsi="Arial"/>
          <w:sz w:val="16"/>
          <w:szCs w:val="16"/>
          <w:u w:val="single" w:color="auto"/>
          <w:color w:val="auto"/>
        </w:rPr>
        <w:t>Article XIV</w:t>
      </w:r>
      <w:r>
        <w:rPr>
          <w:rFonts w:ascii="Arial" w:cs="Arial" w:eastAsia="Arial" w:hAnsi="Arial"/>
          <w:sz w:val="16"/>
          <w:szCs w:val="16"/>
          <w:color w:val="auto"/>
        </w:rPr>
        <w:t>; and (ii) any Person constituting a Guarantor with respect to the Securities of a series shall cease to constitute a Guarantor with respect to Securities of such series when its Guarantee is released with respect to Securities of such series in accordance with the terms of this Indenture.</w:t>
      </w:r>
    </w:p>
    <w:p>
      <w:pPr>
        <w:spacing w:after="0" w:line="16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Guarantor’s Board of Directors</w:t>
      </w:r>
      <w:r>
        <w:rPr>
          <w:rFonts w:ascii="Arial" w:cs="Arial" w:eastAsia="Arial" w:hAnsi="Arial"/>
          <w:sz w:val="18"/>
          <w:szCs w:val="18"/>
          <w:color w:val="auto"/>
        </w:rPr>
        <w:t>” means, with respect to any Guarantor, either the board of directors (or other governing body) of such Guarantor or any duly authorized committee of such board (or other governing body).</w:t>
      </w:r>
    </w:p>
    <w:p>
      <w:pPr>
        <w:spacing w:after="0" w:line="170"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Guarantor’s Board Resolution</w:t>
      </w:r>
      <w:r>
        <w:rPr>
          <w:rFonts w:ascii="Arial" w:cs="Arial" w:eastAsia="Arial" w:hAnsi="Arial"/>
          <w:sz w:val="18"/>
          <w:szCs w:val="18"/>
          <w:color w:val="auto"/>
        </w:rPr>
        <w:t>” means, with respect to any Guarantor, a copy of a resolution certified by the Secretary or an Assistant Secretary of such Guarantor to have been duly adopted by such Guarantor’s Board of Directors and to be in full force and effect on the date of such certification, and delivered to the Trustee. Where any provision of this Indenture refers to action to be taken pursuant to a Guarantor’s Board Resolution, such action may be taken by any officer or employee of such Guarantor authorized to take such action by such Guarantor’s Board of Directors as evidenced by a Guarantor’s Board Resolution.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65" w:name="page66"/>
    <w:bookmarkEnd w:id="65"/>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Guarantor’s Officers’ Certificate</w:t>
      </w:r>
      <w:r>
        <w:rPr>
          <w:rFonts w:ascii="Arial" w:cs="Arial" w:eastAsia="Arial" w:hAnsi="Arial"/>
          <w:sz w:val="18"/>
          <w:szCs w:val="18"/>
          <w:color w:val="auto"/>
        </w:rPr>
        <w:t>” means, with respect to any Guarantor, a certificate signed by any two of the following: a Chairman of the Board, a Chief Executive Officer, a President, a Vice President, a Treasurer, an Assistant Treasurer, a Secretary or an Assistant Secretary of such Guarantor, or any other officer or officers of such Guarantor designated in a writing by or pursuant to authority of such Guarantor’s Board of Directors and delivered to the Trustee from time to time.</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Guarantor Request</w:t>
      </w:r>
      <w:r>
        <w:rPr>
          <w:rFonts w:ascii="Arial" w:cs="Arial" w:eastAsia="Arial" w:hAnsi="Arial"/>
          <w:sz w:val="17"/>
          <w:szCs w:val="17"/>
          <w:color w:val="auto"/>
        </w:rPr>
        <w:t>” or “</w:t>
      </w:r>
      <w:r>
        <w:rPr>
          <w:rFonts w:ascii="Arial" w:cs="Arial" w:eastAsia="Arial" w:hAnsi="Arial"/>
          <w:sz w:val="17"/>
          <w:szCs w:val="17"/>
          <w:b w:val="1"/>
          <w:bCs w:val="1"/>
          <w:i w:val="1"/>
          <w:iCs w:val="1"/>
          <w:color w:val="auto"/>
        </w:rPr>
        <w:t>Guarantor Order</w:t>
      </w:r>
      <w:r>
        <w:rPr>
          <w:rFonts w:ascii="Arial" w:cs="Arial" w:eastAsia="Arial" w:hAnsi="Arial"/>
          <w:sz w:val="17"/>
          <w:szCs w:val="17"/>
          <w:color w:val="auto"/>
        </w:rPr>
        <w:t>” means, with respect to any Guarantor, a written request or order signed in the name of such Guarantor by any two of the following: a Chairman of the Board, a Chief Executive Officer, a President, a Vice President, a Treasurer, an Assistant Treasurer, its Secretary or an Assistant Secretary of such Guarantor, or any other officer or officers of such Guarantor designated in writing by or pursuant to authority of such Guarantor’s Board of Directors and delivered to the Trustee from time to time. In the event that Guarantor’s Requests relating to the same matter shall be delivered by two or more Guarantors on the same date, such requests may be combined into a single document, provided that the requests made by each Guarantor therein shall be several and not joint requests of each such Guarantor.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a Person in whose name a Security is, at the time of determination, registered in the Security Register.</w:t>
      </w:r>
    </w:p>
    <w:p>
      <w:pPr>
        <w:spacing w:after="0" w:line="225"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xml:space="preserve">” shall also include the terms of any particular series or specific Securities within a series and of any Guarantees thereof established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w:t>
      </w:r>
    </w:p>
    <w:p>
      <w:pPr>
        <w:spacing w:after="0" w:line="18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Guarantor</w:t>
      </w:r>
      <w:r>
        <w:rPr>
          <w:rFonts w:ascii="Arial" w:cs="Arial" w:eastAsia="Arial" w:hAnsi="Arial"/>
          <w:sz w:val="18"/>
          <w:szCs w:val="18"/>
          <w:color w:val="auto"/>
        </w:rPr>
        <w:t>” or “</w:t>
      </w:r>
      <w:r>
        <w:rPr>
          <w:rFonts w:ascii="Arial" w:cs="Arial" w:eastAsia="Arial" w:hAnsi="Arial"/>
          <w:sz w:val="18"/>
          <w:szCs w:val="18"/>
          <w:b w:val="1"/>
          <w:bCs w:val="1"/>
          <w:i w:val="1"/>
          <w:iCs w:val="1"/>
          <w:color w:val="auto"/>
        </w:rPr>
        <w:t>Initial Guarantors</w:t>
      </w:r>
      <w:r>
        <w:rPr>
          <w:rFonts w:ascii="Arial" w:cs="Arial" w:eastAsia="Arial" w:hAnsi="Arial"/>
          <w:sz w:val="18"/>
          <w:szCs w:val="18"/>
          <w:color w:val="auto"/>
        </w:rPr>
        <w:t>” means Diamondback O&amp;G LLC, a Delaware limited liability company, Diamondback E&amp;P LLC, a Delaware limited liability company, and Viper Energy Partners LLC, a Delaware limited liability company.</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w:t>
      </w:r>
      <w:r>
        <w:rPr>
          <w:rFonts w:ascii="Arial" w:cs="Arial" w:eastAsia="Arial" w:hAnsi="Arial"/>
          <w:sz w:val="18"/>
          <w:szCs w:val="18"/>
          <w:color w:val="auto"/>
        </w:rPr>
        <w:t>,” when used with respect to an Original Issue Discount Security which by its terms bears interest only after Maturity, means interest payable after Maturity.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Interest Payment Date</w:t>
      </w:r>
      <w:r>
        <w:rPr>
          <w:rFonts w:ascii="Arial" w:cs="Arial" w:eastAsia="Arial" w:hAnsi="Arial"/>
          <w:sz w:val="17"/>
          <w:szCs w:val="17"/>
          <w:color w:val="auto"/>
        </w:rPr>
        <w:t>,” when used with respect to any Security, means the Stated Maturity of an installment of interest on such Security.</w:t>
      </w:r>
    </w:p>
    <w:p>
      <w:pPr>
        <w:spacing w:after="0" w:line="237"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Maturity</w:t>
      </w:r>
      <w:r>
        <w:rPr>
          <w:rFonts w:ascii="Arial" w:cs="Arial" w:eastAsia="Arial" w:hAnsi="Arial"/>
          <w:sz w:val="16"/>
          <w:szCs w:val="16"/>
          <w:color w:val="auto"/>
        </w:rPr>
        <w:t>,”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of Default</w:t>
      </w:r>
      <w:r>
        <w:rPr>
          <w:rFonts w:ascii="Arial" w:cs="Arial" w:eastAsia="Arial" w:hAnsi="Arial"/>
          <w:sz w:val="18"/>
          <w:szCs w:val="18"/>
          <w:color w:val="auto"/>
        </w:rPr>
        <w:t xml:space="preserve">” means a written notice of the kind specified in </w:t>
      </w:r>
      <w:r>
        <w:rPr>
          <w:rFonts w:ascii="Arial" w:cs="Arial" w:eastAsia="Arial" w:hAnsi="Arial"/>
          <w:sz w:val="18"/>
          <w:szCs w:val="18"/>
          <w:u w:val="single" w:color="auto"/>
          <w:color w:val="auto"/>
        </w:rPr>
        <w:t>Section 5.01(4)</w:t>
      </w:r>
      <w:r>
        <w:rPr>
          <w:rFonts w:ascii="Arial" w:cs="Arial" w:eastAsia="Arial" w:hAnsi="Arial"/>
          <w:sz w:val="18"/>
          <w:szCs w:val="18"/>
          <w:color w:val="auto"/>
        </w:rPr>
        <w: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74" w:right="319" w:bottom="1440" w:gutter="0" w:footer="0" w:header="0"/>
        </w:sectPr>
      </w:pPr>
    </w:p>
    <w:bookmarkStart w:id="66" w:name="page67"/>
    <w:bookmarkEnd w:id="66"/>
    <w:p>
      <w:pPr>
        <w:jc w:val="both"/>
        <w:ind w:right="2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with respect to any Person, the Chairman of the Board, the Chief Executive Officer, the President, the Chief Operating Officer, the Chief Financial Officer, the Treasurer, any Assistant Treasurer, the Controller, the Secretary or any Vice-President of such Person or in the case of a Person that is a partnership that has no such officers, any such officer of a general partner of such Person.</w:t>
      </w:r>
    </w:p>
    <w:p>
      <w:pPr>
        <w:spacing w:after="0" w:line="18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xml:space="preserve">” means a certificate signed on behalf of the Company by at least two Officers of the Company, one of whom shall be the principal executive officer, the principal financial officer, the treasurer or the principal accounting officer of the Company, that meets the requirements of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Opinion of Counsel</w:t>
      </w:r>
      <w:r>
        <w:rPr>
          <w:rFonts w:ascii="Arial" w:cs="Arial" w:eastAsia="Arial" w:hAnsi="Arial"/>
          <w:sz w:val="18"/>
          <w:szCs w:val="18"/>
          <w:color w:val="auto"/>
        </w:rPr>
        <w:t xml:space="preserve">” means a written opinion from legal counsel (who may be an employee of or counsel for the Company or any Affiliate thereof) who is reasonably acceptable to the Trustee that meets the requirements of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Issue Discount Security</w:t>
      </w:r>
      <w:r>
        <w:rPr>
          <w:rFonts w:ascii="Arial" w:cs="Arial" w:eastAsia="Arial" w:hAnsi="Arial"/>
          <w:sz w:val="18"/>
          <w:szCs w:val="18"/>
          <w:color w:val="auto"/>
        </w:rPr>
        <w:t xml:space="preserve">” means any Security which provides for an amount less than the principal amount thereof to be due and payable upon a declaration of acceleration of the Maturity thereof pursuant to </w:t>
      </w:r>
      <w:r>
        <w:rPr>
          <w:rFonts w:ascii="Arial" w:cs="Arial" w:eastAsia="Arial" w:hAnsi="Arial"/>
          <w:sz w:val="18"/>
          <w:szCs w:val="18"/>
          <w:u w:val="single" w:color="auto"/>
          <w:color w:val="auto"/>
        </w:rPr>
        <w:t>Section 5.02</w:t>
      </w:r>
      <w:r>
        <w:rPr>
          <w:rFonts w:ascii="Arial" w:cs="Arial" w:eastAsia="Arial" w:hAnsi="Arial"/>
          <w:sz w:val="18"/>
          <w:szCs w:val="18"/>
          <w:color w:val="auto"/>
        </w:rPr>
        <w:t>.</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Outstanding</w:t>
      </w:r>
      <w:r>
        <w:rPr>
          <w:rFonts w:ascii="Arial" w:cs="Arial" w:eastAsia="Arial" w:hAnsi="Arial"/>
          <w:sz w:val="18"/>
          <w:szCs w:val="18"/>
          <w:color w:val="auto"/>
        </w:rPr>
        <w:t>,” when used with respect to Securities, means, as of the date of determination, all Securities theretofore authenticated and delivered under this Indenture, except:</w:t>
      </w:r>
    </w:p>
    <w:p>
      <w:pPr>
        <w:spacing w:after="0" w:line="62" w:lineRule="exact"/>
        <w:rPr>
          <w:sz w:val="20"/>
          <w:szCs w:val="20"/>
          <w:color w:val="auto"/>
        </w:rPr>
      </w:pPr>
    </w:p>
    <w:p>
      <w:pPr>
        <w:ind w:left="1160" w:hanging="257"/>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117" w:lineRule="exact"/>
        <w:rPr>
          <w:rFonts w:ascii="Arial" w:cs="Arial" w:eastAsia="Arial" w:hAnsi="Arial"/>
          <w:sz w:val="18"/>
          <w:szCs w:val="18"/>
          <w:color w:val="auto"/>
        </w:rPr>
      </w:pPr>
    </w:p>
    <w:p>
      <w:pPr>
        <w:ind w:left="460" w:firstLine="443"/>
        <w:spacing w:after="0" w:line="259" w:lineRule="auto"/>
        <w:tabs>
          <w:tab w:leader="none" w:pos="11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Securities are to be redeemed, notice of such redemption has been duly given pursuant to this Indenture or provision therefor satisfactory to the Trustee has been made;</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Securities as to which Defeasance has been effected pursuant to </w:t>
      </w:r>
      <w:r>
        <w:rPr>
          <w:rFonts w:ascii="Arial" w:cs="Arial" w:eastAsia="Arial" w:hAnsi="Arial"/>
          <w:sz w:val="18"/>
          <w:szCs w:val="18"/>
          <w:u w:val="single" w:color="auto"/>
          <w:color w:val="auto"/>
        </w:rPr>
        <w:t>Section 13.02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40" w:firstLine="443"/>
        <w:spacing w:after="0" w:line="312" w:lineRule="auto"/>
        <w:tabs>
          <w:tab w:leader="none" w:pos="1153"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Securities which have been paid pursuant to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protected purchaser in whose hands such Securities are valid obligations of the Company; and</w:t>
      </w:r>
    </w:p>
    <w:p>
      <w:pPr>
        <w:spacing w:after="0" w:line="38" w:lineRule="exact"/>
        <w:rPr>
          <w:rFonts w:ascii="Arial" w:cs="Arial" w:eastAsia="Arial" w:hAnsi="Arial"/>
          <w:sz w:val="16"/>
          <w:szCs w:val="16"/>
          <w:color w:val="auto"/>
        </w:rPr>
      </w:pPr>
    </w:p>
    <w:p>
      <w:pPr>
        <w:ind w:left="460" w:right="100" w:firstLine="443"/>
        <w:spacing w:after="0" w:line="342" w:lineRule="auto"/>
        <w:tabs>
          <w:tab w:leader="none" w:pos="1153"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Securities as to which any property deliverable upon conversion thereof has been delivered (or such delivery has been duly provided for), or as to which any other particular conditions have been satisfied, in each case as may be provided for such Securities as contemplated in </w:t>
      </w:r>
      <w:r>
        <w:rPr>
          <w:rFonts w:ascii="Arial" w:cs="Arial" w:eastAsia="Arial" w:hAnsi="Arial"/>
          <w:sz w:val="16"/>
          <w:szCs w:val="16"/>
          <w:u w:val="single" w:color="auto"/>
          <w:color w:val="auto"/>
        </w:rPr>
        <w:t>Section 3.01</w:t>
      </w:r>
      <w:r>
        <w:rPr>
          <w:rFonts w:ascii="Arial" w:cs="Arial" w:eastAsia="Arial" w:hAnsi="Arial"/>
          <w:sz w:val="16"/>
          <w:szCs w:val="16"/>
          <w:color w:val="auto"/>
        </w:rPr>
        <w:t>;</w:t>
      </w:r>
    </w:p>
    <w:p>
      <w:pPr>
        <w:spacing w:after="0" w:line="16"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in determining whether the Holders of the requisite principal amount of the Outstanding Securities have given, made or taken any</w:t>
      </w:r>
      <w:r>
        <w:rPr>
          <w:rFonts w:ascii="Arial" w:cs="Arial" w:eastAsia="Arial" w:hAnsi="Arial"/>
          <w:sz w:val="17"/>
          <w:szCs w:val="17"/>
          <w:i w:val="1"/>
          <w:iCs w:val="1"/>
          <w:color w:val="auto"/>
        </w:rPr>
        <w:t xml:space="preserve"> </w:t>
      </w:r>
      <w:r>
        <w:rPr>
          <w:rFonts w:ascii="Arial" w:cs="Arial" w:eastAsia="Arial" w:hAnsi="Arial"/>
          <w:sz w:val="17"/>
          <w:szCs w:val="17"/>
          <w:color w:val="auto"/>
        </w:rPr>
        <w:t>request, demand, authorization, direction, notice, consent, waiver or other action hereunder as of any date, (A) the principal</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67" w:name="page68"/>
    <w:bookmarkEnd w:id="6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amount of an Original Issue Discount Security which shall be deemed to be Outstanding shall be the amount of the principal thereof which would be due and payable as of such date upon acceleration of the Maturity thereof to such date pursuant to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(B) if, as of such date, the principal amount payable at the Stated Maturity of a Security is not determinable, the principal amount of such Security which shall be deemed to be Outstanding shall be the amount as specified or determined as contemplated by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(C) the principal amount of a Security denominated in one or more foreign currencies, composite currencies or currency units which shall be deemed to be Outstanding shall be the U.S. dollar equivalent, determined as of such date in the manner provided as contemplated by </w:t>
      </w:r>
      <w:r>
        <w:rPr>
          <w:rFonts w:ascii="Arial" w:cs="Arial" w:eastAsia="Arial" w:hAnsi="Arial"/>
          <w:sz w:val="16"/>
          <w:szCs w:val="16"/>
          <w:u w:val="single" w:color="auto"/>
          <w:color w:val="auto"/>
        </w:rPr>
        <w:t>Section 3.01</w:t>
      </w:r>
      <w:r>
        <w:rPr>
          <w:rFonts w:ascii="Arial" w:cs="Arial" w:eastAsia="Arial" w:hAnsi="Arial"/>
          <w:sz w:val="16"/>
          <w:szCs w:val="16"/>
          <w:color w:val="auto"/>
        </w:rPr>
        <w:t>, of the principal amount of such Security (or, in the case of a Security described in Clause (A) or (B) above, of the amount determined as provided in such Clause), and (D) Securities owned by the Company, any Guarantor of the Securities or any other obligor upon the Securities or any Affiliate of the Company or any such Guarantor or of such other obligor shall be disregarded and deemed not to be Outstanding, except that, in determining whether the Trustee shall be protected in relying upon any such request, demand, authorization, direction, notice, consent, waiver or other action, only Securities which a Responsible Officer of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Guarantor of such Securities or any other obligor upon the Securities or any Affiliate of the Company or a Guarantor of the Securities or such other obligor.</w:t>
      </w:r>
    </w:p>
    <w:p>
      <w:pPr>
        <w:spacing w:after="0" w:line="17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Paying Agent</w:t>
      </w:r>
      <w:r>
        <w:rPr>
          <w:rFonts w:ascii="Arial" w:cs="Arial" w:eastAsia="Arial" w:hAnsi="Arial"/>
          <w:sz w:val="18"/>
          <w:szCs w:val="18"/>
          <w:color w:val="auto"/>
        </w:rPr>
        <w:t>” means any Person authorized by the Company to pay the principal of or any premium or interest on any Securities on behalf of the Company.</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partnership, joint venture, trust, unincorporated organization or government or any agency or political subdivision thereof.</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Place of Payment</w:t>
      </w:r>
      <w:r>
        <w:rPr>
          <w:rFonts w:ascii="Arial" w:cs="Arial" w:eastAsia="Arial" w:hAnsi="Arial"/>
          <w:sz w:val="18"/>
          <w:szCs w:val="18"/>
          <w:color w:val="auto"/>
        </w:rPr>
        <w:t xml:space="preserve">,” when used with respect to the Securities of any series and subject to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means the place or places where the principal of and any premium and interest on the Securities of that series are payable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Predecessor Security</w:t>
      </w:r>
      <w:r>
        <w:rPr>
          <w:rFonts w:ascii="Arial" w:cs="Arial" w:eastAsia="Arial" w:hAnsi="Arial"/>
          <w:sz w:val="18"/>
          <w:szCs w:val="18"/>
          <w:color w:val="auto"/>
        </w:rPr>
        <w:t xml:space="preserve">” of any particular Security means every previous Security evidencing all or a portion of the same debt as that evidenced by such particular Security; and, for the purposes of this definition, any Security authenticated and delivered under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in exchange for or in lieu of a mutilated, destroyed, lost or wrongfully taken Security shall be deemed to evidence the same debt as the mutilated, destroyed, lost or wrongfully taken Security.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Redemption Date</w:t>
      </w:r>
      <w:r>
        <w:rPr>
          <w:rFonts w:ascii="Arial" w:cs="Arial" w:eastAsia="Arial" w:hAnsi="Arial"/>
          <w:sz w:val="16"/>
          <w:szCs w:val="16"/>
          <w:color w:val="auto"/>
        </w:rPr>
        <w:t>,” when used with respect to any Security to be redeemed, means the date fixed for such redemption by or pursuant to this Indenture.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Redemption Price</w:t>
      </w:r>
      <w:r>
        <w:rPr>
          <w:rFonts w:ascii="Arial" w:cs="Arial" w:eastAsia="Arial" w:hAnsi="Arial"/>
          <w:sz w:val="16"/>
          <w:szCs w:val="16"/>
          <w:color w:val="auto"/>
        </w:rPr>
        <w:t>,” when used with respect to any Security to be redeemed, means the price at which it is to be redeemed pursuant to this Indenture.</w:t>
      </w:r>
    </w:p>
    <w:p>
      <w:pPr>
        <w:spacing w:after="0" w:line="24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Regular Record Date</w:t>
      </w:r>
      <w:r>
        <w:rPr>
          <w:rFonts w:ascii="Arial" w:cs="Arial" w:eastAsia="Arial" w:hAnsi="Arial"/>
          <w:sz w:val="18"/>
          <w:szCs w:val="18"/>
          <w:color w:val="auto"/>
        </w:rPr>
        <w:t xml:space="preserve">” for the interest payable on any Interest Payment Date on the Securities of any series, means the date specified for that purpose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68" w:name="page69"/>
    <w:bookmarkEnd w:id="68"/>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Responsible Officer</w:t>
      </w:r>
      <w:r>
        <w:rPr>
          <w:rFonts w:ascii="Arial" w:cs="Arial" w:eastAsia="Arial" w:hAnsi="Arial"/>
          <w:sz w:val="18"/>
          <w:szCs w:val="18"/>
          <w:color w:val="auto"/>
        </w:rPr>
        <w:t>,” when used with respect to the Trustee, means any officer within the corporate trust department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has the meaning stated in the first recital of this Indenture and more particularly means any Securities authenticated and delivered under this Indenture.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and any statute successor thereto, in each case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Register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Security Registrar</w:t>
      </w:r>
      <w:r>
        <w:rPr>
          <w:rFonts w:ascii="Arial" w:cs="Arial" w:eastAsia="Arial" w:hAnsi="Arial"/>
          <w:sz w:val="18"/>
          <w:szCs w:val="18"/>
          <w:color w:val="auto"/>
        </w:rPr>
        <w:t xml:space="preserve">” have the respective meanings specified in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Record Date</w:t>
      </w:r>
      <w:r>
        <w:rPr>
          <w:rFonts w:ascii="Arial" w:cs="Arial" w:eastAsia="Arial" w:hAnsi="Arial"/>
          <w:sz w:val="18"/>
          <w:szCs w:val="18"/>
          <w:color w:val="auto"/>
        </w:rPr>
        <w:t xml:space="preserve">” for the payment of any Defaulted Interest, means a date fixed by the Trustee pursuant to </w:t>
      </w:r>
      <w:r>
        <w:rPr>
          <w:rFonts w:ascii="Arial" w:cs="Arial" w:eastAsia="Arial" w:hAnsi="Arial"/>
          <w:sz w:val="18"/>
          <w:szCs w:val="18"/>
          <w:u w:val="single" w:color="auto"/>
          <w:color w:val="auto"/>
        </w:rPr>
        <w:t>Section 3.07</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Stated Maturity</w:t>
      </w:r>
      <w:r>
        <w:rPr>
          <w:rFonts w:ascii="Arial" w:cs="Arial" w:eastAsia="Arial" w:hAnsi="Arial"/>
          <w:sz w:val="17"/>
          <w:szCs w:val="17"/>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4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with respect to any Person, means any (i) corporation (other than a partnership) of which the outstanding capital stock having a majority of the votes entitled to be cast in the election of directors, managers or trustees of such corporation under ordinary circumstances shall at the time be owned, directly or indirectly, by such Person or any other Person of which a majority of the voting interests under ordinary circumstances is at the time, directly or indirectly, owned by such Person or (ii) 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5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 Indenture Act</w:t>
      </w:r>
      <w:r>
        <w:rPr>
          <w:rFonts w:ascii="Arial" w:cs="Arial" w:eastAsia="Arial" w:hAnsi="Arial"/>
          <w:sz w:val="18"/>
          <w:szCs w:val="18"/>
          <w:color w:val="auto"/>
        </w:rPr>
        <w:t xml:space="preserve">” means the Trust Indenture Act of 1939 as in force at the date as of which this Indenture was executed;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the Trust Indenture Act of 1939 is amended after such date, “Trust Indenture Act” means, to the extent required by any such amendment, the Trust Indenture Act of 1939 as so amended.</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Uniform Commercial Code</w:t>
      </w:r>
      <w:r>
        <w:rPr>
          <w:rFonts w:ascii="Arial" w:cs="Arial" w:eastAsia="Arial" w:hAnsi="Arial"/>
          <w:sz w:val="18"/>
          <w:szCs w:val="18"/>
          <w:color w:val="auto"/>
        </w:rPr>
        <w:t>” means the Uniform Commercial Code in effect in the State of Delaware or the State of New York, as applicable, in each case as amended from time to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69" w:name="page70"/>
    <w:bookmarkEnd w:id="6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U.S. Government Obligation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13.04</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Vice President</w:t>
      </w:r>
      <w:r>
        <w:rPr>
          <w:rFonts w:ascii="Arial" w:cs="Arial" w:eastAsia="Arial" w:hAnsi="Arial"/>
          <w:sz w:val="16"/>
          <w:szCs w:val="16"/>
          <w:color w:val="auto"/>
        </w:rPr>
        <w:t>,” when used with respect to the Company, any Guarantor or the Trustee, means any executive vice president or senior vice president, whether or not designated by a number or a word or words added before or after the title “executive vice president” or “senior vice president.”</w:t>
      </w:r>
    </w:p>
    <w:p>
      <w:pPr>
        <w:spacing w:after="0" w:line="12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Compliance Certificates and Opinions</w:t>
      </w:r>
      <w:r>
        <w:rPr>
          <w:rFonts w:ascii="Arial" w:cs="Arial" w:eastAsia="Arial" w:hAnsi="Arial"/>
          <w:sz w:val="17"/>
          <w:szCs w:val="17"/>
          <w:color w:val="auto"/>
        </w:rPr>
        <w:t>. Upon any application or request by the Company or a Guarantor to the Trustee to take any action under any provision of this Indenture, the Company or such Guarantor, as the case may be, shall furnish to the Trustee such certificates and opinions as may be required under the Trust Indenture Act. Each such certificate or opinion shall be given in the form of an Officers’ Certificate, if to be given by an officer of the Company, or a Guarantor’s Officers’ Certificate, if to be given by an officer of any Guarantor, or an Opinion of Counsel, if to be given by counsel, and shall comply with the requirements of the Trust Indenture Act and any other requirements set forth in this Indenture.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shall include:</w:t>
      </w:r>
    </w:p>
    <w:p>
      <w:pPr>
        <w:spacing w:after="0" w:line="117" w:lineRule="exact"/>
        <w:rPr>
          <w:sz w:val="20"/>
          <w:szCs w:val="20"/>
          <w:color w:val="auto"/>
        </w:rPr>
      </w:pPr>
    </w:p>
    <w:p>
      <w:pPr>
        <w:ind w:left="1160" w:hanging="257"/>
        <w:spacing w:after="0"/>
        <w:tabs>
          <w:tab w:leader="none" w:pos="11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covenant or condition and the definitions herein relating</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102" w:lineRule="exact"/>
        <w:rPr>
          <w:rFonts w:ascii="Arial" w:cs="Arial" w:eastAsia="Arial" w:hAnsi="Arial"/>
          <w:sz w:val="16"/>
          <w:szCs w:val="16"/>
          <w:color w:val="auto"/>
        </w:rPr>
      </w:pPr>
    </w:p>
    <w:p>
      <w:pPr>
        <w:ind w:left="460" w:right="440" w:firstLine="443"/>
        <w:spacing w:after="0" w:line="277" w:lineRule="auto"/>
        <w:tabs>
          <w:tab w:leader="none" w:pos="11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460" w:right="520" w:firstLine="443"/>
        <w:spacing w:after="0" w:line="277" w:lineRule="auto"/>
        <w:tabs>
          <w:tab w:leader="none" w:pos="11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Form of Documents Delivered to Trustee</w:t>
      </w:r>
      <w:r>
        <w:rPr>
          <w:rFonts w:ascii="Arial" w:cs="Arial" w:eastAsia="Arial" w:hAnsi="Arial"/>
          <w:sz w:val="17"/>
          <w:szCs w:val="17"/>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Any certificate or opinion of an officer of the Company or a Guarantor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or representation by, counsel may be based, insofar as it relates to factual matters, upon a certificate or opinion of, or representations by, an officer or officers of the Company or such Guarantor, as the case may be, stating that the information with respect to such factual matters is in the possession of the Company or such Guarantor, as the case may be, unless such counsel knows that the certificate or opinion or representations with respect to such matters are erroneous.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70" w:name="page71"/>
    <w:bookmarkEnd w:id="70"/>
    <w:p>
      <w:pPr>
        <w:ind w:right="7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 any Person is required to make, give or execute two or more applications, requests, consents, certificates, statements, opinions or other instruments under this Indenture, they may, but need not, be consolidated and form one instrument.</w:t>
      </w:r>
    </w:p>
    <w:p>
      <w:pPr>
        <w:spacing w:after="0" w:line="17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Acts of Holders; Record Dates</w:t>
      </w:r>
      <w:r>
        <w:rPr>
          <w:rFonts w:ascii="Arial" w:cs="Arial" w:eastAsia="Arial" w:hAnsi="Arial"/>
          <w:sz w:val="18"/>
          <w:szCs w:val="18"/>
          <w:color w:val="auto"/>
        </w:rPr>
        <w:t xml:space="preserve">. 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an agent or agents duly appointed in writing; and, except as herein otherwise expressly provided, such action shall become effective when such instrument or instruments are delivered to the Trustee and, where it is hereby expressly required, to the Company and any Guarantor.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w:t>
      </w:r>
      <w:r>
        <w:rPr>
          <w:rFonts w:ascii="Arial" w:cs="Arial" w:eastAsia="Arial" w:hAnsi="Arial"/>
          <w:sz w:val="18"/>
          <w:szCs w:val="18"/>
          <w:u w:val="single" w:color="auto"/>
          <w:color w:val="auto"/>
        </w:rPr>
        <w:t>Section 6.01</w:t>
      </w:r>
      <w:r>
        <w:rPr>
          <w:rFonts w:ascii="Arial" w:cs="Arial" w:eastAsia="Arial" w:hAnsi="Arial"/>
          <w:sz w:val="18"/>
          <w:szCs w:val="18"/>
          <w:color w:val="auto"/>
        </w:rPr>
        <w:t>) conclusive in favor of the Trustee, the Company and any Guarantor, if made in the manner provided in this Section.</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Without limiting the generality of this Section, unless otherwise provided in or pursuant to this Indenture, (i) a Holder, including a Depositary or its nominee that is a Holder of a Global Security, may give, make or take, by an agent or agents duly appointed in writing, any request, demand, authorization, direction, notice, consent, waiver or other action provided or permitted in or pursuant to this Indenture to be given, made or taken by Holders, and a Depositary or its nominee that is a Holder of a Global Security may duly appoint in writing as its agent or agents members of, or participants in, such Depositary holding interests in such Global Security in the records of such Depositary; and (ii) with respect to any Global Security the Depositary for which is The Depository Trust Company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DTC</w:t>
      </w:r>
      <w:r>
        <w:rPr>
          <w:rFonts w:ascii="Arial" w:cs="Arial" w:eastAsia="Arial" w:hAnsi="Arial"/>
          <w:sz w:val="17"/>
          <w:szCs w:val="17"/>
          <w:b w:val="1"/>
          <w:bCs w:val="1"/>
          <w:color w:val="auto"/>
        </w:rPr>
        <w:t>”</w:t>
      </w:r>
      <w:r>
        <w:rPr>
          <w:rFonts w:ascii="Arial" w:cs="Arial" w:eastAsia="Arial" w:hAnsi="Arial"/>
          <w:sz w:val="17"/>
          <w:szCs w:val="17"/>
          <w:color w:val="auto"/>
        </w:rPr>
        <w:t xml:space="preserve">), any consent or other action given, made or taken by an “agent member” of DTC by electronic means in accordance with the Automated Tender Offer Procedures system or other Applicable Procedures of, and pursuant to authorization by, DTC shall be deemed to constitute the “Act” of the Holder of such Global Security, and such Act shall be deemed to have been delivered to the Company, any Guarantor and the Trustee upon the delivery by DTC of an </w:t>
      </w:r>
      <w:r>
        <w:rPr>
          <w:rFonts w:ascii="Arial" w:cs="Arial" w:eastAsia="Arial" w:hAnsi="Arial"/>
          <w:sz w:val="17"/>
          <w:szCs w:val="17"/>
          <w:i w:val="1"/>
          <w:iCs w:val="1"/>
          <w:color w:val="auto"/>
        </w:rPr>
        <w:t>“</w:t>
      </w:r>
      <w:r>
        <w:rPr>
          <w:rFonts w:ascii="Arial" w:cs="Arial" w:eastAsia="Arial" w:hAnsi="Arial"/>
          <w:sz w:val="17"/>
          <w:szCs w:val="17"/>
          <w:color w:val="auto"/>
        </w:rPr>
        <w:t>agent’s message” or other notice of such consent or other action having been so given, made or taken in accordance with the Applicable Procedures of DTC.</w:t>
      </w:r>
    </w:p>
    <w:p>
      <w:pPr>
        <w:spacing w:after="0" w:line="178"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The fact and date of the execution by any Person of any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ownership of Securities shall be proved by the Security Register.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71" w:name="page72"/>
    <w:bookmarkEnd w:id="71"/>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or any Guarantor in reliance thereon, whether or not notation of such action is made upon such Security.</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With respect to Securities of any series, the Company and, if provided in the terms of any Guarantees of any Guarantor of Securities of such series, any such Guarantor may set any day as a record date for the purpose of determining the Holders of Outstanding Securities of such series entitled to give, make or take any request, demand, authorization, direction, notice, consent, waiver or other action provided or permitted by this Indenture to be given, made or taken by Holders of Securities of such series, provided that neither the Company nor such Guarantor may set a record date for, and the provisions of this paragraph shall not apply with respect to, the giving, making or taking of any notice, declaration, request or direction referred to in the next paragraph. If any record date is set pursuant to this paragraph, the Holders of Outstanding Securities of the relevant series on such record date, and no other Holders, shall be entitled to give, make or take the relevant action, whether or not such Holders remain Holders after such record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 such action shall be effective hereunder unless given, made or taken on or prior to the applicable Expiration Date by Holders of the requisite principal amount of Outstanding Securities of such series on such record date. Nothing in this paragraph shall be construed to prevent the Company or any such Guarantor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given, made or taken by Holders of the requisite principal amount of Outstanding Securities of the relevant series on the date such action is given, made or taken. Promptly after any record date is set pursuant to this paragraph, the Company or such Guarantor, as the case may be, at its own expense, shall cause notice of such record date, the proposed action by Holders and the applicable Expiration Date to be given to the Trustee in writing and to each Holder of Securities of the relevant series in the manner set forth in </w:t>
      </w:r>
      <w:r>
        <w:rPr>
          <w:rFonts w:ascii="Arial" w:cs="Arial" w:eastAsia="Arial" w:hAnsi="Arial"/>
          <w:sz w:val="16"/>
          <w:szCs w:val="16"/>
          <w:u w:val="single" w:color="auto"/>
          <w:color w:val="auto"/>
        </w:rPr>
        <w:t>Sections 1.05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1.06</w:t>
      </w:r>
      <w:r>
        <w:rPr>
          <w:rFonts w:ascii="Arial" w:cs="Arial" w:eastAsia="Arial" w:hAnsi="Arial"/>
          <w:sz w:val="16"/>
          <w:szCs w:val="16"/>
          <w:color w:val="auto"/>
        </w:rPr>
        <w:t>.</w:t>
      </w:r>
    </w:p>
    <w:p>
      <w:pPr>
        <w:spacing w:after="0" w:line="169"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 xml:space="preserve">The Trustee may set any day as a record date for the purpose of determining the Holders of Outstanding Securities of any series entitled to join in the giving, making or taking of (i) any Notice of Default, (ii) any declaration of acceleration referred to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(iii) any request to institute proceedings referred to in </w:t>
      </w:r>
      <w:r>
        <w:rPr>
          <w:rFonts w:ascii="Arial" w:cs="Arial" w:eastAsia="Arial" w:hAnsi="Arial"/>
          <w:sz w:val="17"/>
          <w:szCs w:val="17"/>
          <w:u w:val="single" w:color="auto"/>
          <w:color w:val="auto"/>
        </w:rPr>
        <w:t>Section 5.07(2)</w:t>
      </w:r>
      <w:r>
        <w:rPr>
          <w:rFonts w:ascii="Arial" w:cs="Arial" w:eastAsia="Arial" w:hAnsi="Arial"/>
          <w:sz w:val="17"/>
          <w:szCs w:val="17"/>
          <w:color w:val="auto"/>
        </w:rPr>
        <w:t xml:space="preserve"> or (iv) any direction referred to in </w:t>
      </w:r>
      <w:r>
        <w:rPr>
          <w:rFonts w:ascii="Arial" w:cs="Arial" w:eastAsia="Arial" w:hAnsi="Arial"/>
          <w:sz w:val="17"/>
          <w:szCs w:val="17"/>
          <w:u w:val="single" w:color="auto"/>
          <w:color w:val="auto"/>
        </w:rPr>
        <w:t>Section 5.12</w:t>
      </w:r>
      <w:r>
        <w:rPr>
          <w:rFonts w:ascii="Arial" w:cs="Arial" w:eastAsia="Arial" w:hAnsi="Arial"/>
          <w:sz w:val="17"/>
          <w:szCs w:val="17"/>
          <w:color w:val="auto"/>
        </w:rPr>
        <w:t xml:space="preserve">, in each case with respect to Securities of such series. If any record date is set pursuant to this paragraph, the Holders of Outstanding Securities of such series on such record date, and no other Holders, shall be entitled to give, make or take such notice, declaration, request or direction, whether or not such Holders remain Holders after such record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action shall be effective hereunder unless given, made or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given, made or taken by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72" w:name="page73"/>
    <w:bookmarkEnd w:id="72"/>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Holders of the requisite principal amount of Outstanding Securities of the relevant series on the date such action is given, made or taken. Promptly after any record date is set pursuant to this paragraph, the Trustee, at the Company’s expense, shall cause notice of such record date, the proposed action by Holders and the applicable Expiration Date to be given to the Company and any Guarantor in writing and to each Holder of Securities of the relevant series in the manner set forth in </w:t>
      </w:r>
      <w:r>
        <w:rPr>
          <w:rFonts w:ascii="Arial" w:cs="Arial" w:eastAsia="Arial" w:hAnsi="Arial"/>
          <w:sz w:val="18"/>
          <w:szCs w:val="18"/>
          <w:u w:val="single" w:color="auto"/>
          <w:color w:val="auto"/>
        </w:rPr>
        <w:t>Sections 1.05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1.06</w:t>
      </w:r>
      <w:r>
        <w:rPr>
          <w:rFonts w:ascii="Arial" w:cs="Arial" w:eastAsia="Arial" w:hAnsi="Arial"/>
          <w:sz w:val="18"/>
          <w:szCs w:val="18"/>
          <w:color w:val="auto"/>
        </w:rPr>
        <w:t>.</w:t>
      </w:r>
    </w:p>
    <w:p>
      <w:pPr>
        <w:spacing w:after="0" w:line="18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With respect to any record date set pursuant to this Section, the party hereto which sets such record date may designate any day as the “</w:t>
      </w:r>
      <w:r>
        <w:rPr>
          <w:rFonts w:ascii="Arial" w:cs="Arial" w:eastAsia="Arial" w:hAnsi="Arial"/>
          <w:sz w:val="17"/>
          <w:szCs w:val="17"/>
          <w:b w:val="1"/>
          <w:bCs w:val="1"/>
          <w:i w:val="1"/>
          <w:iCs w:val="1"/>
          <w:color w:val="auto"/>
        </w:rPr>
        <w:t>Expiration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Date</w:t>
      </w:r>
      <w:r>
        <w:rPr>
          <w:rFonts w:ascii="Arial" w:cs="Arial" w:eastAsia="Arial" w:hAnsi="Arial"/>
          <w:sz w:val="17"/>
          <w:szCs w:val="17"/>
          <w:color w:val="auto"/>
        </w:rPr>
        <w:t>” and from time to time may change the Expiration Date to any earlier or later day;</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no such change shall be effective unless notice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proposed new Expiration Date is given to the other party hereto in writing, and to each Holder of Securities of the relevant series in the manner set forth in </w:t>
      </w:r>
      <w:r>
        <w:rPr>
          <w:rFonts w:ascii="Arial" w:cs="Arial" w:eastAsia="Arial" w:hAnsi="Arial"/>
          <w:sz w:val="17"/>
          <w:szCs w:val="17"/>
          <w:u w:val="single" w:color="auto"/>
          <w:color w:val="auto"/>
        </w:rPr>
        <w:t>Section 1.06</w:t>
      </w:r>
      <w:r>
        <w:rPr>
          <w:rFonts w:ascii="Arial" w:cs="Arial" w:eastAsia="Arial" w:hAnsi="Arial"/>
          <w:sz w:val="17"/>
          <w:szCs w:val="17"/>
          <w:color w:val="auto"/>
        </w:rPr>
        <w:t>,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to an earlier day as provided in this paragraph. Notwithstanding the foregoing, no Expiration Date shall be later than the 180th day after the applicable record date.</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Without limiting the foregoing, a Holder entitled hereunder to give, make or take any action hereunder with regard to any particular Security may do so, in person or by an agent duly appointed in writing, with regard to all or any part of the principal amount of such Security.</w:t>
      </w:r>
    </w:p>
    <w:p>
      <w:pPr>
        <w:spacing w:after="0" w:line="170"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Notices, Etc., to Trustee, Company and Guarantors</w:t>
      </w:r>
      <w:r>
        <w:rPr>
          <w:rFonts w:ascii="Arial" w:cs="Arial" w:eastAsia="Arial" w:hAnsi="Arial"/>
          <w:sz w:val="17"/>
          <w:szCs w:val="17"/>
          <w:color w:val="auto"/>
        </w:rPr>
        <w:t>. Any request, demand, authorization, direction, notice, consent, waiver or Act of Holders or other document provided or permitted by this Indenture to be made upon, given or furnished to, or filed with, (1) the Trustee by any Holder or by the Company or any Guarantor shall be sufficient for every purpose hereunder (unless otherwise herein expressly provided) if made, given, furnished or filed in writing and delivered in Person, mailed by first class mail (registered or certified, return receipt requested), transmitted by facsimile or sent by overnight courier guaranteeing next Business Day delivery to or with the Trustee addressed to it at its Corporate Trust Office or (2) the Company or a Guarantor by the Trustee or by any Holder shall be sufficient for every purpose hereunder (unless otherwise herein expressly provided) if made, given, furnished or filed in writing and delivered in Person, mailed by first class mail (registered or certified, return receipt requested), transmitted by facsimile or sent by overnight courier guaranteeing next Business Day delivery, to or with the Company or such Guarantor, as the case may be, addressed to it at the address of its principal office specified in the first paragraph of this instrument, Attention: Chief Financial Officer, or at any other address previously furnished in writing to the Trustee by the Company.</w:t>
      </w:r>
    </w:p>
    <w:p>
      <w:pPr>
        <w:spacing w:after="0" w:line="17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All requests, demands, authorizations, directions, notices, consents, waivers or Acts of Holders or other such documents made, given, furnished or filed with or to the Trustee, the Company or any Guarantor shall be deemed to have been duly made, given furnished or filed: (i) at the time delivered by hand, if personally delivered; (ii) five calendar days after being deposited in the mail, postage prepaid, if mailed; (iii) when receipt is acknowledged, if telecopied; and</w:t>
      </w:r>
    </w:p>
    <w:p>
      <w:pPr>
        <w:ind w:right="420" w:firstLine="8"/>
        <w:spacing w:after="0" w:line="261" w:lineRule="auto"/>
        <w:tabs>
          <w:tab w:leader="none" w:pos="3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next Business Day after timely delivery to the courier, if sent by overnight air courier guaranteeing next Business Day delivery. Notices given by publication will be deemed given on the first date on which publication is made.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73" w:name="page74"/>
    <w:bookmarkEnd w:id="73"/>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1.06. </w:t>
      </w:r>
      <w:r>
        <w:rPr>
          <w:rFonts w:ascii="Arial" w:cs="Arial" w:eastAsia="Arial" w:hAnsi="Arial"/>
          <w:sz w:val="18"/>
          <w:szCs w:val="18"/>
          <w:u w:val="single" w:color="auto"/>
          <w:color w:val="auto"/>
        </w:rPr>
        <w:t>Notice to Holders; Waiver</w:t>
      </w:r>
      <w:r>
        <w:rPr>
          <w:rFonts w:ascii="Arial" w:cs="Arial" w:eastAsia="Arial" w:hAnsi="Arial"/>
          <w:sz w:val="18"/>
          <w:szCs w:val="18"/>
          <w:color w:val="auto"/>
        </w:rPr>
        <w:t>. Where this Indenture provides for notice or other communication to Holders of any event, such notice shall be sufficiently given (unless otherwise herein expressly provided) if given in writing and mailed by first class mail (registered or certified, return receipt requested) or sent by overnight air courier guaranteeing next Business Day delivery, to each Holder affected by such event, at such Holder’s address as it appears in the Security Register, not later than the latest date (if any), and not earlier than the earliest date (if any), prescribed for the giving of such notice or other communication. Any notice or other communication shall also be so mailed or sent to any Person described in Section 313(c) of the Trust Indenture Act, to the extent required by the Trust Indenture Act. Failure to mail or send a notice or other communication to a Holder or any defect in it shall not affect its sufficiency with respect to other Holders.</w:t>
      </w:r>
    </w:p>
    <w:p>
      <w:pPr>
        <w:spacing w:after="0" w:line="18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a notice or communication is mailed or sent in the manner provided above within the time prescribed, it is duly given, whether or not the addressee receives it. Where this Indenture provides for notice or other communication in any manner, such notice or other communication may be waived in writing by the Person entitled to receive such notice or other communication, either before or after the event, and such waiver shall be the equivalent of such notice or other communication. Waivers of notice or other communication by Holders shall be filed with the Trustee, but such filing shall not be a condition precedent to the validity of any action taken in reliance upon such waiver. If the Company mails a notice or communication to the Holders, it shall mail a copy to the Trustee at the same time.</w:t>
      </w:r>
    </w:p>
    <w:p>
      <w:pPr>
        <w:spacing w:after="0" w:line="193"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In case by reason of the suspension of regular mail service or by reason of any other cause it shall be impracticable to give such notice or other communication by mail, then such notification as shall be made with the approval of the Trustee shall constitute a sufficient notification for every purpose hereunder.</w:t>
      </w:r>
    </w:p>
    <w:p>
      <w:pPr>
        <w:spacing w:after="0" w:line="18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Where this Indenture provides for notice or other communication with respect to any event to a Holder of a Global Security, such notice or other communication shall be sufficiently given if given to the Depositary for such Security (or its designee), pursuant to its Applicable Procedures, not later than the latest date (if any), and not earlier than the earliest date (if any), prescribed for the giving of such notice or other communication.</w:t>
      </w:r>
    </w:p>
    <w:p>
      <w:pPr>
        <w:spacing w:after="0" w:line="166"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Trust Indenture Act Matters</w:t>
      </w:r>
      <w:r>
        <w:rPr>
          <w:rFonts w:ascii="Arial" w:cs="Arial" w:eastAsia="Arial" w:hAnsi="Arial"/>
          <w:sz w:val="18"/>
          <w:szCs w:val="18"/>
          <w:color w:val="auto"/>
        </w:rPr>
        <w:t>. If any provision hereof limits, qualifies or conflicts with a provision of the Trust Indenture Act which is required under such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 Whenever this Indenture refers to a provision of the Trust Indenture Act, the provision is incorporated by reference in and made a part of this Indenture.</w:t>
      </w:r>
    </w:p>
    <w:p>
      <w:pPr>
        <w:spacing w:after="0" w:line="18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Effect of Headings and Table of Contents</w:t>
      </w:r>
      <w:r>
        <w:rPr>
          <w:rFonts w:ascii="Arial" w:cs="Arial" w:eastAsia="Arial" w:hAnsi="Arial"/>
          <w:sz w:val="18"/>
          <w:szCs w:val="18"/>
          <w:color w:val="auto"/>
        </w:rPr>
        <w:t>. The Article and Section headings herein and the Table of Contents are for convenience only and shall not affect the construction 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74" w:name="page75"/>
    <w:bookmarkEnd w:id="74"/>
    <w:p>
      <w:pPr>
        <w:ind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1.09.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All covenants and agreements in this Indenture and the Securities by the Company and the Trustee and, except as otherwise provided in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14.01</w:t>
      </w:r>
      <w:r>
        <w:rPr>
          <w:rFonts w:ascii="Arial" w:cs="Arial" w:eastAsia="Arial" w:hAnsi="Arial"/>
          <w:sz w:val="16"/>
          <w:szCs w:val="16"/>
          <w:color w:val="auto"/>
        </w:rPr>
        <w:t>, any Guarantor shall bind their respective successors and assigns, whether so expressed or not.</w:t>
      </w:r>
    </w:p>
    <w:p>
      <w:pPr>
        <w:spacing w:after="0" w:line="124"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Separability Clause</w:t>
      </w:r>
      <w:r>
        <w:rPr>
          <w:rFonts w:ascii="Arial" w:cs="Arial" w:eastAsia="Arial" w:hAnsi="Arial"/>
          <w:sz w:val="18"/>
          <w:szCs w:val="18"/>
          <w:color w:val="auto"/>
        </w:rPr>
        <w:t>. In case any provision in this Indenture, or in the Securities (or in any Guarantees endorsed thereon or attached thereto) shall be invalid, illegal or unenforceable, the validity, legality and enforceability of the remaining provisions shall not in any way be affected or impaired thereby.</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 xml:space="preserve">. Nothing in this Indenture or in the Securities (or in any Guarantees endorsed thereon or attached thereto), express or implied, shall give to any Person, other than the parties hereto and their successors hereunder and the Holders, any benefit or any legal or equitable right, remedy or claim under this Indenture, except as may otherwise be provided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with respect to any Securities of a particular series or under this Indenture with respect to such Securities.</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Indenture, the Guarantees and the Securities and the rights and obligations of the parties hereto and thereto, including the interpretation, construction, validity and enforceability thereof, shall be governed by and construed and interpreted in accordance with the law of the State of New York.</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Legal Holidays</w:t>
      </w:r>
      <w:r>
        <w:rPr>
          <w:rFonts w:ascii="Arial" w:cs="Arial" w:eastAsia="Arial" w:hAnsi="Arial"/>
          <w:sz w:val="18"/>
          <w:szCs w:val="18"/>
          <w:color w:val="auto"/>
        </w:rPr>
        <w:t>. In any case where any Interest Payment Date, Redemption Date or Maturity of any Security, or any date on which a Holder has the right to convert his Security,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or conversion of such Security need not be made at such Place of Payment on such date, but may be made on the next succeeding Business Day at such Place of Payment with the same force and effect as if made on the Interest Payment Date or Redemption Date, or at the Maturity, or on such date for conversion, as the case may be.</w:t>
      </w:r>
    </w:p>
    <w:p>
      <w:pPr>
        <w:spacing w:after="0" w:line="193"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 This Indenture may not be used to interpret any other indenture, loan or other agreement of the Company or any Guarantor or any Subsidiaries of the Company or any Guarantor or of any other Person. Any such indenture, loan or other agreement may not be used to interpret this Indenture.</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No Personal Liability of Directors, Officers, Employees and Stockholders</w:t>
      </w:r>
      <w:r>
        <w:rPr>
          <w:rFonts w:ascii="Arial" w:cs="Arial" w:eastAsia="Arial" w:hAnsi="Arial"/>
          <w:sz w:val="18"/>
          <w:szCs w:val="18"/>
          <w:color w:val="auto"/>
        </w:rPr>
        <w:t>. No past, present or future director, officer, employee, incorporator or stockholder of the Company or any Guarantor, as such, will have any liability for any obligations of the Company or any Guarantor, respectively, under the Securities or this Indenture or for any claim based on, in respect of, or by reason of, such obligations or their creation. Each Holder of Securities by accepting a Security waives and releases all such liability. The waiver and release are part of the consideration for issuance of the Securities. The waiver may not be effective to waive liabilities under the federal securities laws.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75" w:name="page76"/>
    <w:bookmarkEnd w:id="75"/>
    <w:p>
      <w:pPr>
        <w:ind w:right="8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1.16. </w:t>
      </w:r>
      <w:r>
        <w:rPr>
          <w:rFonts w:ascii="Arial" w:cs="Arial" w:eastAsia="Arial" w:hAnsi="Arial"/>
          <w:sz w:val="16"/>
          <w:szCs w:val="16"/>
          <w:u w:val="single" w:color="auto"/>
          <w:color w:val="auto"/>
        </w:rPr>
        <w:t>Language of Notices, Etc</w:t>
      </w:r>
      <w:r>
        <w:rPr>
          <w:rFonts w:ascii="Arial" w:cs="Arial" w:eastAsia="Arial" w:hAnsi="Arial"/>
          <w:sz w:val="16"/>
          <w:szCs w:val="16"/>
          <w:color w:val="auto"/>
        </w:rPr>
        <w:t>. Any request, demand, authorization, direction, notice, consent, waiver, other action or Act provided or permitted under this Indenture shall be in the English language, except that any published notice may be in an official language of the country of publication.</w:t>
      </w:r>
    </w:p>
    <w:p>
      <w:pPr>
        <w:spacing w:after="0" w:line="12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1.17. </w:t>
      </w:r>
      <w:r>
        <w:rPr>
          <w:rFonts w:ascii="Arial" w:cs="Arial" w:eastAsia="Arial" w:hAnsi="Arial"/>
          <w:sz w:val="17"/>
          <w:szCs w:val="17"/>
          <w:u w:val="single" w:color="auto"/>
          <w:color w:val="auto"/>
        </w:rPr>
        <w:t>Force Majeure</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6.01</w:t>
      </w:r>
      <w:r>
        <w:rPr>
          <w:rFonts w:ascii="Arial" w:cs="Arial" w:eastAsia="Arial" w:hAnsi="Arial"/>
          <w:sz w:val="17"/>
          <w:szCs w:val="17"/>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1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COMPANY, EACH GUARANTOR AND THE TRUSTEE HEREBY WAIVES, TO THE FULLEST EXTENT PERMITTED BY APPLICABLE LAW, ANY RIGHT IT MAY HAVE TO A TRIAL BY JURY IN RESPECT OF ANY LITIGATION DIRECTLY OR INDIRECTLY ARISING OUT OF, UNDER OR IN CONNECTION WITH THIS INDENTURE.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FORMS</w:t>
      </w:r>
    </w:p>
    <w:p>
      <w:pPr>
        <w:spacing w:after="0" w:line="21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Forms Generally</w:t>
      </w:r>
      <w:r>
        <w:rPr>
          <w:rFonts w:ascii="Arial" w:cs="Arial" w:eastAsia="Arial" w:hAnsi="Arial"/>
          <w:sz w:val="17"/>
          <w:szCs w:val="17"/>
          <w:color w:val="auto"/>
        </w:rPr>
        <w:t xml:space="preserve">. As to each series of Securities, (i) the Securities of such series shall be in substantially the form set forth in this Article, or in such other form as shall be established by or pursuant to a Board Resolution or in one or more indentures supplemental hereto, and (ii) if the Securities of such series are to be guaranteed by the Guarantees of any Guarantor as provided in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and the terms of such Securities provide for the endorsement thereon or attachment thereto of Guarantees by such Guarantor, such Guarantees to be endorsed on or attached to such Securities shall be in substantially such form as shall be established by or pursuant to a Guarantor’s Board Resolution of such Guarantor or in one or more indentures supplemental hereto, in the case of (i) or (ii),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or Guarantees, respectively,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for the authentication and delivery of such Securities. If the form of any Guarantees by any Guarantor to be endorsed on Securities of any series is established by action taken pursuant to a Guarantor’s Board Resolution of such Guarantor, a copy of an appropriate record of such action shall be certified by the Secretary or an Assistant Secretary of such Guarantor and delivered to the Trustee at or prior to the delivery of the Guarantor Order contemplated by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for the authentication and delivery of such Securities with such Guarantee endorsed thereon. For purposes hereof, a Guarantee that is endorsed on, or otherwise attached to, a Security shall be deemed “endorsed” on such Security.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76" w:name="page77"/>
    <w:bookmarkEnd w:id="76"/>
    <w:p>
      <w:pPr>
        <w:ind w:right="2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definitive Securities and any Guarantees endorsed thereon shall be printed, lithographed or engraved on steel engraved borders or may be produced in any other manner, all as determined by the officers of the Company executing such Securities or, if such Guarantees by any Guarantor are executed by such Guarantor, by the officers of such Guarantor executing such Guarantees, respectively, as evidenced by their execution of such Securities or, if such Guarantees by any Guarantor are executed by such Guarantor, by the officers of such Guarantor executing such Guarantees, respectively.</w:t>
      </w:r>
    </w:p>
    <w:p>
      <w:pPr>
        <w:spacing w:after="0" w:line="15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Anything herein to the contrary notwithstanding, there shall be no requirement that any Security have endorsed thereon or attached thereto a Guarantee or a notation of a Guarantee, but such a Guarantee or notation of a Guarantee may be endorsed thereon or attached thereto as contemplated by this</w:t>
      </w:r>
    </w:p>
    <w:p>
      <w:pPr>
        <w:spacing w:after="0"/>
        <w:rPr>
          <w:sz w:val="20"/>
          <w:szCs w:val="20"/>
          <w:color w:val="auto"/>
        </w:rPr>
      </w:pP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Face of Security</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any legend required by the Internal Revenue Code and the regulations thereunder.]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CUSIP [</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19"/>
        </w:trPr>
        <w:tc>
          <w:tcPr>
            <w:tcW w:w="1740" w:type="dxa"/>
            <w:vAlign w:val="bottom"/>
            <w:gridSpan w:val="3"/>
          </w:tcPr>
          <w:p>
            <w:pPr>
              <w:spacing w:after="0"/>
              <w:rPr>
                <w:sz w:val="20"/>
                <w:szCs w:val="20"/>
                <w:color w:val="auto"/>
              </w:rPr>
            </w:pPr>
            <w:r>
              <w:rPr>
                <w:rFonts w:ascii="Arial" w:cs="Arial" w:eastAsia="Arial" w:hAnsi="Arial"/>
                <w:sz w:val="18"/>
                <w:szCs w:val="18"/>
                <w:color w:val="auto"/>
              </w:rPr>
              <w:t>No.</w:t>
            </w: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453"/>
        </w:trPr>
        <w:tc>
          <w:tcPr>
            <w:tcW w:w="3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80" w:type="dxa"/>
            <w:vAlign w:val="bottom"/>
            <w:gridSpan w:val="3"/>
          </w:tcPr>
          <w:p>
            <w:pPr>
              <w:ind w:left="580"/>
              <w:spacing w:after="0"/>
              <w:rPr>
                <w:sz w:val="20"/>
                <w:szCs w:val="20"/>
                <w:color w:val="auto"/>
              </w:rPr>
            </w:pPr>
            <w:r>
              <w:rPr>
                <w:rFonts w:ascii="Arial" w:cs="Arial" w:eastAsia="Arial" w:hAnsi="Arial"/>
                <w:sz w:val="18"/>
                <w:szCs w:val="18"/>
                <w:color w:val="auto"/>
              </w:rPr>
              <w:t>DIAMONDBACK ENERGY, INC.</w:t>
            </w: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r>
        <w:trPr>
          <w:trHeight w:val="418"/>
        </w:trPr>
        <w:tc>
          <w:tcPr>
            <w:tcW w:w="11360" w:type="dxa"/>
            <w:vAlign w:val="bottom"/>
            <w:gridSpan w:val="12"/>
          </w:tcPr>
          <w:p>
            <w:pPr>
              <w:spacing w:after="0"/>
              <w:rPr>
                <w:sz w:val="20"/>
                <w:szCs w:val="20"/>
                <w:color w:val="auto"/>
              </w:rPr>
            </w:pPr>
            <w:r>
              <w:rPr>
                <w:rFonts w:ascii="Arial" w:cs="Arial" w:eastAsia="Arial" w:hAnsi="Arial"/>
                <w:sz w:val="18"/>
                <w:szCs w:val="18"/>
                <w:color w:val="auto"/>
                <w:w w:val="93"/>
              </w:rPr>
              <w:t>DIAMONDBACK ENERGY, INC., a corporation duly organized and existing under the laws of the State of Delaware (herein called the “</w:t>
            </w:r>
            <w:r>
              <w:rPr>
                <w:rFonts w:ascii="Arial" w:cs="Arial" w:eastAsia="Arial" w:hAnsi="Arial"/>
                <w:sz w:val="18"/>
                <w:szCs w:val="18"/>
                <w:b w:val="1"/>
                <w:bCs w:val="1"/>
                <w:i w:val="1"/>
                <w:iCs w:val="1"/>
                <w:color w:val="auto"/>
                <w:w w:val="93"/>
              </w:rPr>
              <w:t>Company</w:t>
            </w:r>
            <w:r>
              <w:rPr>
                <w:rFonts w:ascii="Arial" w:cs="Arial" w:eastAsia="Arial" w:hAnsi="Arial"/>
                <w:sz w:val="18"/>
                <w:szCs w:val="18"/>
                <w:color w:val="auto"/>
                <w:w w:val="93"/>
              </w:rPr>
              <w:t>”, which</w:t>
            </w:r>
          </w:p>
        </w:tc>
        <w:tc>
          <w:tcPr>
            <w:tcW w:w="60" w:type="dxa"/>
            <w:vAlign w:val="bottom"/>
          </w:tcPr>
          <w:p>
            <w:pPr>
              <w:spacing w:after="0"/>
              <w:rPr>
                <w:sz w:val="24"/>
                <w:szCs w:val="24"/>
                <w:color w:val="auto"/>
              </w:rPr>
            </w:pPr>
          </w:p>
        </w:tc>
      </w:tr>
      <w:tr>
        <w:trPr>
          <w:trHeight w:val="216"/>
        </w:trPr>
        <w:tc>
          <w:tcPr>
            <w:tcW w:w="9040" w:type="dxa"/>
            <w:vAlign w:val="bottom"/>
            <w:gridSpan w:val="9"/>
          </w:tcPr>
          <w:p>
            <w:pPr>
              <w:spacing w:after="0"/>
              <w:rPr>
                <w:sz w:val="20"/>
                <w:szCs w:val="20"/>
                <w:color w:val="auto"/>
              </w:rPr>
            </w:pPr>
            <w:r>
              <w:rPr>
                <w:rFonts w:ascii="Arial" w:cs="Arial" w:eastAsia="Arial" w:hAnsi="Arial"/>
                <w:sz w:val="18"/>
                <w:szCs w:val="18"/>
                <w:color w:val="auto"/>
                <w:w w:val="89"/>
              </w:rPr>
              <w:t>term includes any successor Person under the Indenture hereinafter referred to), for value received, hereby promises to pay to</w:t>
            </w:r>
          </w:p>
        </w:tc>
        <w:tc>
          <w:tcPr>
            <w:tcW w:w="2320" w:type="dxa"/>
            <w:vAlign w:val="bottom"/>
            <w:gridSpan w:val="3"/>
          </w:tcPr>
          <w:p>
            <w:pPr>
              <w:jc w:val="right"/>
              <w:ind w:right="140"/>
              <w:spacing w:after="0"/>
              <w:rPr>
                <w:sz w:val="20"/>
                <w:szCs w:val="20"/>
                <w:color w:val="auto"/>
              </w:rPr>
            </w:pPr>
            <w:r>
              <w:rPr>
                <w:rFonts w:ascii="Arial" w:cs="Arial" w:eastAsia="Arial" w:hAnsi="Arial"/>
                <w:sz w:val="18"/>
                <w:szCs w:val="18"/>
                <w:color w:val="auto"/>
              </w:rPr>
              <w:t>, or registered assigns,</w:t>
            </w:r>
          </w:p>
        </w:tc>
        <w:tc>
          <w:tcPr>
            <w:tcW w:w="60" w:type="dxa"/>
            <w:vAlign w:val="bottom"/>
          </w:tcPr>
          <w:p>
            <w:pPr>
              <w:spacing w:after="0"/>
              <w:rPr>
                <w:sz w:val="18"/>
                <w:szCs w:val="18"/>
                <w:color w:val="auto"/>
              </w:rPr>
            </w:pP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the principal sum of</w:t>
            </w:r>
          </w:p>
        </w:tc>
        <w:tc>
          <w:tcPr>
            <w:tcW w:w="1340" w:type="dxa"/>
            <w:vAlign w:val="bottom"/>
          </w:tcPr>
          <w:p>
            <w:pPr>
              <w:ind w:left="300"/>
              <w:spacing w:after="0"/>
              <w:rPr>
                <w:sz w:val="20"/>
                <w:szCs w:val="20"/>
                <w:color w:val="auto"/>
              </w:rPr>
            </w:pPr>
            <w:r>
              <w:rPr>
                <w:rFonts w:ascii="Arial" w:cs="Arial" w:eastAsia="Arial" w:hAnsi="Arial"/>
                <w:sz w:val="18"/>
                <w:szCs w:val="18"/>
                <w:color w:val="auto"/>
              </w:rPr>
              <w:t>Dollars on</w:t>
            </w:r>
          </w:p>
        </w:tc>
        <w:tc>
          <w:tcPr>
            <w:tcW w:w="7080" w:type="dxa"/>
            <w:vAlign w:val="bottom"/>
            <w:gridSpan w:val="6"/>
          </w:tcPr>
          <w:p>
            <w:pPr>
              <w:ind w:left="300"/>
              <w:spacing w:after="0"/>
              <w:rPr>
                <w:sz w:val="20"/>
                <w:szCs w:val="20"/>
                <w:color w:val="auto"/>
              </w:rPr>
            </w:pPr>
            <w:r>
              <w:rPr>
                <w:rFonts w:ascii="Arial" w:cs="Arial" w:eastAsia="Arial" w:hAnsi="Arial"/>
                <w:sz w:val="18"/>
                <w:szCs w:val="18"/>
                <w:color w:val="auto"/>
                <w:w w:val="92"/>
              </w:rPr>
              <w:t>[if the Security is to bear interest prior to Maturity, insert — , and to pay interest thereon from</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or from</w:t>
            </w:r>
          </w:p>
        </w:tc>
        <w:tc>
          <w:tcPr>
            <w:tcW w:w="60" w:type="dxa"/>
            <w:vAlign w:val="bottom"/>
          </w:tcPr>
          <w:p>
            <w:pPr>
              <w:spacing w:after="0"/>
              <w:rPr>
                <w:sz w:val="18"/>
                <w:szCs w:val="18"/>
                <w:color w:val="auto"/>
              </w:rPr>
            </w:pPr>
          </w:p>
        </w:tc>
      </w:tr>
      <w:tr>
        <w:trPr>
          <w:trHeight w:val="216"/>
        </w:trPr>
        <w:tc>
          <w:tcPr>
            <w:tcW w:w="8140" w:type="dxa"/>
            <w:vAlign w:val="bottom"/>
            <w:gridSpan w:val="8"/>
          </w:tcPr>
          <w:p>
            <w:pPr>
              <w:spacing w:after="0"/>
              <w:rPr>
                <w:sz w:val="20"/>
                <w:szCs w:val="20"/>
                <w:color w:val="auto"/>
              </w:rPr>
            </w:pPr>
            <w:r>
              <w:rPr>
                <w:rFonts w:ascii="Arial" w:cs="Arial" w:eastAsia="Arial" w:hAnsi="Arial"/>
                <w:sz w:val="18"/>
                <w:szCs w:val="18"/>
                <w:color w:val="auto"/>
                <w:w w:val="93"/>
              </w:rPr>
              <w:t>the most recent Interest Payment Date to which interest has been paid or duly provided for, semi-annually on</w:t>
            </w:r>
          </w:p>
        </w:tc>
        <w:tc>
          <w:tcPr>
            <w:tcW w:w="900" w:type="dxa"/>
            <w:vAlign w:val="bottom"/>
          </w:tcPr>
          <w:p>
            <w:pPr>
              <w:ind w:left="300"/>
              <w:spacing w:after="0"/>
              <w:rPr>
                <w:sz w:val="20"/>
                <w:szCs w:val="20"/>
                <w:color w:val="auto"/>
              </w:rPr>
            </w:pPr>
            <w:r>
              <w:rPr>
                <w:rFonts w:ascii="Arial" w:cs="Arial" w:eastAsia="Arial" w:hAnsi="Arial"/>
                <w:sz w:val="18"/>
                <w:szCs w:val="18"/>
                <w:color w:val="auto"/>
              </w:rPr>
              <w:t>and</w:t>
            </w:r>
          </w:p>
        </w:tc>
        <w:tc>
          <w:tcPr>
            <w:tcW w:w="232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in each year, commencing</w:t>
            </w:r>
          </w:p>
        </w:tc>
        <w:tc>
          <w:tcPr>
            <w:tcW w:w="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3540" w:type="dxa"/>
            <w:vAlign w:val="bottom"/>
            <w:gridSpan w:val="4"/>
          </w:tcPr>
          <w:p>
            <w:pPr>
              <w:ind w:left="220"/>
              <w:spacing w:after="0"/>
              <w:rPr>
                <w:sz w:val="20"/>
                <w:szCs w:val="20"/>
                <w:color w:val="auto"/>
              </w:rPr>
            </w:pPr>
            <w:r>
              <w:rPr>
                <w:rFonts w:ascii="Arial" w:cs="Arial" w:eastAsia="Arial" w:hAnsi="Arial"/>
                <w:sz w:val="18"/>
                <w:szCs w:val="18"/>
                <w:color w:val="auto"/>
                <w:w w:val="99"/>
              </w:rPr>
              <w:t>, and at the Maturity thereof, at the rate of</w:t>
            </w:r>
          </w:p>
        </w:tc>
        <w:tc>
          <w:tcPr>
            <w:tcW w:w="7500" w:type="dxa"/>
            <w:vAlign w:val="bottom"/>
            <w:gridSpan w:val="7"/>
          </w:tcPr>
          <w:p>
            <w:pPr>
              <w:jc w:val="right"/>
              <w:ind w:right="120"/>
              <w:spacing w:after="0"/>
              <w:rPr>
                <w:sz w:val="20"/>
                <w:szCs w:val="20"/>
                <w:color w:val="auto"/>
              </w:rPr>
            </w:pPr>
            <w:r>
              <w:rPr>
                <w:rFonts w:ascii="Arial" w:cs="Arial" w:eastAsia="Arial" w:hAnsi="Arial"/>
                <w:sz w:val="18"/>
                <w:szCs w:val="18"/>
                <w:color w:val="auto"/>
                <w:w w:val="95"/>
              </w:rPr>
              <w:t>% per annum, until the principal hereof is paid or made available for payment [if applicable, insert</w:t>
            </w:r>
          </w:p>
        </w:tc>
        <w:tc>
          <w:tcPr>
            <w:tcW w:w="60" w:type="dxa"/>
            <w:vAlign w:val="bottom"/>
          </w:tcPr>
          <w:p>
            <w:pPr>
              <w:spacing w:after="0"/>
              <w:rPr>
                <w:sz w:val="18"/>
                <w:szCs w:val="18"/>
                <w:color w:val="auto"/>
              </w:rPr>
            </w:pPr>
          </w:p>
        </w:tc>
      </w:tr>
      <w:tr>
        <w:trPr>
          <w:trHeight w:val="216"/>
        </w:trPr>
        <w:tc>
          <w:tcPr>
            <w:tcW w:w="9040" w:type="dxa"/>
            <w:vAlign w:val="bottom"/>
            <w:gridSpan w:val="9"/>
          </w:tcPr>
          <w:p>
            <w:pPr>
              <w:spacing w:after="0"/>
              <w:rPr>
                <w:sz w:val="20"/>
                <w:szCs w:val="20"/>
                <w:color w:val="auto"/>
              </w:rPr>
            </w:pPr>
            <w:r>
              <w:rPr>
                <w:rFonts w:ascii="Arial" w:cs="Arial" w:eastAsia="Arial" w:hAnsi="Arial"/>
                <w:sz w:val="18"/>
                <w:szCs w:val="18"/>
                <w:color w:val="auto"/>
                <w:w w:val="96"/>
              </w:rPr>
              <w:t>—, provided that any premium, and any such installment of interest, which is overdue shall bear interest at the rate of</w:t>
            </w:r>
          </w:p>
        </w:tc>
        <w:tc>
          <w:tcPr>
            <w:tcW w:w="232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 per annum (to the extent that</w:t>
            </w:r>
          </w:p>
        </w:tc>
        <w:tc>
          <w:tcPr>
            <w:tcW w:w="60" w:type="dxa"/>
            <w:vAlign w:val="bottom"/>
          </w:tcPr>
          <w:p>
            <w:pPr>
              <w:spacing w:after="0"/>
              <w:rPr>
                <w:sz w:val="18"/>
                <w:szCs w:val="18"/>
                <w:color w:val="auto"/>
              </w:rPr>
            </w:pPr>
          </w:p>
        </w:tc>
      </w:tr>
      <w:tr>
        <w:trPr>
          <w:trHeight w:val="216"/>
        </w:trPr>
        <w:tc>
          <w:tcPr>
            <w:tcW w:w="11360" w:type="dxa"/>
            <w:vAlign w:val="bottom"/>
            <w:gridSpan w:val="12"/>
          </w:tcPr>
          <w:p>
            <w:pPr>
              <w:spacing w:after="0"/>
              <w:rPr>
                <w:sz w:val="20"/>
                <w:szCs w:val="20"/>
                <w:color w:val="auto"/>
              </w:rPr>
            </w:pPr>
            <w:r>
              <w:rPr>
                <w:rFonts w:ascii="Arial" w:cs="Arial" w:eastAsia="Arial" w:hAnsi="Arial"/>
                <w:sz w:val="18"/>
                <w:szCs w:val="18"/>
                <w:color w:val="auto"/>
                <w:w w:val="90"/>
              </w:rPr>
              <w:t>the payment of such interest shall be legally enforceable), from the date such overdue amount is due until such amount is paid or duly provided for, and such</w:t>
            </w:r>
          </w:p>
        </w:tc>
        <w:tc>
          <w:tcPr>
            <w:tcW w:w="60" w:type="dxa"/>
            <w:vAlign w:val="bottom"/>
          </w:tcPr>
          <w:p>
            <w:pPr>
              <w:spacing w:after="0"/>
              <w:rPr>
                <w:sz w:val="18"/>
                <w:szCs w:val="18"/>
                <w:color w:val="auto"/>
              </w:rPr>
            </w:pPr>
          </w:p>
        </w:tc>
      </w:tr>
      <w:tr>
        <w:trPr>
          <w:trHeight w:val="216"/>
        </w:trPr>
        <w:tc>
          <w:tcPr>
            <w:tcW w:w="11360" w:type="dxa"/>
            <w:vAlign w:val="bottom"/>
            <w:gridSpan w:val="12"/>
          </w:tcPr>
          <w:p>
            <w:pPr>
              <w:spacing w:after="0"/>
              <w:rPr>
                <w:sz w:val="20"/>
                <w:szCs w:val="20"/>
                <w:color w:val="auto"/>
              </w:rPr>
            </w:pPr>
            <w:r>
              <w:rPr>
                <w:rFonts w:ascii="Arial" w:cs="Arial" w:eastAsia="Arial" w:hAnsi="Arial"/>
                <w:sz w:val="18"/>
                <w:szCs w:val="18"/>
                <w:color w:val="auto"/>
                <w:w w:val="90"/>
              </w:rPr>
              <w:t>interest on any overdue amount shall be payable on demand]. The interest so payable, and punctually paid or duly provided for, on any Interest Payment Date</w:t>
            </w:r>
          </w:p>
        </w:tc>
        <w:tc>
          <w:tcPr>
            <w:tcW w:w="60" w:type="dxa"/>
            <w:vAlign w:val="bottom"/>
          </w:tcPr>
          <w:p>
            <w:pPr>
              <w:spacing w:after="0"/>
              <w:rPr>
                <w:sz w:val="18"/>
                <w:szCs w:val="18"/>
                <w:color w:val="auto"/>
              </w:rPr>
            </w:pPr>
          </w:p>
        </w:tc>
      </w:tr>
      <w:tr>
        <w:trPr>
          <w:trHeight w:val="216"/>
        </w:trPr>
        <w:tc>
          <w:tcPr>
            <w:tcW w:w="11360" w:type="dxa"/>
            <w:vAlign w:val="bottom"/>
            <w:gridSpan w:val="12"/>
          </w:tcPr>
          <w:p>
            <w:pPr>
              <w:spacing w:after="0"/>
              <w:rPr>
                <w:sz w:val="20"/>
                <w:szCs w:val="20"/>
                <w:color w:val="auto"/>
              </w:rPr>
            </w:pPr>
            <w:r>
              <w:rPr>
                <w:rFonts w:ascii="Arial" w:cs="Arial" w:eastAsia="Arial" w:hAnsi="Arial"/>
                <w:sz w:val="18"/>
                <w:szCs w:val="18"/>
                <w:color w:val="auto"/>
                <w:w w:val="92"/>
              </w:rPr>
              <w:t>will, as provided in such Indenture, be paid to the Person in whose name this Security (or one or more Predecessor Securities) is registered at the close of</w:t>
            </w:r>
          </w:p>
        </w:tc>
        <w:tc>
          <w:tcPr>
            <w:tcW w:w="60" w:type="dxa"/>
            <w:vAlign w:val="bottom"/>
          </w:tcPr>
          <w:p>
            <w:pPr>
              <w:spacing w:after="0"/>
              <w:rPr>
                <w:sz w:val="18"/>
                <w:szCs w:val="18"/>
                <w:color w:val="auto"/>
              </w:rPr>
            </w:pPr>
          </w:p>
        </w:tc>
      </w:tr>
      <w:tr>
        <w:trPr>
          <w:trHeight w:val="230"/>
        </w:trPr>
        <w:tc>
          <w:tcPr>
            <w:tcW w:w="5560" w:type="dxa"/>
            <w:vAlign w:val="bottom"/>
            <w:gridSpan w:val="6"/>
          </w:tcPr>
          <w:p>
            <w:pPr>
              <w:spacing w:after="0"/>
              <w:rPr>
                <w:sz w:val="20"/>
                <w:szCs w:val="20"/>
                <w:color w:val="auto"/>
              </w:rPr>
            </w:pPr>
            <w:r>
              <w:rPr>
                <w:rFonts w:ascii="Arial" w:cs="Arial" w:eastAsia="Arial" w:hAnsi="Arial"/>
                <w:sz w:val="18"/>
                <w:szCs w:val="18"/>
                <w:color w:val="auto"/>
                <w:w w:val="94"/>
              </w:rPr>
              <w:t>business on the Regular Record Date for such interest, which shall be the</w:t>
            </w:r>
          </w:p>
        </w:tc>
        <w:tc>
          <w:tcPr>
            <w:tcW w:w="740" w:type="dxa"/>
            <w:vAlign w:val="bottom"/>
          </w:tcPr>
          <w:p>
            <w:pPr>
              <w:ind w:left="300"/>
              <w:spacing w:after="0"/>
              <w:rPr>
                <w:sz w:val="20"/>
                <w:szCs w:val="20"/>
                <w:color w:val="auto"/>
              </w:rPr>
            </w:pPr>
            <w:r>
              <w:rPr>
                <w:rFonts w:ascii="Arial" w:cs="Arial" w:eastAsia="Arial" w:hAnsi="Arial"/>
                <w:sz w:val="18"/>
                <w:szCs w:val="18"/>
                <w:color w:val="auto"/>
              </w:rPr>
              <w:t>or</w:t>
            </w:r>
          </w:p>
        </w:tc>
        <w:tc>
          <w:tcPr>
            <w:tcW w:w="5060" w:type="dxa"/>
            <w:vAlign w:val="bottom"/>
            <w:gridSpan w:val="5"/>
          </w:tcPr>
          <w:p>
            <w:pPr>
              <w:jc w:val="right"/>
              <w:ind w:right="620"/>
              <w:spacing w:after="0"/>
              <w:rPr>
                <w:sz w:val="20"/>
                <w:szCs w:val="20"/>
                <w:color w:val="auto"/>
              </w:rPr>
            </w:pPr>
            <w:r>
              <w:rPr>
                <w:rFonts w:ascii="Arial" w:cs="Arial" w:eastAsia="Arial" w:hAnsi="Arial"/>
                <w:sz w:val="18"/>
                <w:szCs w:val="18"/>
                <w:color w:val="auto"/>
                <w:w w:val="94"/>
              </w:rPr>
              <w:t>(whether or not a Business Day), as the case may be, next</w:t>
            </w:r>
          </w:p>
        </w:tc>
        <w:tc>
          <w:tcPr>
            <w:tcW w:w="60" w:type="dxa"/>
            <w:vAlign w:val="bottom"/>
          </w:tcPr>
          <w:p>
            <w:pPr>
              <w:spacing w:after="0"/>
              <w:rPr>
                <w:sz w:val="20"/>
                <w:szCs w:val="20"/>
                <w:color w:val="auto"/>
              </w:rPr>
            </w:pPr>
          </w:p>
        </w:tc>
      </w:tr>
    </w:tbl>
    <w:p>
      <w:pPr>
        <w:ind w:right="20"/>
        <w:spacing w:after="0" w:line="255" w:lineRule="auto"/>
        <w:rPr>
          <w:sz w:val="20"/>
          <w:szCs w:val="20"/>
          <w:color w:val="auto"/>
        </w:rPr>
      </w:pPr>
      <w:r>
        <w:rPr>
          <w:rFonts w:ascii="Arial" w:cs="Arial" w:eastAsia="Arial" w:hAnsi="Arial"/>
          <w:sz w:val="18"/>
          <w:szCs w:val="18"/>
          <w:color w:val="auto"/>
        </w:rPr>
        <w:t>preceding such Interest Payment Date. Any such interest so payable, but not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77" w:name="page78"/>
    <w:bookmarkEnd w:id="77"/>
    <w:p>
      <w:pPr>
        <w:ind w:right="2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payment of such Defaulted Interest to be fixed by the Trustee, notice whereof shall be given to Holders of Securities of this series not less than 10 days prior to such Special Record Date, or be paid in any other lawful manner not inconsistent with the requirements of any securities exchange on which this Security may be listed, and upon such notice as may be required by such exchange, all as more fully provided in said Indenture].</w:t>
      </w:r>
    </w:p>
    <w:p>
      <w:pPr>
        <w:spacing w:after="0" w:line="166"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[If the Security is not to bear interest prior to Maturity, insert — The principal of this Security shall not bear interest except in the case of a default in payment of principal upon acceleration, upon redemption or at Stated Maturity and in such case the overdue principal and any overdue premium shall bear</w:t>
      </w:r>
    </w:p>
    <w:p>
      <w:pPr>
        <w:ind w:right="180"/>
        <w:spacing w:after="0" w:line="281" w:lineRule="auto"/>
        <w:rPr>
          <w:sz w:val="20"/>
          <w:szCs w:val="20"/>
          <w:color w:val="auto"/>
        </w:rPr>
      </w:pPr>
      <w:r>
        <w:rPr>
          <w:rFonts w:ascii="Arial" w:cs="Arial" w:eastAsia="Arial" w:hAnsi="Arial"/>
          <w:sz w:val="16"/>
          <w:szCs w:val="16"/>
          <w:color w:val="auto"/>
        </w:rPr>
        <w:t>interest at the rate of % per annum (to the extent that the payment of such interest shall be legally enforceable), from the dates such amounts are due until they are paid or made available for payment. Interest on any overdue principal or premium shall be payable on demand. Any such interest on overdue</w:t>
      </w:r>
    </w:p>
    <w:p>
      <w:pPr>
        <w:spacing w:after="0" w:line="1"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principal or premium which is not paid on demand shall bear interest at the rate of % per annum (to the extent that the payment of such interest on interest shall be legally enforceable), from the date of such demand until the amount so demanded is paid or made available for payment. Interest on any overdue interest shall be payable on demand.]</w:t>
      </w:r>
    </w:p>
    <w:p>
      <w:pPr>
        <w:spacing w:after="0" w:line="19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 xml:space="preserve">Payment of the principal of (and premium, if any) and [if applicable, insert — any such] interest on this Security will be made at the office or agency of the Company maintained for that purpose in New York, New York, in such coin or currency of the United States of America as at the time of payment is legal tender for payment of public and private debts, against surrender of this Security in the case of any payment due at the Maturity of the principal thereof or any payment of interest becomes payable on a day other than an Interest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this Security is not a Global Security,</w:t>
      </w:r>
    </w:p>
    <w:p>
      <w:pPr>
        <w:spacing w:after="0" w:line="2" w:lineRule="exact"/>
        <w:rPr>
          <w:sz w:val="20"/>
          <w:szCs w:val="20"/>
          <w:color w:val="auto"/>
        </w:rPr>
      </w:pPr>
    </w:p>
    <w:p>
      <w:pPr>
        <w:ind w:right="60" w:firstLine="8"/>
        <w:spacing w:after="0" w:line="267" w:lineRule="auto"/>
        <w:tabs>
          <w:tab w:leader="none" w:pos="215" w:val="left"/>
        </w:tabs>
        <w:numPr>
          <w:ilvl w:val="0"/>
          <w:numId w:val="51"/>
        </w:numPr>
        <w:rPr>
          <w:rFonts w:ascii="Arial" w:cs="Arial" w:eastAsia="Arial" w:hAnsi="Arial"/>
          <w:sz w:val="17"/>
          <w:szCs w:val="17"/>
          <w:color w:val="auto"/>
        </w:rPr>
      </w:pPr>
      <w:r>
        <w:rPr>
          <w:rFonts w:ascii="Arial" w:cs="Arial" w:eastAsia="Arial" w:hAnsi="Arial"/>
          <w:sz w:val="17"/>
          <w:szCs w:val="17"/>
          <w:color w:val="auto"/>
        </w:rPr>
        <w:t>payment of interest on an Interest Payment Date will be made by check mailed to the address of the Person entitled thereto as such address shall appear in the Security Register; and all other payments will be made by check against surrender of this Security; (ii) all payments by check will be made in next-day funds (</w:t>
      </w:r>
      <w:r>
        <w:rPr>
          <w:rFonts w:ascii="Arial" w:cs="Arial" w:eastAsia="Arial" w:hAnsi="Arial"/>
          <w:sz w:val="17"/>
          <w:szCs w:val="17"/>
          <w:i w:val="1"/>
          <w:iCs w:val="1"/>
          <w:color w:val="auto"/>
        </w:rPr>
        <w:t>i.e</w:t>
      </w:r>
      <w:r>
        <w:rPr>
          <w:rFonts w:ascii="Arial" w:cs="Arial" w:eastAsia="Arial" w:hAnsi="Arial"/>
          <w:sz w:val="17"/>
          <w:szCs w:val="17"/>
          <w:color w:val="auto"/>
        </w:rPr>
        <w:t xml:space="preserve">., funds that become available on the day after the check is cashed); and (iii) notwithstanding clauses (i) and (ii) above, with respect to any payment of any amount due on this Security, if this Security is in a denomination of at least $1,000,000 and the Holder hereof at the time of surrender hereof or, in the case of any payment of interest on any Interest Payment Date, the Holder thereof on the related Regular Record Date delivers a written request to the Paying Agent to make such payment by wire transfer at least five Business Days before the date such payment becomes due, together with appropriate wire transfer instructions specifying an account at a bank in New York, New York, the Company shall make such payment by wire transfer of immediately available funds to such account at such bank in New York City, any such wire instructions, once properly given by a Holder as to this Security, remaining in effect as to such Holder and this Security unless and until new instructions are given in the manner described above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notwithstanding anything in the foregoing to the contrary, if this Security is a Global Security, payment shall be made pursuant to the Applicable Procedures of the Depositary as permitted in said Indenture.</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78" w:name="page79"/>
    <w:bookmarkEnd w:id="78"/>
    <w:p>
      <w:pPr>
        <w:ind w:right="3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WITNESS WHEREOF, the Company has caused this instrument to be duly signed manually or by facsimile by its duly authorized officers.</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DIAMONDBACK ENERGY, INC.,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-130810</wp:posOffset>
            </wp:positionV>
            <wp:extent cx="25558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22860</wp:posOffset>
            </wp:positionV>
            <wp:extent cx="25558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-121920</wp:posOffset>
            </wp:positionV>
            <wp:extent cx="25558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3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Form of Reverse of Security</w:t>
      </w:r>
      <w:r>
        <w:rPr>
          <w:rFonts w:ascii="Arial" w:cs="Arial" w:eastAsia="Arial" w:hAnsi="Arial"/>
          <w:sz w:val="17"/>
          <w:szCs w:val="17"/>
          <w:color w:val="auto"/>
        </w:rPr>
        <w:t>. This Security is one of a duly authorized issue of senior securities of the Company (herein called the</w:t>
      </w:r>
    </w:p>
    <w:p>
      <w:pPr>
        <w:spacing w:after="0" w:line="3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issued and to be issued in one or more series under an Indenture, dated as of [ ] (herein called the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which term shall have the meaning assigned to it in such instrument), among the Company, the Guarantors and [ ], as Trustee (herein called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which term includes</w:t>
      </w:r>
    </w:p>
    <w:p>
      <w:pPr>
        <w:spacing w:after="0" w:line="1" w:lineRule="exact"/>
        <w:rPr>
          <w:sz w:val="20"/>
          <w:szCs w:val="20"/>
          <w:color w:val="auto"/>
        </w:rPr>
      </w:pPr>
    </w:p>
    <w:p>
      <w:pPr>
        <w:jc w:val="both"/>
        <w:ind w:right="100"/>
        <w:spacing w:after="0" w:line="281" w:lineRule="auto"/>
        <w:rPr>
          <w:sz w:val="20"/>
          <w:szCs w:val="20"/>
          <w:color w:val="auto"/>
        </w:rPr>
      </w:pPr>
      <w:r>
        <w:rPr>
          <w:rFonts w:ascii="Arial" w:cs="Arial" w:eastAsia="Arial" w:hAnsi="Arial"/>
          <w:sz w:val="16"/>
          <w:szCs w:val="16"/>
          <w:color w:val="auto"/>
        </w:rPr>
        <w:t>any successor trustee under the Indenture), and reference is hereby made to the Indenture for a statement of the respective rights, limitations of rights, duties and immunities thereunder of the Company, the Guarantors, the Trustee and the Holders of the Securities and of the terms upon which the Securities are, and are to be, authenticated and delivered. This Security is one of the series designated on the face hereof [if applicable, insert — limited in aggregate principal</w:t>
      </w:r>
    </w:p>
    <w:p>
      <w:pPr>
        <w:spacing w:after="0" w:line="2"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amount to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Security is the general, unsecured, senior obligation of the Company [if applicable, insert—and is guaranteed pursuant to a guarantee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Guarantee</w:t>
      </w:r>
      <w:r>
        <w:rPr>
          <w:rFonts w:ascii="Arial" w:cs="Arial" w:eastAsia="Arial" w:hAnsi="Arial"/>
          <w:sz w:val="16"/>
          <w:szCs w:val="16"/>
          <w:color w:val="auto"/>
        </w:rPr>
        <w:t>”) by [</w:t>
      </w:r>
      <w:r>
        <w:rPr>
          <w:rFonts w:ascii="Arial" w:cs="Arial" w:eastAsia="Arial" w:hAnsi="Arial"/>
          <w:sz w:val="16"/>
          <w:szCs w:val="16"/>
          <w:i w:val="1"/>
          <w:iCs w:val="1"/>
          <w:color w:val="auto"/>
        </w:rPr>
        <w:t>insert name of each Guarantor</w:t>
      </w:r>
      <w:r>
        <w:rPr>
          <w:rFonts w:ascii="Arial" w:cs="Arial" w:eastAsia="Arial" w:hAnsi="Arial"/>
          <w:sz w:val="16"/>
          <w:szCs w:val="16"/>
          <w:color w:val="auto"/>
        </w:rPr>
        <w:t>] and any other Person who shall become such in accordance with the Indenture (the “</w:t>
      </w:r>
      <w:r>
        <w:rPr>
          <w:rFonts w:ascii="Arial" w:cs="Arial" w:eastAsia="Arial" w:hAnsi="Arial"/>
          <w:sz w:val="16"/>
          <w:szCs w:val="16"/>
          <w:b w:val="1"/>
          <w:bCs w:val="1"/>
          <w:i w:val="1"/>
          <w:iCs w:val="1"/>
          <w:color w:val="auto"/>
        </w:rPr>
        <w:t>Guarantors</w:t>
      </w:r>
      <w:r>
        <w:rPr>
          <w:rFonts w:ascii="Arial" w:cs="Arial" w:eastAsia="Arial" w:hAnsi="Arial"/>
          <w:sz w:val="16"/>
          <w:szCs w:val="16"/>
          <w:color w:val="auto"/>
        </w:rPr>
        <w: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Guarantee by each Guarantor is the general, unsecured, senior obligation of such Guarantor, subject to the release and discharge thereof as provided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applicable, insert — The Securities of this series are subject to redemption upon not less than 30 days’ nor more than 60 days’ notice, at any time [if</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gridSpan w:val="3"/>
          </w:tcPr>
          <w:p>
            <w:pPr>
              <w:spacing w:after="0"/>
              <w:rPr>
                <w:sz w:val="20"/>
                <w:szCs w:val="20"/>
                <w:color w:val="auto"/>
              </w:rPr>
            </w:pPr>
            <w:r>
              <w:rPr>
                <w:rFonts w:ascii="Arial" w:cs="Arial" w:eastAsia="Arial" w:hAnsi="Arial"/>
                <w:sz w:val="18"/>
                <w:szCs w:val="18"/>
                <w:color w:val="auto"/>
              </w:rPr>
              <w:t>applicable, insert — on or after</w:t>
            </w:r>
          </w:p>
        </w:tc>
        <w:tc>
          <w:tcPr>
            <w:tcW w:w="8140" w:type="dxa"/>
            <w:vAlign w:val="bottom"/>
            <w:gridSpan w:val="7"/>
          </w:tcPr>
          <w:p>
            <w:pPr>
              <w:jc w:val="center"/>
              <w:ind w:right="60"/>
              <w:spacing w:after="0"/>
              <w:rPr>
                <w:sz w:val="20"/>
                <w:szCs w:val="20"/>
                <w:color w:val="auto"/>
              </w:rPr>
            </w:pPr>
            <w:r>
              <w:rPr>
                <w:rFonts w:ascii="Arial" w:cs="Arial" w:eastAsia="Arial" w:hAnsi="Arial"/>
                <w:sz w:val="18"/>
                <w:szCs w:val="18"/>
                <w:color w:val="auto"/>
                <w:w w:val="91"/>
              </w:rPr>
              <w:t>, 20  ], as a whole or in part, at the election of the Company, at the following Redemption Prices (expressed as</w:t>
            </w:r>
          </w:p>
        </w:tc>
      </w:tr>
      <w:tr>
        <w:trPr>
          <w:trHeight w:val="216"/>
        </w:trPr>
        <w:tc>
          <w:tcPr>
            <w:tcW w:w="6260" w:type="dxa"/>
            <w:vAlign w:val="bottom"/>
            <w:gridSpan w:val="6"/>
          </w:tcPr>
          <w:p>
            <w:pPr>
              <w:spacing w:after="0"/>
              <w:rPr>
                <w:sz w:val="20"/>
                <w:szCs w:val="20"/>
                <w:color w:val="auto"/>
              </w:rPr>
            </w:pPr>
            <w:r>
              <w:rPr>
                <w:rFonts w:ascii="Arial" w:cs="Arial" w:eastAsia="Arial" w:hAnsi="Arial"/>
                <w:sz w:val="18"/>
                <w:szCs w:val="18"/>
                <w:color w:val="auto"/>
                <w:w w:val="91"/>
              </w:rPr>
              <w:t>percentages of the principal amount): If redeemed [if applicable, insert — on or before</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w w:val="90"/>
              </w:rPr>
              <w:t>%, and if redeemed] during the 12-month period</w:t>
            </w:r>
          </w:p>
        </w:tc>
      </w:tr>
      <w:tr>
        <w:trPr>
          <w:trHeight w:val="230"/>
        </w:trPr>
        <w:tc>
          <w:tcPr>
            <w:tcW w:w="780" w:type="dxa"/>
            <w:vAlign w:val="bottom"/>
            <w:gridSpan w:val="2"/>
          </w:tcPr>
          <w:p>
            <w:pPr>
              <w:spacing w:after="0"/>
              <w:rPr>
                <w:sz w:val="20"/>
                <w:szCs w:val="20"/>
                <w:color w:val="auto"/>
              </w:rPr>
            </w:pPr>
            <w:r>
              <w:rPr>
                <w:rFonts w:ascii="Arial" w:cs="Arial" w:eastAsia="Arial" w:hAnsi="Arial"/>
                <w:sz w:val="18"/>
                <w:szCs w:val="18"/>
                <w:color w:val="auto"/>
                <w:w w:val="97"/>
              </w:rPr>
              <w:t>beginning</w:t>
            </w:r>
          </w:p>
        </w:tc>
        <w:tc>
          <w:tcPr>
            <w:tcW w:w="3140" w:type="dxa"/>
            <w:vAlign w:val="bottom"/>
            <w:gridSpan w:val="2"/>
          </w:tcPr>
          <w:p>
            <w:pPr>
              <w:ind w:left="540"/>
              <w:spacing w:after="0"/>
              <w:rPr>
                <w:sz w:val="20"/>
                <w:szCs w:val="20"/>
                <w:color w:val="auto"/>
              </w:rPr>
            </w:pPr>
            <w:r>
              <w:rPr>
                <w:rFonts w:ascii="Arial" w:cs="Arial" w:eastAsia="Arial" w:hAnsi="Arial"/>
                <w:sz w:val="18"/>
                <w:szCs w:val="18"/>
                <w:color w:val="auto"/>
              </w:rPr>
              <w:t>of the years indicated,</w:t>
            </w:r>
          </w:p>
        </w:tc>
        <w:tc>
          <w:tcPr>
            <w:tcW w:w="2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92"/>
        </w:trPr>
        <w:tc>
          <w:tcPr>
            <w:tcW w:w="4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4"/>
                <w:szCs w:val="14"/>
                <w:b w:val="1"/>
                <w:bCs w:val="1"/>
                <w:color w:val="auto"/>
                <w:w w:val="98"/>
              </w:rPr>
              <w:t>Year</w:t>
            </w:r>
          </w:p>
        </w:tc>
        <w:tc>
          <w:tcPr>
            <w:tcW w:w="20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b w:val="1"/>
                <w:bCs w:val="1"/>
                <w:color w:val="auto"/>
                <w:w w:val="92"/>
              </w:rPr>
              <w:t>Redemption Price</w:t>
            </w:r>
          </w:p>
        </w:tc>
        <w:tc>
          <w:tcPr>
            <w:tcW w:w="20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2"/>
              </w:rPr>
              <w:t>Year</w:t>
            </w:r>
          </w:p>
        </w:tc>
        <w:tc>
          <w:tcPr>
            <w:tcW w:w="900" w:type="dxa"/>
            <w:vAlign w:val="bottom"/>
          </w:tcPr>
          <w:p>
            <w:pPr>
              <w:spacing w:after="0"/>
              <w:rPr>
                <w:sz w:val="24"/>
                <w:szCs w:val="24"/>
                <w:color w:val="auto"/>
              </w:rPr>
            </w:pPr>
          </w:p>
        </w:tc>
        <w:tc>
          <w:tcPr>
            <w:tcW w:w="3780" w:type="dxa"/>
            <w:vAlign w:val="bottom"/>
            <w:gridSpan w:val="3"/>
          </w:tcPr>
          <w:p>
            <w:pPr>
              <w:ind w:left="1060"/>
              <w:spacing w:after="0"/>
              <w:rPr>
                <w:sz w:val="20"/>
                <w:szCs w:val="20"/>
                <w:color w:val="auto"/>
              </w:rPr>
            </w:pPr>
            <w:r>
              <w:rPr>
                <w:rFonts w:ascii="Arial" w:cs="Arial" w:eastAsia="Arial" w:hAnsi="Arial"/>
                <w:sz w:val="14"/>
                <w:szCs w:val="14"/>
                <w:b w:val="1"/>
                <w:bCs w:val="1"/>
                <w:color w:val="auto"/>
              </w:rPr>
              <w:t>Redemption Price</w:t>
            </w:r>
          </w:p>
        </w:tc>
      </w:tr>
      <w:tr>
        <w:trPr>
          <w:trHeight w:val="20"/>
        </w:trPr>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79" w:name="page80"/>
    <w:bookmarkEnd w:id="79"/>
    <w:p>
      <w:pPr>
        <w:jc w:val="both"/>
        <w:ind w:right="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thereafter at a Redemption Price equal to % of the principal amount, together in the case of any such redemption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[If applicable, insert — The Securities of this series are subject to redemption upon not less than 30 nor more than 60 days’ notice by mail, (1) on</w:t>
      </w:r>
    </w:p>
    <w:p>
      <w:pPr>
        <w:spacing w:after="0" w:line="35" w:lineRule="exact"/>
        <w:rPr>
          <w:sz w:val="20"/>
          <w:szCs w:val="20"/>
          <w:color w:val="auto"/>
        </w:rPr>
      </w:pPr>
    </w:p>
    <w:p>
      <w:pPr>
        <w:ind w:right="20" w:firstLine="540"/>
        <w:spacing w:after="0" w:line="265" w:lineRule="auto"/>
        <w:rPr>
          <w:sz w:val="20"/>
          <w:szCs w:val="20"/>
          <w:color w:val="auto"/>
        </w:rPr>
      </w:pPr>
      <w:r>
        <w:rPr>
          <w:rFonts w:ascii="Arial" w:cs="Arial" w:eastAsia="Arial" w:hAnsi="Arial"/>
          <w:sz w:val="17"/>
          <w:szCs w:val="17"/>
          <w:color w:val="auto"/>
        </w:rPr>
        <w:t>in any year commencing with the year and ending with the year through operation of the sinking fund for this series at the Redemption Prices for redemption through operation of the sinking fund (expressed as percentages of the principal amount) set forth in the table below, and (2) at any time</w:t>
      </w:r>
    </w:p>
    <w:p>
      <w:pPr>
        <w:ind w:right="60"/>
        <w:spacing w:after="0" w:line="281" w:lineRule="auto"/>
        <w:rPr>
          <w:sz w:val="20"/>
          <w:szCs w:val="20"/>
          <w:color w:val="auto"/>
        </w:rPr>
      </w:pPr>
      <w:r>
        <w:rPr>
          <w:rFonts w:ascii="Arial" w:cs="Arial" w:eastAsia="Arial" w:hAnsi="Arial"/>
          <w:sz w:val="16"/>
          <w:szCs w:val="16"/>
          <w:color w:val="auto"/>
        </w:rPr>
        <w:t>[if applicable, insert — on or after ], as a whole or in part, at the election of the Company, at the Redemption Prices for redemption otherwise than through operation of the sinking fund (expressed as percentages of the principal amount) set forth in the table below: If redeemed during the 12-month period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beginning</w:t>
            </w:r>
          </w:p>
        </w:tc>
        <w:tc>
          <w:tcPr>
            <w:tcW w:w="2580" w:type="dxa"/>
            <w:vAlign w:val="bottom"/>
            <w:gridSpan w:val="3"/>
          </w:tcPr>
          <w:p>
            <w:pPr>
              <w:ind w:left="300"/>
              <w:spacing w:after="0"/>
              <w:rPr>
                <w:sz w:val="20"/>
                <w:szCs w:val="20"/>
                <w:color w:val="auto"/>
              </w:rPr>
            </w:pPr>
            <w:r>
              <w:rPr>
                <w:rFonts w:ascii="Arial" w:cs="Arial" w:eastAsia="Arial" w:hAnsi="Arial"/>
                <w:sz w:val="18"/>
                <w:szCs w:val="18"/>
                <w:color w:val="auto"/>
              </w:rPr>
              <w:t>of the years indicated,</w:t>
            </w:r>
          </w:p>
        </w:tc>
        <w:tc>
          <w:tcPr>
            <w:tcW w:w="7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880" w:type="dxa"/>
            <w:vAlign w:val="bottom"/>
            <w:gridSpan w:val="2"/>
          </w:tcPr>
          <w:p>
            <w:pPr>
              <w:jc w:val="center"/>
              <w:ind w:left="628"/>
              <w:spacing w:after="0"/>
              <w:rPr>
                <w:sz w:val="20"/>
                <w:szCs w:val="20"/>
                <w:color w:val="auto"/>
              </w:rPr>
            </w:pPr>
            <w:r>
              <w:rPr>
                <w:rFonts w:ascii="Arial" w:cs="Arial" w:eastAsia="Arial" w:hAnsi="Arial"/>
                <w:sz w:val="14"/>
                <w:szCs w:val="14"/>
                <w:b w:val="1"/>
                <w:bCs w:val="1"/>
                <w:color w:val="auto"/>
                <w:w w:val="92"/>
              </w:rPr>
              <w:t>Redemption Price For Redemption</w:t>
            </w:r>
          </w:p>
        </w:tc>
        <w:tc>
          <w:tcPr>
            <w:tcW w:w="13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2"/>
              </w:rPr>
              <w:t>Redemption Price For Redemption</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w:t>
            </w:r>
          </w:p>
        </w:tc>
        <w:tc>
          <w:tcPr>
            <w:tcW w:w="19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Through Operation of the Sinking</w:t>
            </w:r>
          </w:p>
        </w:tc>
        <w:tc>
          <w:tcPr>
            <w:tcW w:w="3580" w:type="dxa"/>
            <w:vAlign w:val="bottom"/>
            <w:gridSpan w:val="2"/>
          </w:tcPr>
          <w:p>
            <w:pPr>
              <w:jc w:val="center"/>
              <w:ind w:left="1248"/>
              <w:spacing w:after="0" w:line="149" w:lineRule="exact"/>
              <w:rPr>
                <w:sz w:val="20"/>
                <w:szCs w:val="20"/>
                <w:color w:val="auto"/>
              </w:rPr>
            </w:pPr>
            <w:r>
              <w:rPr>
                <w:rFonts w:ascii="Arial" w:cs="Arial" w:eastAsia="Arial" w:hAnsi="Arial"/>
                <w:sz w:val="14"/>
                <w:szCs w:val="14"/>
                <w:b w:val="1"/>
                <w:bCs w:val="1"/>
                <w:color w:val="auto"/>
                <w:w w:val="94"/>
              </w:rPr>
              <w:t>Otherwise Than Through Operation</w:t>
            </w: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1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9"/>
              </w:rPr>
              <w:t>Fund</w:t>
            </w:r>
          </w:p>
        </w:tc>
        <w:tc>
          <w:tcPr>
            <w:tcW w:w="1340" w:type="dxa"/>
            <w:vAlign w:val="bottom"/>
          </w:tcPr>
          <w:p>
            <w:pPr>
              <w:spacing w:after="0"/>
              <w:rPr>
                <w:sz w:val="14"/>
                <w:szCs w:val="14"/>
                <w:color w:val="auto"/>
              </w:rPr>
            </w:pPr>
          </w:p>
        </w:tc>
        <w:tc>
          <w:tcPr>
            <w:tcW w:w="224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of the Sinking Fund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and thereafter at a Redemption Price equal to % of the principal amount, together in the case of any such redemption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8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[If applicable, insert — Notwithstanding the foregoing, the Company may not, prior to , redeem any Securities of this series as contemplated by [if applicable, insert — clause (2) of] the preceding paragraph as a part of, or in anticipation of, any refunding operation by the application, directly or indirectly, of moneys borrowed having an interest cost to the Company (calculated in accordance with generally accepted financial practice) of less than</w:t>
      </w:r>
    </w:p>
    <w:p>
      <w:pPr>
        <w:ind w:left="540"/>
        <w:spacing w:after="0"/>
        <w:rPr>
          <w:sz w:val="20"/>
          <w:szCs w:val="20"/>
          <w:color w:val="auto"/>
        </w:rPr>
      </w:pPr>
      <w:r>
        <w:rPr>
          <w:rFonts w:ascii="Arial" w:cs="Arial" w:eastAsia="Arial" w:hAnsi="Arial"/>
          <w:sz w:val="18"/>
          <w:szCs w:val="18"/>
          <w:color w:val="auto"/>
        </w:rPr>
        <w:t>% per annum.]</w:t>
      </w:r>
    </w:p>
    <w:p>
      <w:pPr>
        <w:spacing w:after="0" w:line="211"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[If applicable, insert — The sinking fund for this series provides for the redemption on in each year beginning with the year and ending with the year of [if applicable, insert — not less than $ (“mandatory sinking fund”) and not more than] $ aggregate principal amount of</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Securities of this series. Securities of this series acquired or redeemed by the Company otherwise than through [if applicable, insert – mandatory] sinking fund payments may be credited against subsequent [if applicable, insert – mandatory] sinking fund payments otherwise required to be made [if applicable, insert —, in the inverse order in which they become due].]</w:t>
      </w:r>
    </w:p>
    <w:p>
      <w:pPr>
        <w:spacing w:after="0" w:line="190"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[If the Security is subject to redemption of any kind, insert — In the event of redemption of this Security in part only, a new Security or Securities of this series and of like tenor for the unredeemed portion hereof will be issued in the name of the Holder hereof upon the cancellation hereof.]</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80" w:name="page81"/>
    <w:bookmarkEnd w:id="80"/>
    <w:p>
      <w:pPr>
        <w:ind w:right="28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applicable, insert — 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24" w:lineRule="exact"/>
        <w:rPr>
          <w:sz w:val="20"/>
          <w:szCs w:val="20"/>
          <w:color w:val="auto"/>
        </w:rPr>
      </w:pPr>
    </w:p>
    <w:p>
      <w:pPr>
        <w:jc w:val="both"/>
        <w:ind w:right="420" w:firstLine="456"/>
        <w:spacing w:after="0" w:line="286" w:lineRule="auto"/>
        <w:rPr>
          <w:sz w:val="20"/>
          <w:szCs w:val="20"/>
          <w:color w:val="auto"/>
        </w:rPr>
      </w:pPr>
      <w:r>
        <w:rPr>
          <w:rFonts w:ascii="Arial" w:cs="Arial" w:eastAsia="Arial" w:hAnsi="Arial"/>
          <w:sz w:val="17"/>
          <w:szCs w:val="17"/>
          <w:color w:val="auto"/>
        </w:rPr>
        <w:t>[If applicable, insert — As provided in the Indenture and subject to certain limitations therein set forth, the obligations of the Company under this Security are guaranteed by each of the Guarantors pursuant to the Indenture [as indicated in the notation of Guarantee endorsed hereon]. The Indenture provides that a Guarantor shall be released from its Guarantee upon compliance with certain conditions.]</w:t>
      </w:r>
    </w:p>
    <w:p>
      <w:pPr>
        <w:spacing w:after="0" w:line="166"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[If the Security is not an Original Issue Discount Security, insert — If an Event of Default with respect to Securities of this series shall occur and be continuing, the principal of the Securities of this series may be declared due and payable in the manner and with the effect provided in the Indenture.]</w:t>
      </w:r>
    </w:p>
    <w:p>
      <w:pPr>
        <w:spacing w:after="0" w:line="124"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[If the Security is an Original Issue Discount Security, insert — If an Event of Default with respect to Securities of this series shall occur and be continuing, an amount of principal of the Securities of this series may be declared due and payable in the manner and with the effect provided in the Indenture. Such amount shall be equal to — insert formula for determining the amount.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19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Indenture permits, with certain exceptions as therein provided, the amendment thereof and the modification of the rights and obligations of the Company [if applicable, insert — and the Guarantors] and the rights of the Holders of the Securities to be affected under the Indenture at any time by the Company [if applicable, insert — and the Guarantors] and the Trustee with the consent of the Holders of a majority in principal amount (including consents obtained in connection with a purchase of, or tender offer or exchange offer for, Securities) of all Securities at the time Outstanding to be affected (considered together as one class for this purpose and such Securities to be affected potentially being Securities of the same or different series and, with respect to any series, potentially comprising fewer than all the Securities of such series), except as may otherwise be provided pursuant to the Indenture for all or any specific Securities of any series. The Indenture also contains provisions (i) permitting the Holders of a majority in principal amount (including waivers obtained in connection with a purchase of, or tender offer or exchange offer for, Securities) of the Securities at the time Outstanding to be affected under the Indenture (considered together as one class for this purpose and such affected Securities potentially being Securities of the same or different series and, with respect to any particular series, potentially comprising fewer than all the Securities of such series), on behalf of the Holders of all Securities so affected, to waive compliance by the Company [if applicable, insert—and the Guarantors] with certain provisions of the Indenture and (ii) permitting the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81" w:name="page82"/>
    <w:bookmarkEnd w:id="81"/>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Holders of a majority in principal amount (including waivers obtained in connection with a purchase of, or tender offer or exchange offer for, Securities) of the Securities at the time Outstanding of any series to be affected under the Indenture (with each such series considered separately for this purpose), on behalf of the Holders of all Securities of such series, to waive certain past defaults under the Indenture with respect to such series and their consequences, in the case of Clause (i) or (ii), except as may otherwise be provided pursuant to the Indenture for all or any specific Securities of any series.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reasonably satisfactory to it,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6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 [if applicable, insert — or alter or impair the obligation of each Guarantor, which is absolute and unconditional, to pay pursuant to its Guarantee].</w:t>
      </w:r>
    </w:p>
    <w:p>
      <w:pPr>
        <w:spacing w:after="0" w:line="18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58"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Securities of this series are issuable only in registered form without coupons in denominations of $2,000 and any integral multiple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82" w:name="page83"/>
    <w:bookmarkEnd w:id="82"/>
    <w:p>
      <w:pPr>
        <w:ind w:right="1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Prior to due presentment of this Security for registration of transfer, the Company, [if applicable, insert — any Guarantor,] the Trustee and any agent of the Company [if applicable, insert — any Guarantor] or the Trustee may treat the Person in whose name this Security is registered as the owner hereof for all purposes, whether or not this Security be overdue, and neither the Company, [if applicable, insert — any Guarantor,] the Trustee nor any such agent shall be affected by notice to the contrary.</w:t>
      </w: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[If this Security is a Global Security, insert — This Security is a Global Security and is subject to the provisions of the Indenture relating to Global Securities, including the limitations therein on transfers and exchanges of Global Securities.]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This Security and the Indenture [(and any Guarantee endorsed hereon or attached hereto)] shall be governed by and construed in accordance with the law of the State of New York.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terms used in this Security which are defined in the Indenture shall have the meanings assigned to them in the Indenture.</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Form of Legend for Global Securities</w:t>
      </w:r>
      <w:r>
        <w:rPr>
          <w:rFonts w:ascii="Arial" w:cs="Arial" w:eastAsia="Arial" w:hAnsi="Arial"/>
          <w:sz w:val="18"/>
          <w:szCs w:val="18"/>
          <w:color w:val="auto"/>
        </w:rPr>
        <w:t xml:space="preserve">. Unless otherwise specified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for the Securities evidenced thereby, every Global Security authenticated and delivered hereunder shall bear a legend in substantially the following form:</w:t>
      </w:r>
    </w:p>
    <w:p>
      <w:pPr>
        <w:spacing w:after="0" w:line="6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Form of Trustee’s Certificate of Authentication</w:t>
      </w:r>
      <w:r>
        <w:rPr>
          <w:rFonts w:ascii="Arial" w:cs="Arial" w:eastAsia="Arial" w:hAnsi="Arial"/>
          <w:sz w:val="16"/>
          <w:szCs w:val="16"/>
          <w:color w:val="auto"/>
        </w:rPr>
        <w:t>. The Trustee’s certificates of authentication shall be in substantially the following form:</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52" w:lineRule="exact"/>
        <w:rPr>
          <w:sz w:val="20"/>
          <w:szCs w:val="20"/>
          <w:color w:val="auto"/>
        </w:rPr>
      </w:pPr>
    </w:p>
    <w:p>
      <w:pPr>
        <w:spacing w:after="0"/>
        <w:tabs>
          <w:tab w:leader="none" w:pos="5880" w:val="left"/>
          <w:tab w:leader="none" w:pos="68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 AS TRUSTEE</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274" w:right="31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w:t>
      </w:r>
    </w:p>
    <w:p>
      <w:pPr>
        <w:spacing w:after="0" w:line="21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 The aggregate principal amount of Securities which may be authenticated and delivered under this Indenture is unlimited.</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The Securities may be issued in one or more series. There shall be established in or pursuant to a Board Resolution, and, subject to </w:t>
      </w:r>
      <w:r>
        <w:rPr>
          <w:rFonts w:ascii="Arial" w:cs="Arial" w:eastAsia="Arial" w:hAnsi="Arial"/>
          <w:sz w:val="18"/>
          <w:szCs w:val="18"/>
          <w:u w:val="single" w:color="auto"/>
          <w:color w:val="auto"/>
        </w:rPr>
        <w:t>Section 3.03</w:t>
      </w:r>
      <w:r>
        <w:rPr>
          <w:rFonts w:ascii="Arial" w:cs="Arial" w:eastAsia="Arial" w:hAnsi="Arial"/>
          <w:sz w:val="18"/>
          <w:szCs w:val="18"/>
          <w:color w:val="auto"/>
        </w:rPr>
        <w:t>, set forth, or determined in the manner provided, in an Officers’ Certificate, or established in one or more indentures supplemental hereto, prior to the issuance of Securities of any series,</w:t>
      </w:r>
    </w:p>
    <w:p>
      <w:pPr>
        <w:spacing w:after="0" w:line="73" w:lineRule="exact"/>
        <w:rPr>
          <w:sz w:val="20"/>
          <w:szCs w:val="20"/>
          <w:color w:val="auto"/>
        </w:rPr>
      </w:pPr>
    </w:p>
    <w:p>
      <w:pPr>
        <w:ind w:left="1160" w:hanging="257"/>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the series from Securities of any other series);</w:t>
      </w:r>
    </w:p>
    <w:p>
      <w:pPr>
        <w:spacing w:after="0" w:line="117" w:lineRule="exact"/>
        <w:rPr>
          <w:rFonts w:ascii="Arial" w:cs="Arial" w:eastAsia="Arial" w:hAnsi="Arial"/>
          <w:sz w:val="18"/>
          <w:szCs w:val="18"/>
          <w:color w:val="auto"/>
        </w:rPr>
      </w:pPr>
    </w:p>
    <w:p>
      <w:pPr>
        <w:ind w:left="460" w:firstLine="443"/>
        <w:spacing w:after="0" w:line="259" w:lineRule="auto"/>
        <w:tabs>
          <w:tab w:leader="none" w:pos="11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w:t>
      </w:r>
      <w:r>
        <w:rPr>
          <w:rFonts w:ascii="Arial" w:cs="Arial" w:eastAsia="Arial" w:hAnsi="Arial"/>
          <w:sz w:val="18"/>
          <w:szCs w:val="18"/>
          <w:u w:val="single" w:color="auto"/>
          <w:color w:val="auto"/>
        </w:rPr>
        <w:t>3.06</w:t>
      </w:r>
      <w:r>
        <w:rPr>
          <w:rFonts w:ascii="Arial" w:cs="Arial" w:eastAsia="Arial" w:hAnsi="Arial"/>
          <w:sz w:val="18"/>
          <w:szCs w:val="18"/>
          <w:color w:val="auto"/>
        </w:rPr>
        <w:t xml:space="preserve">, </w:t>
      </w:r>
      <w:r>
        <w:rPr>
          <w:rFonts w:ascii="Arial" w:cs="Arial" w:eastAsia="Arial" w:hAnsi="Arial"/>
          <w:sz w:val="18"/>
          <w:szCs w:val="18"/>
          <w:u w:val="single" w:color="auto"/>
          <w:color w:val="auto"/>
        </w:rPr>
        <w:t>9.06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11.07</w:t>
      </w:r>
      <w:r>
        <w:rPr>
          <w:rFonts w:ascii="Arial" w:cs="Arial" w:eastAsia="Arial" w:hAnsi="Arial"/>
          <w:sz w:val="18"/>
          <w:szCs w:val="18"/>
          <w:color w:val="auto"/>
        </w:rPr>
        <w:t xml:space="preserve"> and except for any Securities which, pursuant to </w:t>
      </w:r>
      <w:r>
        <w:rPr>
          <w:rFonts w:ascii="Arial" w:cs="Arial" w:eastAsia="Arial" w:hAnsi="Arial"/>
          <w:sz w:val="18"/>
          <w:szCs w:val="18"/>
          <w:u w:val="single" w:color="auto"/>
          <w:color w:val="auto"/>
        </w:rPr>
        <w:t>Section 3.03</w:t>
      </w:r>
      <w:r>
        <w:rPr>
          <w:rFonts w:ascii="Arial" w:cs="Arial" w:eastAsia="Arial" w:hAnsi="Arial"/>
          <w:sz w:val="18"/>
          <w:szCs w:val="18"/>
          <w:color w:val="auto"/>
        </w:rPr>
        <w:t>, are deemed never to have been authenticated and delivered hereunder);</w:t>
      </w:r>
    </w:p>
    <w:p>
      <w:pPr>
        <w:spacing w:after="0" w:line="78" w:lineRule="exact"/>
        <w:rPr>
          <w:rFonts w:ascii="Arial" w:cs="Arial" w:eastAsia="Arial" w:hAnsi="Arial"/>
          <w:sz w:val="18"/>
          <w:szCs w:val="18"/>
          <w:color w:val="auto"/>
        </w:rPr>
      </w:pPr>
    </w:p>
    <w:p>
      <w:pPr>
        <w:ind w:left="460" w:right="200" w:firstLine="443"/>
        <w:spacing w:after="0" w:line="277" w:lineRule="auto"/>
        <w:tabs>
          <w:tab w:leader="none" w:pos="11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date or dates on which the principal of any Securities of the series is payable;</w:t>
      </w:r>
    </w:p>
    <w:p>
      <w:pPr>
        <w:spacing w:after="0" w:line="117" w:lineRule="exact"/>
        <w:rPr>
          <w:rFonts w:ascii="Arial" w:cs="Arial" w:eastAsia="Arial" w:hAnsi="Arial"/>
          <w:sz w:val="18"/>
          <w:szCs w:val="18"/>
          <w:color w:val="auto"/>
        </w:rPr>
      </w:pPr>
    </w:p>
    <w:p>
      <w:pPr>
        <w:jc w:val="both"/>
        <w:ind w:left="460" w:right="60" w:firstLine="443"/>
        <w:spacing w:after="0" w:line="264" w:lineRule="auto"/>
        <w:tabs>
          <w:tab w:leader="none" w:pos="11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rate or rates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w:t>
      </w:r>
    </w:p>
    <w:p>
      <w:pPr>
        <w:spacing w:after="0" w:line="73" w:lineRule="exact"/>
        <w:rPr>
          <w:rFonts w:ascii="Arial" w:cs="Arial" w:eastAsia="Arial" w:hAnsi="Arial"/>
          <w:sz w:val="18"/>
          <w:szCs w:val="18"/>
          <w:color w:val="auto"/>
        </w:rPr>
      </w:pPr>
    </w:p>
    <w:p>
      <w:pPr>
        <w:ind w:left="460" w:right="360" w:firstLine="443"/>
        <w:spacing w:after="0" w:line="277" w:lineRule="auto"/>
        <w:tabs>
          <w:tab w:leader="none" w:pos="11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premium and interest on any Securities of the series shall be payable and the manner in which any payment may be made;</w:t>
      </w:r>
    </w:p>
    <w:p>
      <w:pPr>
        <w:spacing w:after="0" w:line="62" w:lineRule="exact"/>
        <w:rPr>
          <w:rFonts w:ascii="Arial" w:cs="Arial" w:eastAsia="Arial" w:hAnsi="Arial"/>
          <w:sz w:val="18"/>
          <w:szCs w:val="18"/>
          <w:color w:val="auto"/>
        </w:rPr>
      </w:pPr>
    </w:p>
    <w:p>
      <w:pPr>
        <w:ind w:left="460" w:right="160" w:firstLine="443"/>
        <w:spacing w:after="0" w:line="264" w:lineRule="auto"/>
        <w:tabs>
          <w:tab w:leader="none" w:pos="11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73" w:lineRule="exact"/>
        <w:rPr>
          <w:rFonts w:ascii="Arial" w:cs="Arial" w:eastAsia="Arial" w:hAnsi="Arial"/>
          <w:sz w:val="18"/>
          <w:szCs w:val="18"/>
          <w:color w:val="auto"/>
        </w:rPr>
      </w:pPr>
    </w:p>
    <w:p>
      <w:pPr>
        <w:ind w:left="460" w:right="20" w:firstLine="443"/>
        <w:spacing w:after="0" w:line="286" w:lineRule="auto"/>
        <w:tabs>
          <w:tab w:leader="none" w:pos="1153"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any Securities of the series pursuant to any sinking fund or analogous provisions or at the option of the Holder thereof and the period or periods within which, the price or prices at which and the terms and conditions upon which any Securities of the series shall be redeemed or purchased, in whole or in part, pursuant to such obligation;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0" w:right="259" w:bottom="1440" w:gutter="0" w:footer="0" w:header="0"/>
        </w:sectPr>
      </w:pPr>
    </w:p>
    <w:bookmarkStart w:id="84" w:name="page85"/>
    <w:bookmarkEnd w:id="84"/>
    <w:p>
      <w:pPr>
        <w:ind w:right="100" w:firstLine="443"/>
        <w:spacing w:after="0" w:line="277" w:lineRule="auto"/>
        <w:tabs>
          <w:tab w:leader="none" w:pos="693"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other than denominations of $2,000 and any integral multiple of $1,000 in excess thereof, the denominations in which any Securities of the series shall be issuable;</w:t>
      </w:r>
    </w:p>
    <w:p>
      <w:pPr>
        <w:spacing w:after="0" w:line="62" w:lineRule="exact"/>
        <w:rPr>
          <w:rFonts w:ascii="Arial" w:cs="Arial" w:eastAsia="Arial" w:hAnsi="Arial"/>
          <w:sz w:val="18"/>
          <w:szCs w:val="18"/>
          <w:color w:val="auto"/>
        </w:rPr>
      </w:pPr>
    </w:p>
    <w:p>
      <w:pPr>
        <w:ind w:right="440" w:firstLine="443"/>
        <w:spacing w:after="0" w:line="277" w:lineRule="auto"/>
        <w:tabs>
          <w:tab w:leader="none" w:pos="783"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amount of principal of or any premium or interest on any Securities of the series may be determined with reference to an index or pursuant to a formula, the manner in which such amounts shall be determined;</w:t>
      </w:r>
    </w:p>
    <w:p>
      <w:pPr>
        <w:spacing w:after="0" w:line="62" w:lineRule="exact"/>
        <w:rPr>
          <w:rFonts w:ascii="Arial" w:cs="Arial" w:eastAsia="Arial" w:hAnsi="Arial"/>
          <w:sz w:val="18"/>
          <w:szCs w:val="18"/>
          <w:color w:val="auto"/>
        </w:rPr>
      </w:pPr>
    </w:p>
    <w:p>
      <w:pPr>
        <w:ind w:right="100" w:firstLine="443"/>
        <w:spacing w:after="0" w:line="259" w:lineRule="auto"/>
        <w:tabs>
          <w:tab w:leader="none" w:pos="776"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if other than the currency of the United States of America, the currency, currencies, composite currency, composite currencies or currency units in which the principal of or any premium or interest on any Securities of the series shall be payable and the manner of determining the equivalent thereof in the currency of the United States of America for any purpose, including for the purposes of making payment in the currency of the United States of America and applying the definition of “Outstanding”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firstLine="443"/>
        <w:spacing w:after="0" w:line="276" w:lineRule="auto"/>
        <w:tabs>
          <w:tab w:leader="none" w:pos="783" w:val="left"/>
        </w:tabs>
        <w:numPr>
          <w:ilvl w:val="0"/>
          <w:numId w:val="53"/>
        </w:numPr>
        <w:rPr>
          <w:rFonts w:ascii="Arial" w:cs="Arial" w:eastAsia="Arial" w:hAnsi="Arial"/>
          <w:sz w:val="17"/>
          <w:szCs w:val="17"/>
          <w:color w:val="auto"/>
        </w:rPr>
      </w:pPr>
      <w:r>
        <w:rPr>
          <w:rFonts w:ascii="Arial" w:cs="Arial" w:eastAsia="Arial" w:hAnsi="Arial"/>
          <w:sz w:val="17"/>
          <w:szCs w:val="17"/>
          <w:color w:val="auto"/>
        </w:rPr>
        <w:t>if the principal of or any premium or interest on any Securities of the series is to be payable, at the election of the Company or the Holder thereof, in one or more currencies, composite currencies or currency units other than that or those in which such Securities are stated to be payable, the currency, currencies, composite currency, composite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64" w:lineRule="exact"/>
        <w:rPr>
          <w:rFonts w:ascii="Arial" w:cs="Arial" w:eastAsia="Arial" w:hAnsi="Arial"/>
          <w:sz w:val="17"/>
          <w:szCs w:val="17"/>
          <w:color w:val="auto"/>
        </w:rPr>
      </w:pPr>
    </w:p>
    <w:p>
      <w:pPr>
        <w:ind w:right="280" w:firstLine="443"/>
        <w:spacing w:after="0" w:line="277" w:lineRule="auto"/>
        <w:tabs>
          <w:tab w:leader="none" w:pos="783"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if other than the entire principal amount thereof, the portion of the principal amount of any Securities of the series which shall be payable upon declaration of acceleration of the Maturity thereof pursuant to </w:t>
      </w:r>
      <w:r>
        <w:rPr>
          <w:rFonts w:ascii="Arial" w:cs="Arial" w:eastAsia="Arial" w:hAnsi="Arial"/>
          <w:sz w:val="18"/>
          <w:szCs w:val="18"/>
          <w:u w:val="single" w:color="auto"/>
          <w:color w:val="auto"/>
        </w:rPr>
        <w:t>Section 5.02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100" w:firstLine="443"/>
        <w:spacing w:after="0" w:line="257" w:lineRule="auto"/>
        <w:tabs>
          <w:tab w:leader="none" w:pos="783"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80" w:lineRule="exact"/>
        <w:rPr>
          <w:rFonts w:ascii="Arial" w:cs="Arial" w:eastAsia="Arial" w:hAnsi="Arial"/>
          <w:sz w:val="18"/>
          <w:szCs w:val="18"/>
          <w:color w:val="auto"/>
        </w:rPr>
      </w:pPr>
    </w:p>
    <w:p>
      <w:pPr>
        <w:ind w:left="780" w:hanging="337"/>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if applicable, that the Securities of the series, in whole or any specified part, shall not be defeasible pursuant to </w:t>
      </w:r>
      <w:r>
        <w:rPr>
          <w:rFonts w:ascii="Arial" w:cs="Arial" w:eastAsia="Arial" w:hAnsi="Arial"/>
          <w:sz w:val="18"/>
          <w:szCs w:val="18"/>
          <w:u w:val="single" w:color="auto"/>
          <w:color w:val="auto"/>
        </w:rPr>
        <w:t>Section 13.02</w:t>
      </w:r>
      <w:r>
        <w:rPr>
          <w:rFonts w:ascii="Arial" w:cs="Arial" w:eastAsia="Arial" w:hAnsi="Arial"/>
          <w:sz w:val="18"/>
          <w:szCs w:val="18"/>
          <w:color w:val="auto"/>
        </w:rPr>
        <w:t xml:space="preserve"> or</w:t>
      </w:r>
    </w:p>
    <w:p>
      <w:pPr>
        <w:spacing w:after="0" w:line="2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u w:val="single" w:color="auto"/>
          <w:color w:val="auto"/>
        </w:rPr>
        <w:t>Section 13.03</w:t>
      </w:r>
      <w:r>
        <w:rPr>
          <w:rFonts w:ascii="Arial" w:cs="Arial" w:eastAsia="Arial" w:hAnsi="Arial"/>
          <w:sz w:val="18"/>
          <w:szCs w:val="18"/>
          <w:color w:val="auto"/>
        </w:rPr>
        <w:t xml:space="preserve"> or both such Sections, and, if such Securities may be defeased, in whole or in part, pursuant to either or both such Sections, any provisions to permit a pledge of obligations other than U.S. Government Obligations (or the establishment of other arrangements) to satisfy the requirements of </w:t>
      </w:r>
      <w:r>
        <w:rPr>
          <w:rFonts w:ascii="Arial" w:cs="Arial" w:eastAsia="Arial" w:hAnsi="Arial"/>
          <w:sz w:val="18"/>
          <w:szCs w:val="18"/>
          <w:u w:val="single" w:color="auto"/>
          <w:color w:val="auto"/>
        </w:rPr>
        <w:t>Section 13.04(1)</w:t>
      </w:r>
      <w:r>
        <w:rPr>
          <w:rFonts w:ascii="Arial" w:cs="Arial" w:eastAsia="Arial" w:hAnsi="Arial"/>
          <w:sz w:val="18"/>
          <w:szCs w:val="18"/>
          <w:color w:val="auto"/>
        </w:rPr>
        <w:t xml:space="preserve"> for defeasance of such Securities and, if other than by a Board Resolution, the manner in which any election by the Company to defease such Securities shall be evidenced;</w:t>
      </w:r>
    </w:p>
    <w:p>
      <w:pPr>
        <w:spacing w:after="0" w:line="12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700" w:top="274" w:right="239" w:bottom="1440" w:gutter="0" w:footer="0" w:header="0"/>
        </w:sectPr>
      </w:pPr>
    </w:p>
    <w:bookmarkStart w:id="85" w:name="page86"/>
    <w:bookmarkEnd w:id="85"/>
    <w:p>
      <w:pPr>
        <w:ind w:right="160" w:firstLine="443"/>
        <w:spacing w:after="0" w:line="293" w:lineRule="auto"/>
        <w:tabs>
          <w:tab w:leader="none" w:pos="783" w:val="left"/>
        </w:tabs>
        <w:numPr>
          <w:ilvl w:val="0"/>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any addition to, elimination of or other change in the circumstances set forth in Clause (2) of the penultimate paragraph of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 and any other provisions governing exchanges or transfers of any such Global Security;</w:t>
      </w:r>
    </w:p>
    <w:p>
      <w:pPr>
        <w:spacing w:after="0" w:line="56" w:lineRule="exact"/>
        <w:rPr>
          <w:rFonts w:ascii="Arial" w:cs="Arial" w:eastAsia="Arial" w:hAnsi="Arial"/>
          <w:sz w:val="16"/>
          <w:szCs w:val="16"/>
          <w:color w:val="auto"/>
        </w:rPr>
      </w:pPr>
    </w:p>
    <w:p>
      <w:pPr>
        <w:ind w:right="220" w:firstLine="443"/>
        <w:spacing w:after="0" w:line="342" w:lineRule="auto"/>
        <w:tabs>
          <w:tab w:leader="none" w:pos="783"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any addition to, elimination of or other change in the Events of Default which applies to any Securities of the series and any change in the right of the Trustee or the requisite Holders of such Securities to declare the principal amount thereof due and payable pursuant to </w:t>
      </w:r>
      <w:r>
        <w:rPr>
          <w:rFonts w:ascii="Arial" w:cs="Arial" w:eastAsia="Arial" w:hAnsi="Arial"/>
          <w:sz w:val="16"/>
          <w:szCs w:val="16"/>
          <w:u w:val="single" w:color="auto"/>
          <w:color w:val="auto"/>
        </w:rPr>
        <w:t>Section 5.02</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780" w:hanging="337"/>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any addition to, elimination of or other change in the covenants set forth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which applies to Securities of the series;</w:t>
      </w:r>
    </w:p>
    <w:p>
      <w:pPr>
        <w:spacing w:after="0" w:line="117" w:lineRule="exact"/>
        <w:rPr>
          <w:rFonts w:ascii="Arial" w:cs="Arial" w:eastAsia="Arial" w:hAnsi="Arial"/>
          <w:sz w:val="18"/>
          <w:szCs w:val="18"/>
          <w:color w:val="auto"/>
        </w:rPr>
      </w:pPr>
    </w:p>
    <w:p>
      <w:pPr>
        <w:ind w:firstLine="443"/>
        <w:spacing w:after="0" w:line="264" w:lineRule="auto"/>
        <w:tabs>
          <w:tab w:leader="none" w:pos="783"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provisions necessary to permit or facilitate the issuance, payment or conversion of any Securities of the series that may be converted into securities or other property other than Securities of the same series and of like tenor, whether in addition to, or in lieu of, any payment of principal or other amount and whether at the option of the Company or otherwise;</w:t>
      </w:r>
    </w:p>
    <w:p>
      <w:pPr>
        <w:spacing w:after="0" w:line="73" w:lineRule="exact"/>
        <w:rPr>
          <w:rFonts w:ascii="Arial" w:cs="Arial" w:eastAsia="Arial" w:hAnsi="Arial"/>
          <w:sz w:val="18"/>
          <w:szCs w:val="18"/>
          <w:color w:val="auto"/>
        </w:rPr>
      </w:pPr>
    </w:p>
    <w:p>
      <w:pPr>
        <w:ind w:right="60" w:firstLine="443"/>
        <w:spacing w:after="0" w:line="308" w:lineRule="auto"/>
        <w:tabs>
          <w:tab w:leader="none" w:pos="783"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if applicable, that Persons other than those specified in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shall have such benefits, rights, remedies and claims with respect to any Securities of the series or under this Indenture with respect to such Securities, as and to the extent provided for such Securities;</w:t>
      </w:r>
    </w:p>
    <w:p>
      <w:pPr>
        <w:spacing w:after="0" w:line="38" w:lineRule="exact"/>
        <w:rPr>
          <w:rFonts w:ascii="Arial" w:cs="Arial" w:eastAsia="Arial" w:hAnsi="Arial"/>
          <w:sz w:val="17"/>
          <w:szCs w:val="17"/>
          <w:color w:val="auto"/>
        </w:rPr>
      </w:pPr>
    </w:p>
    <w:p>
      <w:pPr>
        <w:ind w:right="40" w:firstLine="443"/>
        <w:spacing w:after="0" w:line="264" w:lineRule="auto"/>
        <w:tabs>
          <w:tab w:leader="none" w:pos="783"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change in the actions permitted or required under this Indenture to be taken by or on behalf of the Holders of the Securities of the series, including any such change that permits or requires any or all such actions to be taken by or on behalf of the Holders of any specific Securities of the series rather than or in addition to the Holders of all Securities of the series;</w:t>
      </w:r>
    </w:p>
    <w:p>
      <w:pPr>
        <w:spacing w:after="0" w:line="73" w:lineRule="exact"/>
        <w:rPr>
          <w:rFonts w:ascii="Arial" w:cs="Arial" w:eastAsia="Arial" w:hAnsi="Arial"/>
          <w:sz w:val="18"/>
          <w:szCs w:val="18"/>
          <w:color w:val="auto"/>
        </w:rPr>
      </w:pPr>
    </w:p>
    <w:p>
      <w:pPr>
        <w:ind w:right="60" w:firstLine="443"/>
        <w:spacing w:after="0" w:line="259" w:lineRule="auto"/>
        <w:tabs>
          <w:tab w:leader="none" w:pos="783"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if the Securities of the series are to be guaranteed by any Guarantors, the names of the Guarantors of the Securities of the series (which may, but need not, include any or all of the Initial Guarantors) and the terms of the Guarantees of the Securities of the series, if such terms differ from those set forth in </w:t>
      </w:r>
      <w:r>
        <w:rPr>
          <w:rFonts w:ascii="Arial" w:cs="Arial" w:eastAsia="Arial" w:hAnsi="Arial"/>
          <w:sz w:val="18"/>
          <w:szCs w:val="18"/>
          <w:u w:val="single" w:color="auto"/>
          <w:color w:val="auto"/>
        </w:rPr>
        <w:t>Section 14.01</w:t>
      </w:r>
      <w:r>
        <w:rPr>
          <w:rFonts w:ascii="Arial" w:cs="Arial" w:eastAsia="Arial" w:hAnsi="Arial"/>
          <w:sz w:val="18"/>
          <w:szCs w:val="18"/>
          <w:color w:val="auto"/>
        </w:rPr>
        <w:t xml:space="preserve">, and any deletions from, or modifications or additions to, the provisions of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or any other provisions of this Indenture in connection with the Guarantees of the Securities of the series;</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700" w:top="274" w:right="259" w:bottom="1440" w:gutter="0" w:footer="0" w:header="0"/>
        </w:sectPr>
      </w:pPr>
    </w:p>
    <w:bookmarkStart w:id="86" w:name="page87"/>
    <w:bookmarkEnd w:id="86"/>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 any provisions for subordination of any Securities of the series to other indebtedness of the Company (including Securities of other series);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460" w:right="980" w:firstLine="443"/>
        <w:spacing w:after="0" w:line="277" w:lineRule="auto"/>
        <w:tabs>
          <w:tab w:leader="none" w:pos="1243"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terms of the series (which terms shall not be inconsistent with the provisions of this Indenture, except as permitted by Section 9.01(5)).</w:t>
      </w:r>
    </w:p>
    <w:p>
      <w:pPr>
        <w:spacing w:after="0" w:line="17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 xml:space="preserve">If the Securities of the series are to be guaranteed by any Guarantor pursuant to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there shall be established in or pursuant to a Guarantor’s Board Resolution of such Guarantor and, subject to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set forth, or determined in the manner provided, in a Guarantor’s Officers’ Certificate of such Guarantor, or established in one or more indentures supplemental hereto, prior to the issuance of Securities of the series, the terms of the Guarantees by such Guarantor with respect to the Securities of the series, if such terms differ from those set forth in </w:t>
      </w:r>
      <w:r>
        <w:rPr>
          <w:rFonts w:ascii="Arial" w:cs="Arial" w:eastAsia="Arial" w:hAnsi="Arial"/>
          <w:sz w:val="17"/>
          <w:szCs w:val="17"/>
          <w:u w:val="single" w:color="auto"/>
          <w:color w:val="auto"/>
        </w:rPr>
        <w:t>Section 14.01</w:t>
      </w:r>
      <w:r>
        <w:rPr>
          <w:rFonts w:ascii="Arial" w:cs="Arial" w:eastAsia="Arial" w:hAnsi="Arial"/>
          <w:sz w:val="17"/>
          <w:szCs w:val="17"/>
          <w:color w:val="auto"/>
        </w:rPr>
        <w:t>.</w:t>
      </w:r>
    </w:p>
    <w:p>
      <w:pPr>
        <w:spacing w:after="0" w:line="171" w:lineRule="exact"/>
        <w:rPr>
          <w:sz w:val="20"/>
          <w:szCs w:val="20"/>
          <w:color w:val="auto"/>
        </w:rPr>
      </w:pPr>
    </w:p>
    <w:p>
      <w:pPr>
        <w:jc w:val="both"/>
        <w:ind w:right="20" w:firstLine="456"/>
        <w:spacing w:after="0" w:line="302" w:lineRule="auto"/>
        <w:rPr>
          <w:sz w:val="20"/>
          <w:szCs w:val="20"/>
          <w:color w:val="auto"/>
        </w:rPr>
      </w:pPr>
      <w:r>
        <w:rPr>
          <w:rFonts w:ascii="Arial" w:cs="Arial" w:eastAsia="Arial" w:hAnsi="Arial"/>
          <w:sz w:val="16"/>
          <w:szCs w:val="16"/>
          <w:color w:val="auto"/>
        </w:rPr>
        <w:t xml:space="preserve">All Securities of any one series shall be substantially identical except as to denomination and except as may otherwise be provided in or pursuant to the Board Resolution referred to above and (subject to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set forth, or determined in the manner provided, in the Officers’ Certificate referred to above or in any such indenture supplemental hereto. All Securities of any one series need not be issued at the same time and, unless otherwise provided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for any series, after issuance of Securities of such series, such series may be reopened for issuances of additional Securities of that series.</w:t>
      </w:r>
    </w:p>
    <w:p>
      <w:pPr>
        <w:spacing w:after="0" w:line="154"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 xml:space="preserve">The terms of any Security of a series may differ from the terms of other Securities of the same series, if and to the extent provided pursuant to this </w:t>
      </w:r>
      <w:r>
        <w:rPr>
          <w:rFonts w:ascii="Arial" w:cs="Arial" w:eastAsia="Arial" w:hAnsi="Arial"/>
          <w:sz w:val="17"/>
          <w:szCs w:val="17"/>
          <w:u w:val="single" w:color="auto"/>
          <w:color w:val="auto"/>
        </w:rPr>
        <w:t>Section 3.01</w:t>
      </w:r>
      <w:r>
        <w:rPr>
          <w:rFonts w:ascii="Arial" w:cs="Arial" w:eastAsia="Arial" w:hAnsi="Arial"/>
          <w:sz w:val="17"/>
          <w:szCs w:val="17"/>
          <w:color w:val="auto"/>
        </w:rPr>
        <w:t>. The matters referenced in any or all of Clauses (1) through (24) above may be established and set forth or determined as aforesaid with respect to all or any specific Securities of a series (in each case to the extent permitted by the Trust Indenture Act).</w:t>
      </w:r>
    </w:p>
    <w:p>
      <w:pPr>
        <w:spacing w:after="0" w:line="166"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81"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If any of the terms of the Guarantees by any Guarantor of the Securities of the series are established by action taken pursuant to a Guarantor’s Board Resolution of such Guarantor, a copy of an appropriate record of such action shall be certified by the Secretary or an Assistant Secretary of such Guarantor and delivered to the Trustee at or prior to the delivery of the Guarantor’s Officers’ Certificate of such Guarantor setting forth the terms of such Guarantees.</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Denominations</w:t>
      </w:r>
      <w:r>
        <w:rPr>
          <w:rFonts w:ascii="Arial" w:cs="Arial" w:eastAsia="Arial" w:hAnsi="Arial"/>
          <w:sz w:val="17"/>
          <w:szCs w:val="17"/>
          <w:color w:val="auto"/>
        </w:rPr>
        <w:t xml:space="preserve">. The Securities of each series shall be issuable only in registered form without coupons and only in such denominations as shall be specified as contemplated by </w:t>
      </w:r>
      <w:r>
        <w:rPr>
          <w:rFonts w:ascii="Arial" w:cs="Arial" w:eastAsia="Arial" w:hAnsi="Arial"/>
          <w:sz w:val="17"/>
          <w:szCs w:val="17"/>
          <w:u w:val="single" w:color="auto"/>
          <w:color w:val="auto"/>
        </w:rPr>
        <w:t>Section 3.01</w:t>
      </w:r>
      <w:r>
        <w:rPr>
          <w:rFonts w:ascii="Arial" w:cs="Arial" w:eastAsia="Arial" w:hAnsi="Arial"/>
          <w:sz w:val="17"/>
          <w:szCs w:val="17"/>
          <w:color w:val="auto"/>
        </w:rPr>
        <w:t>. In the absence of any such specified denomination with respect to the Securities of any series, the Securities of such series shall be issuable in denominations of $2,000 and any integral multiple of $1,000 in excess thereof.</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87" w:name="page88"/>
    <w:bookmarkEnd w:id="87"/>
    <w:p>
      <w:pPr>
        <w:ind w:right="80"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3.03. </w:t>
      </w:r>
      <w:r>
        <w:rPr>
          <w:rFonts w:ascii="Arial" w:cs="Arial" w:eastAsia="Arial" w:hAnsi="Arial"/>
          <w:sz w:val="17"/>
          <w:szCs w:val="17"/>
          <w:u w:val="single" w:color="auto"/>
          <w:color w:val="auto"/>
        </w:rPr>
        <w:t>Execution, Authentication, Delivery and Dating</w:t>
      </w:r>
      <w:r>
        <w:rPr>
          <w:rFonts w:ascii="Arial" w:cs="Arial" w:eastAsia="Arial" w:hAnsi="Arial"/>
          <w:sz w:val="17"/>
          <w:szCs w:val="17"/>
          <w:color w:val="auto"/>
        </w:rPr>
        <w:t>. The Securities shall be executed on behalf of the Company by its Chairman of the Board, President or a Vice President of the Company (or any other officer of the Company designated in writing by or pursuant to authority of the Board of Directors and delivered to the Trustee from time to time). The signature of any of these officers on the Securities may be manual or facsimile. If the terms of the Securities of any series provide that any Guarantee by any Guarantor is to be endorsed on or otherwise attached to, or made part of, Securities of any series, and if the terms of such Securities provide for the execution of such Guarantee by such Guarantor (it being understood and agreed that the terms of Securities of any series may, but need not, provide for the execution of any Guarantee by any Guarantor), such Guarantee shall be executed on behalf of such Guarantor by the Chairman of the Board, President or a Vice President of such Guarantor (or any other officer of such Guarantor designated in writing by or pursuant to authority of the Guarantor’s Board of Directors and delivered to the Trustee from time to time). The signature of any of these officers on any Guarantee may be manual or facsimile.</w:t>
      </w:r>
    </w:p>
    <w:p>
      <w:pPr>
        <w:spacing w:after="0" w:line="18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Securities and any Guarantees by any Guarantor endorsed thereon bearing the manual or facsimile signatures of individuals who were at any time the proper officers of the Company or such Guarantor, as the case may be, shall bind the Company or such Guarantor, as the case may be, notwithstanding that such individuals or any of them have ceased to hold such offices prior to the authentication and delivery of such Securities or did not hold such offices at the date of such Securities.</w:t>
      </w:r>
    </w:p>
    <w:p>
      <w:pPr>
        <w:spacing w:after="0" w:line="18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At any time and from time to time after the execution and delivery of this Indenture, the Company may deliver Securities of any series executed by the Company, together with, if the terms of such Securities provide for the endorsement thereon of any Guarantees by any Guarantor, such Guarantees endorsed hereon and, if such terms so provide, executed by such Guarantor, to the Trustee for authentication, together with a Company Order and, if any Guarantee by a Guarantor is to be endorsed on such Securities, a Guarantor Order of such Guarantor, for the authentication and delivery of such Securities with any such Guarantees endorsed thereon, and the Trustee in accordance with the Company Order shall authenticate and deliver such Securities with any such Guarantees endorsed thereon. If the form or terms of the Securities of the series have been established by or pursuant to one or more Board Resolutions or the form or terms of any Guarantees thereof by any Guarantor have been established by or pursuant to one or more Guarantor’s Board Resolutions of such Guarantor as permitted by </w:t>
      </w:r>
      <w:r>
        <w:rPr>
          <w:rFonts w:ascii="Arial" w:cs="Arial" w:eastAsia="Arial" w:hAnsi="Arial"/>
          <w:sz w:val="16"/>
          <w:szCs w:val="16"/>
          <w:u w:val="single" w:color="auto"/>
          <w:color w:val="auto"/>
        </w:rPr>
        <w:t>Sections 2.01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3.01</w:t>
      </w:r>
      <w:r>
        <w:rPr>
          <w:rFonts w:ascii="Arial" w:cs="Arial" w:eastAsia="Arial" w:hAnsi="Arial"/>
          <w:sz w:val="16"/>
          <w:szCs w:val="16"/>
          <w:color w:val="auto"/>
        </w:rPr>
        <w:t xml:space="preserve">, in authenticating such Securities with any such Guarantees endorsed thereon, and accepting the additional responsibilities under this Indenture in relation to such Securities and such Guarantees, the Trustee shall be entitled to receive, and (subject to </w:t>
      </w:r>
      <w:r>
        <w:rPr>
          <w:rFonts w:ascii="Arial" w:cs="Arial" w:eastAsia="Arial" w:hAnsi="Arial"/>
          <w:sz w:val="16"/>
          <w:szCs w:val="16"/>
          <w:u w:val="single" w:color="auto"/>
          <w:color w:val="auto"/>
        </w:rPr>
        <w:t>Section 6.01</w:t>
      </w:r>
      <w:r>
        <w:rPr>
          <w:rFonts w:ascii="Arial" w:cs="Arial" w:eastAsia="Arial" w:hAnsi="Arial"/>
          <w:sz w:val="16"/>
          <w:szCs w:val="16"/>
          <w:color w:val="auto"/>
        </w:rPr>
        <w:t>) shall be fully protected in relying upon, an Opinion of Counsel stating,</w:t>
      </w:r>
    </w:p>
    <w:p>
      <w:pPr>
        <w:spacing w:after="0" w:line="61" w:lineRule="exact"/>
        <w:rPr>
          <w:sz w:val="20"/>
          <w:szCs w:val="20"/>
          <w:color w:val="auto"/>
        </w:rPr>
      </w:pPr>
    </w:p>
    <w:p>
      <w:pPr>
        <w:jc w:val="both"/>
        <w:ind w:left="460" w:firstLine="443"/>
        <w:spacing w:after="0" w:line="264" w:lineRule="auto"/>
        <w:tabs>
          <w:tab w:leader="none" w:pos="1153"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if the form of such Securities or any Guarantee by any Guarantor endorsed thereon has been established by or pursuant to Board Resolution or Guarantor’s Board Resolution of such Guarantor, as permitted by </w:t>
      </w:r>
      <w:r>
        <w:rPr>
          <w:rFonts w:ascii="Arial" w:cs="Arial" w:eastAsia="Arial" w:hAnsi="Arial"/>
          <w:sz w:val="18"/>
          <w:szCs w:val="18"/>
          <w:u w:val="single" w:color="auto"/>
          <w:color w:val="auto"/>
        </w:rPr>
        <w:t>Section 2.01</w:t>
      </w:r>
      <w:r>
        <w:rPr>
          <w:rFonts w:ascii="Arial" w:cs="Arial" w:eastAsia="Arial" w:hAnsi="Arial"/>
          <w:sz w:val="18"/>
          <w:szCs w:val="18"/>
          <w:color w:val="auto"/>
        </w:rPr>
        <w:t>, that such form has been established in conformity with the provisions of this Indenture;</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if the terms of such Securities or any Guarantee thereof by a Guarantor have been established by or pursuant to Board Resolution or</w:t>
      </w:r>
    </w:p>
    <w:p>
      <w:pPr>
        <w:spacing w:after="0" w:line="34" w:lineRule="exact"/>
        <w:rPr>
          <w:rFonts w:ascii="Arial" w:cs="Arial" w:eastAsia="Arial" w:hAnsi="Arial"/>
          <w:sz w:val="17"/>
          <w:szCs w:val="17"/>
          <w:color w:val="auto"/>
        </w:rPr>
      </w:pPr>
    </w:p>
    <w:p>
      <w:pPr>
        <w:ind w:left="460" w:right="80"/>
        <w:spacing w:after="0" w:line="261" w:lineRule="auto"/>
        <w:rPr>
          <w:rFonts w:ascii="Arial" w:cs="Arial" w:eastAsia="Arial" w:hAnsi="Arial"/>
          <w:sz w:val="17"/>
          <w:szCs w:val="17"/>
          <w:color w:val="auto"/>
        </w:rPr>
      </w:pPr>
      <w:r>
        <w:rPr>
          <w:rFonts w:ascii="Arial" w:cs="Arial" w:eastAsia="Arial" w:hAnsi="Arial"/>
          <w:sz w:val="18"/>
          <w:szCs w:val="18"/>
          <w:color w:val="auto"/>
        </w:rPr>
        <w:t xml:space="preserve">Guarantor’s Board Resolution of such Guarantor as permitted by </w:t>
      </w:r>
      <w:r>
        <w:rPr>
          <w:rFonts w:ascii="Arial" w:cs="Arial" w:eastAsia="Arial" w:hAnsi="Arial"/>
          <w:sz w:val="18"/>
          <w:szCs w:val="18"/>
          <w:u w:val="single" w:color="auto"/>
          <w:color w:val="auto"/>
        </w:rPr>
        <w:t>Section 3.01</w:t>
      </w:r>
      <w:r>
        <w:rPr>
          <w:rFonts w:ascii="Arial" w:cs="Arial" w:eastAsia="Arial" w:hAnsi="Arial"/>
          <w:sz w:val="18"/>
          <w:szCs w:val="18"/>
          <w:color w:val="auto"/>
        </w:rPr>
        <w:t>, that such terms have been established in conformity with the provisions of this Indenture;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88" w:name="page89"/>
    <w:bookmarkEnd w:id="88"/>
    <w:p>
      <w:pPr>
        <w:ind w:left="460" w:right="220" w:firstLine="443"/>
        <w:spacing w:after="0" w:line="297" w:lineRule="auto"/>
        <w:tabs>
          <w:tab w:leader="none" w:pos="1153" w:val="left"/>
        </w:tabs>
        <w:numPr>
          <w:ilvl w:val="0"/>
          <w:numId w:val="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when such Securities with any Guarantees endorsed thereon have been authenticated and delivered by the Trustee and issued by the Company in the manner and subject to any conditions specified in such Opinion of Counsel, such Securities and such Guarantee will constitute valid and legally binding obligations of the Company or such Guarantor, respectively, enforceable in accordance with their terms, subject to bankruptcy, insolvency, fraudulent transfer, reorganization, moratorium and similar laws of general applicability relating to or affecting creditors’ rights and to general equity principles and subject to any limitation with respect to payments in currency other than U.S. dollars.</w:t>
      </w:r>
    </w:p>
    <w:p>
      <w:pPr>
        <w:spacing w:after="0" w:line="158"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If such form or terms have been so established, the Trustee shall not be required to authenticate such Securities with any Guarantees endorsed thereon if the issue of such Securities with any Guarantees endorsed thereon pursuant to this Indenture will affect the Trustee’s own rights, duties or immunities under the Securities and this Indenture or otherwise in a manner which is not reasonably acceptable to the Trustee.</w:t>
      </w:r>
    </w:p>
    <w:p>
      <w:pPr>
        <w:spacing w:after="0" w:line="16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and of the preceding paragraph, if all Securities of a series are not to be originally issued at one time, it shall not be necessary to deliver the Officers’ Certificate or Guarantor’s Officers’ Certificate otherwise required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the Company Order, any Guarantor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22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No Security, nor any Guarantee endorsed thereon,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with any Guarantees endorsed thereon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w:t>
      </w:r>
      <w:r>
        <w:rPr>
          <w:rFonts w:ascii="Arial" w:cs="Arial" w:eastAsia="Arial" w:hAnsi="Arial"/>
          <w:sz w:val="18"/>
          <w:szCs w:val="18"/>
          <w:u w:val="single" w:color="auto"/>
          <w:color w:val="auto"/>
        </w:rPr>
        <w:t>Section 3.09</w:t>
      </w:r>
      <w:r>
        <w:rPr>
          <w:rFonts w:ascii="Arial" w:cs="Arial" w:eastAsia="Arial" w:hAnsi="Arial"/>
          <w:sz w:val="18"/>
          <w:szCs w:val="18"/>
          <w:color w:val="auto"/>
        </w:rPr>
        <w:t>, for all purposes of this Indenture such Security shall be deemed never to have been authenticated and delivered hereunder and shall never be entitled to the benefits of this Indenture.</w:t>
      </w:r>
    </w:p>
    <w:p>
      <w:pPr>
        <w:spacing w:after="0" w:line="18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Wherever herein it shall provide for the Company to execute, and the Trustee to authenticate and deliver, Securities of any series, if the terms of such Securities provide for the endorsement thereon of the Guarantees by any Guarantor, the Company shall cause such Securities so executed by the Company and authenticated and delivered by the Trustee to have such Guarantees endorsed thereon, and, if such terms require such Guarantees to be executed by such Guarantor, such Guarantees to be executed by such Guarantor.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89" w:name="page90"/>
    <w:bookmarkEnd w:id="89"/>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3.04.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 Pending the preparation of definitive Securities of any series, the Company may execute, and upon Company Order and, if any Guarantees by a Guarantor are so to be endorsed on such Securities, a Guarantor Order of such Guarantor,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or Guarantees, respectively, may determine, as evidenced by their execution of such Securities or Guarantees, respectively.</w:t>
      </w:r>
    </w:p>
    <w:p>
      <w:pPr>
        <w:spacing w:after="0" w:line="19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and if applicable, the Guarantors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178"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Registration, Registration of Transfer and Exchange</w:t>
      </w:r>
      <w:r>
        <w:rPr>
          <w:rFonts w:ascii="Arial" w:cs="Arial" w:eastAsia="Arial" w:hAnsi="Arial"/>
          <w:sz w:val="17"/>
          <w:szCs w:val="17"/>
          <w:color w:val="auto"/>
        </w:rPr>
        <w:t xml:space="preserve">. The Company shall cause to be kept at each office or agency of the Company designated as a Place of Payment pursuant to the first paragraph of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a register (the register, maintained in each such office or agency of the Company designated as a Place of Payment, being herein sometimes collectively referred to as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Security Register</w:t>
      </w:r>
      <w:r>
        <w:rPr>
          <w:rFonts w:ascii="Arial" w:cs="Arial" w:eastAsia="Arial" w:hAnsi="Arial"/>
          <w:sz w:val="17"/>
          <w:szCs w:val="17"/>
          <w:b w:val="1"/>
          <w:bCs w:val="1"/>
          <w:color w:val="auto"/>
        </w:rPr>
        <w:t>”</w:t>
      </w:r>
      <w:r>
        <w:rPr>
          <w:rFonts w:ascii="Arial" w:cs="Arial" w:eastAsia="Arial" w:hAnsi="Arial"/>
          <w:sz w:val="17"/>
          <w:szCs w:val="17"/>
          <w:color w:val="auto"/>
        </w:rPr>
        <w:t>)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173"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Upon surrender for registration of transfer of any Security of a series at the office or agency of the Company in a Place of Payment for that series, the Company and, if applicable, the Guarantors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4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and, if applicable, the Guarantors shall execute, and the Trustee shall authenticate and deliver, the Securities, which the Holder making the exchange is entitled to receive.</w:t>
      </w:r>
    </w:p>
    <w:p>
      <w:pPr>
        <w:spacing w:after="0" w:line="18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4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Every Security presented or surrendered for registration of transfer or for exchange shall (if so required by the Company, any Guarantor or the Trustee) be duly endorsed, or be accompanied by a written instrument of transfer in form satisfactory to the Company and the Security Registrar duly executed, by the Holder thereof or his attorney duly authorized in writing.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90" w:name="page91"/>
    <w:bookmarkEnd w:id="90"/>
    <w:p>
      <w:pPr>
        <w:ind w:right="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9.06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11.07</w:t>
      </w:r>
      <w:r>
        <w:rPr>
          <w:rFonts w:ascii="Arial" w:cs="Arial" w:eastAsia="Arial" w:hAnsi="Arial"/>
          <w:sz w:val="18"/>
          <w:szCs w:val="18"/>
          <w:color w:val="auto"/>
        </w:rPr>
        <w:t xml:space="preserve"> not involving any transfer.</w:t>
      </w:r>
    </w:p>
    <w:p>
      <w:pPr>
        <w:spacing w:after="0" w:line="18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 xml:space="preserve">If the Securities of any series (or of any series and specified tenor) are to be redeemed in whole or in part, the Company shall not be required (A) to issue, register the transfer of or exchange any Securities of that series (or of that series and specified tenor, as the case may be) during a period beginning at the opening of business 15 days before the day of selection of any such Securities for redemption under </w:t>
      </w:r>
      <w:r>
        <w:rPr>
          <w:rFonts w:ascii="Arial" w:cs="Arial" w:eastAsia="Arial" w:hAnsi="Arial"/>
          <w:sz w:val="16"/>
          <w:szCs w:val="16"/>
          <w:u w:val="single" w:color="auto"/>
          <w:color w:val="auto"/>
        </w:rPr>
        <w:t>Section 11.03</w:t>
      </w:r>
      <w:r>
        <w:rPr>
          <w:rFonts w:ascii="Arial" w:cs="Arial" w:eastAsia="Arial" w:hAnsi="Arial"/>
          <w:sz w:val="16"/>
          <w:szCs w:val="16"/>
          <w:color w:val="auto"/>
        </w:rPr>
        <w:t xml:space="preserve"> and ending at the close of business on the day of such selection (or during such period as otherwise specified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for such Securities), or (B) to register the transfer of or exchange any Security so selected for redemption in whole or in part, except the unredeemed portion of any Security being redeemed in part.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Clauses (1), (2), (3) and (4) below shall apply only to Global Securities:</w:t>
      </w:r>
    </w:p>
    <w:p>
      <w:pPr>
        <w:spacing w:after="0" w:line="117" w:lineRule="exact"/>
        <w:rPr>
          <w:sz w:val="20"/>
          <w:szCs w:val="20"/>
          <w:color w:val="auto"/>
        </w:rPr>
      </w:pPr>
    </w:p>
    <w:p>
      <w:pPr>
        <w:ind w:left="460" w:right="20" w:firstLine="443"/>
        <w:spacing w:after="0" w:line="264" w:lineRule="auto"/>
        <w:tabs>
          <w:tab w:leader="none" w:pos="1153"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73" w:lineRule="exact"/>
        <w:rPr>
          <w:rFonts w:ascii="Arial" w:cs="Arial" w:eastAsia="Arial" w:hAnsi="Arial"/>
          <w:sz w:val="18"/>
          <w:szCs w:val="18"/>
          <w:color w:val="auto"/>
        </w:rPr>
      </w:pPr>
    </w:p>
    <w:p>
      <w:pPr>
        <w:ind w:left="460" w:firstLine="443"/>
        <w:spacing w:after="0" w:line="269" w:lineRule="auto"/>
        <w:tabs>
          <w:tab w:leader="none" w:pos="1153"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in this Indenture, and subject to such applicable provisions, if any, as may be specified as contemplated by </w:t>
      </w:r>
      <w:r>
        <w:rPr>
          <w:rFonts w:ascii="Arial" w:cs="Arial" w:eastAsia="Arial" w:hAnsi="Arial"/>
          <w:sz w:val="17"/>
          <w:szCs w:val="17"/>
          <w:u w:val="single" w:color="auto"/>
          <w:color w:val="auto"/>
        </w:rPr>
        <w:t>Section 3.01</w:t>
      </w:r>
      <w:r>
        <w:rPr>
          <w:rFonts w:ascii="Arial" w:cs="Arial" w:eastAsia="Arial" w:hAnsi="Arial"/>
          <w:sz w:val="17"/>
          <w:szCs w:val="17"/>
          <w:color w:val="auto"/>
        </w:rPr>
        <w:t>,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has notified the Company that it (i) is unwilling or unable to continue as Depositary for such Global Security or (ii) has ceased to be a clearing agency registered under the Exchange Act, or (B) the Company has executed and delivered to the Trustee a Company Order stating that such Global Security shall be exchanged in whole for Securities that are not Global Securities (in which case such exchange shall promptly be effected by the Trustee). If the Company receives a notice of the kind specified in Clause (A) above or has delivered a Company Order of the kind specified in Clause (B) above, it may, in its sole discretion, designate a successor Depositary for such Global Security within 90 days after receiving such notice or delivery of such order, as the case may be. If the Company designates a successor Depositary as aforesaid, such Global Security shall promptly be exchanged in whole for one or more other Global Securities registered in the name of the successor Depositary, whereupon such designated successor shall be the Depositary for such successor Global Security or Global Securities and the provisions of Clauses (1), (2), (3) and (4) of this provision shall continue to apply thereto.</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4" w:right="279" w:bottom="1440" w:gutter="0" w:footer="0" w:header="0"/>
        </w:sectPr>
      </w:pPr>
    </w:p>
    <w:bookmarkStart w:id="91" w:name="page92"/>
    <w:bookmarkEnd w:id="91"/>
    <w:p>
      <w:pPr>
        <w:jc w:val="both"/>
        <w:ind w:left="452" w:right="40" w:firstLine="443"/>
        <w:spacing w:after="0" w:line="264" w:lineRule="auto"/>
        <w:tabs>
          <w:tab w:leader="none" w:pos="1145"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Subject to Clause (2) above and to such applicable provisions, if any, as may be specified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73" w:lineRule="exact"/>
        <w:rPr>
          <w:rFonts w:ascii="Arial" w:cs="Arial" w:eastAsia="Arial" w:hAnsi="Arial"/>
          <w:sz w:val="18"/>
          <w:szCs w:val="18"/>
          <w:color w:val="auto"/>
        </w:rPr>
      </w:pPr>
    </w:p>
    <w:p>
      <w:pPr>
        <w:jc w:val="both"/>
        <w:ind w:left="452" w:right="180" w:firstLine="443"/>
        <w:spacing w:after="0" w:line="259" w:lineRule="auto"/>
        <w:tabs>
          <w:tab w:leader="none" w:pos="1145"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Every Security authenticated and delivered upon registration of transfer of, or in exchange for or in lieu of, a Global Security or any portion thereof, whether pursuant to this Section,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3.06</w:t>
      </w:r>
      <w:r>
        <w:rPr>
          <w:rFonts w:ascii="Arial" w:cs="Arial" w:eastAsia="Arial" w:hAnsi="Arial"/>
          <w:sz w:val="18"/>
          <w:szCs w:val="18"/>
          <w:color w:val="auto"/>
        </w:rPr>
        <w:t xml:space="preserve">, </w:t>
      </w:r>
      <w:r>
        <w:rPr>
          <w:rFonts w:ascii="Arial" w:cs="Arial" w:eastAsia="Arial" w:hAnsi="Arial"/>
          <w:sz w:val="18"/>
          <w:szCs w:val="18"/>
          <w:u w:val="single" w:color="auto"/>
          <w:color w:val="auto"/>
        </w:rPr>
        <w:t>9.06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11.07</w:t>
      </w:r>
      <w:r>
        <w:rPr>
          <w:rFonts w:ascii="Arial" w:cs="Arial" w:eastAsia="Arial" w:hAnsi="Arial"/>
          <w:sz w:val="18"/>
          <w:szCs w:val="18"/>
          <w:color w:val="auto"/>
        </w:rPr>
        <w:t xml:space="preserve"> or otherwise, shall be authenticated and delivered in the form of, and shall be, a Global Security, unless such Security is registered in the name of a Person other than the Depositary for such Global Security or a nominee thereof.</w:t>
      </w:r>
    </w:p>
    <w:p>
      <w:pPr>
        <w:spacing w:after="0" w:line="18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Every Person who takes or holds any beneficial interest in a Global Security agrees that:</w:t>
      </w:r>
    </w:p>
    <w:p>
      <w:pPr>
        <w:spacing w:after="0" w:line="117" w:lineRule="exact"/>
        <w:rPr>
          <w:sz w:val="20"/>
          <w:szCs w:val="20"/>
          <w:color w:val="auto"/>
        </w:rPr>
      </w:pPr>
    </w:p>
    <w:p>
      <w:pPr>
        <w:ind w:left="1152" w:hanging="257"/>
        <w:spacing w:after="0"/>
        <w:tabs>
          <w:tab w:leader="none" w:pos="1152"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Company and the Trustee may deal with the Depositary as sole owner of the Global Security and as the authorized representative of such</w:t>
      </w:r>
    </w:p>
    <w:p>
      <w:pPr>
        <w:spacing w:after="0" w:line="46" w:lineRule="exact"/>
        <w:rPr>
          <w:rFonts w:ascii="Arial" w:cs="Arial" w:eastAsia="Arial" w:hAnsi="Arial"/>
          <w:sz w:val="16"/>
          <w:szCs w:val="16"/>
          <w:color w:val="auto"/>
        </w:rPr>
      </w:pPr>
    </w:p>
    <w:p>
      <w:pPr>
        <w:ind w:left="452"/>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02" w:lineRule="exact"/>
        <w:rPr>
          <w:rFonts w:ascii="Arial" w:cs="Arial" w:eastAsia="Arial" w:hAnsi="Arial"/>
          <w:sz w:val="16"/>
          <w:szCs w:val="16"/>
          <w:color w:val="auto"/>
        </w:rPr>
      </w:pPr>
    </w:p>
    <w:p>
      <w:pPr>
        <w:ind w:left="452" w:right="20" w:firstLine="443"/>
        <w:spacing w:after="0" w:line="277" w:lineRule="auto"/>
        <w:tabs>
          <w:tab w:leader="none" w:pos="1145"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such Person’s rights in the Global Security shall be exercised only through the Depositary and shall be limited to those established by law and agreement between such Person and the Depositary and/or direct and indirect participants of the Depositary;</w:t>
      </w:r>
    </w:p>
    <w:p>
      <w:pPr>
        <w:spacing w:after="0" w:line="62" w:lineRule="exact"/>
        <w:rPr>
          <w:rFonts w:ascii="Arial" w:cs="Arial" w:eastAsia="Arial" w:hAnsi="Arial"/>
          <w:sz w:val="18"/>
          <w:szCs w:val="18"/>
          <w:color w:val="auto"/>
        </w:rPr>
      </w:pPr>
    </w:p>
    <w:p>
      <w:pPr>
        <w:ind w:left="452" w:right="580" w:firstLine="443"/>
        <w:spacing w:after="0" w:line="342" w:lineRule="auto"/>
        <w:tabs>
          <w:tab w:leader="none" w:pos="1145"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Depositary and its participants make book-entry transfers of beneficial ownership among, and receive and transmit distributions of principal and interest on the Global Securities to, such Persons in accordance with the Applicable Procedures of the Depositary; and</w:t>
      </w:r>
    </w:p>
    <w:p>
      <w:pPr>
        <w:spacing w:after="0" w:line="15" w:lineRule="exact"/>
        <w:rPr>
          <w:rFonts w:ascii="Arial" w:cs="Arial" w:eastAsia="Arial" w:hAnsi="Arial"/>
          <w:sz w:val="16"/>
          <w:szCs w:val="16"/>
          <w:color w:val="auto"/>
        </w:rPr>
      </w:pPr>
    </w:p>
    <w:p>
      <w:pPr>
        <w:ind w:left="452" w:firstLine="443"/>
        <w:spacing w:after="0" w:line="264" w:lineRule="auto"/>
        <w:tabs>
          <w:tab w:leader="none" w:pos="1145"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none of the Company, the Trustee nor any agent of the Company or the Trustee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81" w:lineRule="exact"/>
        <w:rPr>
          <w:sz w:val="20"/>
          <w:szCs w:val="20"/>
          <w:color w:val="auto"/>
        </w:rPr>
      </w:pPr>
    </w:p>
    <w:p>
      <w:pPr>
        <w:ind w:left="452"/>
        <w:spacing w:after="0"/>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Mutilated, Destroyed, Lost and Wrongfully Taken Securities</w:t>
      </w:r>
      <w:r>
        <w:rPr>
          <w:rFonts w:ascii="Arial" w:cs="Arial" w:eastAsia="Arial" w:hAnsi="Arial"/>
          <w:sz w:val="17"/>
          <w:szCs w:val="17"/>
          <w:color w:val="auto"/>
        </w:rPr>
        <w:t>. If (a) any mutilated Security is surrendered to the Trustee or (b) both</w:t>
      </w:r>
    </w:p>
    <w:p>
      <w:pPr>
        <w:spacing w:after="0" w:line="35" w:lineRule="exact"/>
        <w:rPr>
          <w:sz w:val="20"/>
          <w:szCs w:val="20"/>
          <w:color w:val="auto"/>
        </w:rPr>
      </w:pPr>
    </w:p>
    <w:p>
      <w:pPr>
        <w:ind w:left="-8" w:right="40" w:firstLine="8"/>
        <w:spacing w:after="0" w:line="288" w:lineRule="auto"/>
        <w:tabs>
          <w:tab w:leader="none" w:pos="207"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there shall be delivered to the Company and the Trustee (A) a claim by a Holder as to the destruction, loss or wrongful taking of any Security of such Holder and a request thereby for a new replacement Security of the same series, and (B) such indemnity bond as may be required by them to save each of them and any agent of either of them harmless and (ii) such other reasonable requirements as may be imposed by the Company as permitted by Section 8-405 of the Uniform Commercial Code have been satisfied, then, in the absence of notice to the Company or the Trustee that such Security has been acquired by a “protected purchaser” within the meaning of Section 8-405 of the Uniform Commercial Code, the Company, and, if applicable, the Guarantors, shall execute and upon its request the Trustee shall authenticate and deliver, in lieu of any such mutilated, destroyed, lost or wrongfully taken Security, a new Security of the same series and of like tenor and principal amount and bearing a number not contemporaneously Outstanding.</w:t>
      </w:r>
    </w:p>
    <w:p>
      <w:pPr>
        <w:spacing w:after="0" w:line="10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92"/>
          </w:cols>
          <w:pgMar w:left="248" w:top="274" w:right="259" w:bottom="1440" w:gutter="0" w:footer="0" w:header="0"/>
        </w:sectPr>
      </w:pPr>
    </w:p>
    <w:bookmarkStart w:id="92" w:name="page93"/>
    <w:bookmarkEnd w:id="92"/>
    <w:p>
      <w:pPr>
        <w:ind w:right="6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case any such mutilated, destroyed, lost or wrongfully taken Security has become or is about to become due and payable, the Company in its discretion may, instead of issuing a new Security, pay such Security.</w:t>
      </w:r>
    </w:p>
    <w:p>
      <w:pPr>
        <w:spacing w:after="0" w:line="170" w:lineRule="exact"/>
        <w:rPr>
          <w:sz w:val="20"/>
          <w:szCs w:val="20"/>
          <w:color w:val="auto"/>
        </w:rPr>
      </w:pPr>
    </w:p>
    <w:p>
      <w:pPr>
        <w:jc w:val="center"/>
        <w:ind w:right="280"/>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Every new Security of any series issued pursuant to this Section in lieu of any destroyed, lost or wrongfully taken Security shall constitute an original additional contractual obligation of the Company, whether or not the destroyed, lost or wrongfully taken Security shall be at any time enforceable by anyone, and shall be entitled to all the benefits of this Indenture equally and proportionately with any and all other Securities of that series duly issued hereunder.</w:t>
      </w:r>
    </w:p>
    <w:p>
      <w:pPr>
        <w:spacing w:after="0" w:line="14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wrongfully taken Securities.</w:t>
      </w:r>
    </w:p>
    <w:p>
      <w:pPr>
        <w:spacing w:after="0" w:line="17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Payment of Interest; Interest Rights Preserved</w:t>
      </w:r>
      <w:r>
        <w:rPr>
          <w:rFonts w:ascii="Arial" w:cs="Arial" w:eastAsia="Arial" w:hAnsi="Arial"/>
          <w:sz w:val="16"/>
          <w:szCs w:val="16"/>
          <w:color w:val="auto"/>
        </w:rPr>
        <w:t xml:space="preserve">. Except as otherwise provided as contemplated by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with respect to any Securities of a series,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 (or, if no business is conducted by the Trustee at its Corporate Trust Office on such date, at 5:00 P.M. New York City time on such date).</w:t>
      </w:r>
    </w:p>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Any interest on any Security of any series which is payable, but is not punctually paid or duly provided for, on any Interest Payment Date (herein called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Defaulted Interest</w:t>
      </w:r>
      <w:r>
        <w:rPr>
          <w:rFonts w:ascii="Arial" w:cs="Arial" w:eastAsia="Arial" w:hAnsi="Arial"/>
          <w:sz w:val="17"/>
          <w:szCs w:val="17"/>
          <w:b w:val="1"/>
          <w:bCs w:val="1"/>
          <w:color w:val="auto"/>
        </w:rPr>
        <w:t>”</w:t>
      </w:r>
      <w:r>
        <w:rPr>
          <w:rFonts w:ascii="Arial" w:cs="Arial" w:eastAsia="Arial" w:hAnsi="Arial"/>
          <w:sz w:val="17"/>
          <w:szCs w:val="17"/>
          <w:color w:val="auto"/>
        </w:rPr>
        <w:t>) shall forthwith cease to be payable to the Holder on the relevant Regular Record Date by virtue of having been such Holder, and such</w:t>
      </w:r>
      <w:r>
        <w:rPr>
          <w:rFonts w:ascii="Arial" w:cs="Arial" w:eastAsia="Arial" w:hAnsi="Arial"/>
          <w:sz w:val="17"/>
          <w:szCs w:val="17"/>
          <w:b w:val="1"/>
          <w:bCs w:val="1"/>
          <w:color w:val="auto"/>
        </w:rPr>
        <w:t xml:space="preserve"> </w:t>
      </w:r>
      <w:r>
        <w:rPr>
          <w:rFonts w:ascii="Arial" w:cs="Arial" w:eastAsia="Arial" w:hAnsi="Arial"/>
          <w:sz w:val="17"/>
          <w:szCs w:val="17"/>
          <w:color w:val="auto"/>
        </w:rPr>
        <w:t>Defaulted Interest may be paid by the Company, at its election in each case, as provided in Clause (1) or (2) below:</w:t>
      </w:r>
    </w:p>
    <w:p>
      <w:pPr>
        <w:spacing w:after="0" w:line="57" w:lineRule="exact"/>
        <w:rPr>
          <w:sz w:val="20"/>
          <w:szCs w:val="20"/>
          <w:color w:val="auto"/>
        </w:rPr>
      </w:pPr>
    </w:p>
    <w:p>
      <w:pPr>
        <w:ind w:left="460" w:firstLine="443"/>
        <w:spacing w:after="0" w:line="290" w:lineRule="auto"/>
        <w:tabs>
          <w:tab w:leader="none" w:pos="1153"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payable on any Securities of a series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of such Securities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93" w:name="page94"/>
    <w:bookmarkEnd w:id="93"/>
    <w:p>
      <w:pPr>
        <w:ind w:left="460"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such Securities in the manner set forth in </w:t>
      </w:r>
      <w:r>
        <w:rPr>
          <w:rFonts w:ascii="Arial" w:cs="Arial" w:eastAsia="Arial" w:hAnsi="Arial"/>
          <w:sz w:val="17"/>
          <w:szCs w:val="17"/>
          <w:u w:val="single" w:color="auto"/>
          <w:color w:val="auto"/>
        </w:rPr>
        <w:t>Section 1.06</w:t>
      </w:r>
      <w:r>
        <w:rPr>
          <w:rFonts w:ascii="Arial" w:cs="Arial" w:eastAsia="Arial" w:hAnsi="Arial"/>
          <w:sz w:val="17"/>
          <w:szCs w:val="17"/>
          <w:color w:val="auto"/>
        </w:rPr>
        <w:t>, not less than 10 days prior to such Special Record Date. Notice of the proposed payment of such Defaulted Interest and the Special Record Date therefor having been so mailed, such Defaulted Interest shall be paid to the Persons in whose names such Securities (or their respective Predecessor Securities) are registered at the close of business on such Special Record Date and shall no longer be payable pursuant to the following Clause (2).</w:t>
      </w:r>
    </w:p>
    <w:p>
      <w:pPr>
        <w:spacing w:after="0" w:line="70" w:lineRule="exact"/>
        <w:rPr>
          <w:sz w:val="20"/>
          <w:szCs w:val="20"/>
          <w:color w:val="auto"/>
        </w:rPr>
      </w:pPr>
    </w:p>
    <w:p>
      <w:pPr>
        <w:ind w:left="460" w:right="40" w:firstLine="443"/>
        <w:spacing w:after="0" w:line="259" w:lineRule="auto"/>
        <w:tabs>
          <w:tab w:leader="none" w:pos="11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any Securities of a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Except as may otherwise be provided in this </w:t>
      </w: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or as contemplated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with respect to any Securities of a series, the Person to whom interest shall be payable on any Security that first becomes payable on a day that is not an Interest Payment Date shall be the Holder of such Security on the day such interest is paid.</w:t>
      </w:r>
    </w:p>
    <w:p>
      <w:pPr>
        <w:spacing w:after="0" w:line="181"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the case of any Security which is converted after any Regular Record Date and on or prior to the next succeeding Interest Payment Date (other than any Security whose Maturity is prior to such Interest Payment Date), interest whose Stated Maturity is on such Interest Payment Date shall be payable on such Interest Payment Date notwithstanding such conversion, and such interest (whether or not punctually paid or duly provided for) shall be paid to the Person in whose name that Security (or one or more Predecessor Securities) is registered at the close of business on such Regular Record Date. Except as otherwise expressly provided in the immediately preceding sentence, in the case of any Security which is converted, interest whose Stated Maturity is after the date of conversion of such Security shall not be payable.</w:t>
      </w:r>
    </w:p>
    <w:p>
      <w:pPr>
        <w:spacing w:after="0" w:line="193" w:lineRule="exact"/>
        <w:rPr>
          <w:sz w:val="20"/>
          <w:szCs w:val="20"/>
          <w:color w:val="auto"/>
        </w:rPr>
      </w:pPr>
    </w:p>
    <w:p>
      <w:pPr>
        <w:ind w:right="680" w:firstLine="456"/>
        <w:spacing w:after="0" w:line="308" w:lineRule="auto"/>
        <w:rPr>
          <w:sz w:val="20"/>
          <w:szCs w:val="20"/>
          <w:color w:val="auto"/>
        </w:rPr>
      </w:pPr>
      <w:r>
        <w:rPr>
          <w:rFonts w:ascii="Arial" w:cs="Arial" w:eastAsia="Arial" w:hAnsi="Arial"/>
          <w:sz w:val="17"/>
          <w:szCs w:val="17"/>
          <w:color w:val="auto"/>
        </w:rPr>
        <w:t>Notwithstanding the foregoing, the terms of any Security that may be converted may provide that the provisions of the immediately preceding paragraph do not apply, or apply with such additions, changes or omissions as may be provided thereby, to such Security.</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Persons Deemed Owners</w:t>
      </w:r>
      <w:r>
        <w:rPr>
          <w:rFonts w:ascii="Arial" w:cs="Arial" w:eastAsia="Arial" w:hAnsi="Arial"/>
          <w:sz w:val="18"/>
          <w:szCs w:val="18"/>
          <w:color w:val="auto"/>
        </w:rPr>
        <w:t xml:space="preserve">. Prior to due presentment of a Security for registration of transfer, the Company, any Guarantor and the Trustee and any agent of the Company, any Guarantor or the Trustee may treat the Person in whose name such Security is registered as the owner of such Security for the purpose of receiving payment of principal of and any premium and (subject to </w:t>
      </w:r>
      <w:r>
        <w:rPr>
          <w:rFonts w:ascii="Arial" w:cs="Arial" w:eastAsia="Arial" w:hAnsi="Arial"/>
          <w:sz w:val="18"/>
          <w:szCs w:val="18"/>
          <w:u w:val="single" w:color="auto"/>
          <w:color w:val="auto"/>
        </w:rPr>
        <w:t>Section 3.07</w:t>
      </w:r>
      <w:r>
        <w:rPr>
          <w:rFonts w:ascii="Arial" w:cs="Arial" w:eastAsia="Arial" w:hAnsi="Arial"/>
          <w:sz w:val="18"/>
          <w:szCs w:val="18"/>
          <w:color w:val="auto"/>
        </w:rPr>
        <w:t>) any interest on such Security and for all other purposes whatsoever, whether or not such Security be overdue, and neither the Company, any Guarantor, the Trustee nor any agent of the Company, any Guarantor or the Trustee shall be affected by notice to the contrary.</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74" w:right="279" w:bottom="1440" w:gutter="0" w:footer="0" w:header="0"/>
        </w:sectPr>
      </w:pPr>
    </w:p>
    <w:bookmarkStart w:id="94" w:name="page95"/>
    <w:bookmarkEnd w:id="94"/>
    <w:p>
      <w:pPr>
        <w:ind w:right="20"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3.09. </w:t>
      </w:r>
      <w:r>
        <w:rPr>
          <w:rFonts w:ascii="Arial" w:cs="Arial" w:eastAsia="Arial" w:hAnsi="Arial"/>
          <w:sz w:val="17"/>
          <w:szCs w:val="17"/>
          <w:u w:val="single" w:color="auto"/>
          <w:color w:val="auto"/>
        </w:rPr>
        <w:t>Cancellation</w:t>
      </w:r>
      <w:r>
        <w:rPr>
          <w:rFonts w:ascii="Arial" w:cs="Arial" w:eastAsia="Arial" w:hAnsi="Arial"/>
          <w:sz w:val="17"/>
          <w:szCs w:val="17"/>
          <w:color w:val="auto"/>
        </w:rPr>
        <w:t xml:space="preserve">. All Securities surrendered for payment, redemption, registration of transfer or exchange or conversion or for credit against any sinking fund payment shall, if surrendered to any Person other than the Trustee, be delivered to the Trustee and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except as expressly permitted by this Indenture. All cancelled Securities held by the Trustee shall be disposed of as directed by a Company Order;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Trustee shall not be required to destroy such cancelled Securities.</w:t>
      </w:r>
    </w:p>
    <w:p>
      <w:pPr>
        <w:spacing w:after="0" w:line="179"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 Except as otherwise specified as contemplated by Section 3.01 for Securities of any series, interest on the Securities of each series shall be computed on the basis of a 360-day year of twelve 30-day months.</w:t>
      </w:r>
    </w:p>
    <w:p>
      <w:pPr>
        <w:spacing w:after="0" w:line="170"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CUSIP Numbers</w:t>
      </w:r>
      <w:r>
        <w:rPr>
          <w:rFonts w:ascii="Arial" w:cs="Arial" w:eastAsia="Arial" w:hAnsi="Arial"/>
          <w:sz w:val="17"/>
          <w:szCs w:val="17"/>
          <w:color w:val="auto"/>
        </w:rPr>
        <w:t>. The Company, in issuing the Securities may use “CUSIP” and “ISIN” numbers (if then generally in use), and, if so, the Trustee shall use “CUSIP” and “ISIN”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shall promptly notify the Trustee of any change in “CUSIP” or “ISIN” numbers.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w:t>
      </w:r>
    </w:p>
    <w:p>
      <w:pPr>
        <w:spacing w:after="0" w:line="211" w:lineRule="exact"/>
        <w:rPr>
          <w:sz w:val="20"/>
          <w:szCs w:val="20"/>
          <w:color w:val="auto"/>
        </w:rPr>
      </w:pPr>
    </w:p>
    <w:p>
      <w:pPr>
        <w:ind w:right="380" w:firstLine="456"/>
        <w:spacing w:after="0" w:line="279"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Satisfaction and Discharge of Indenture</w:t>
      </w:r>
      <w:r>
        <w:rPr>
          <w:rFonts w:ascii="Arial" w:cs="Arial" w:eastAsia="Arial" w:hAnsi="Arial"/>
          <w:sz w:val="17"/>
          <w:szCs w:val="17"/>
          <w:color w:val="auto"/>
        </w:rPr>
        <w:t>. This Indenture shall upon Company Request cease to be of further effect with respect to the Securities of any series and any Guarantees of such Securities (except as to any surviving rights of conversion, registration of transfer or exchange of any such Security expressly provided for herein or in the terms of such Security), and the Trustee, at the expense of the Company, shall execute proper instruments acknowledging satisfaction and discharge of this Indenture with respect to such Securities, when</w:t>
      </w:r>
    </w:p>
    <w:p>
      <w:pPr>
        <w:spacing w:after="0" w:line="63" w:lineRule="exact"/>
        <w:rPr>
          <w:sz w:val="20"/>
          <w:szCs w:val="20"/>
          <w:color w:val="auto"/>
        </w:rPr>
      </w:pPr>
    </w:p>
    <w:p>
      <w:pPr>
        <w:ind w:left="1160" w:hanging="257"/>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920" w:firstLine="421"/>
        <w:spacing w:after="0" w:line="259" w:lineRule="auto"/>
        <w:tabs>
          <w:tab w:leader="none" w:pos="1635"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all such Securities theretofore authenticated and delivered (other than (i) Securities which have been destroyed, lost or wrongfully taken and which have been replaced or paid as provided in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and (ii) Securities for the payment of which money has theretofore been deposited in trust or segregated and held in trust by the Company and thereafter repaid to the Company or discharged from such trust, as provided in </w:t>
      </w:r>
      <w:r>
        <w:rPr>
          <w:rFonts w:ascii="Arial" w:cs="Arial" w:eastAsia="Arial" w:hAnsi="Arial"/>
          <w:sz w:val="18"/>
          <w:szCs w:val="18"/>
          <w:u w:val="single" w:color="auto"/>
          <w:color w:val="auto"/>
        </w:rPr>
        <w:t>Section 10.03</w:t>
      </w:r>
      <w:r>
        <w:rPr>
          <w:rFonts w:ascii="Arial" w:cs="Arial" w:eastAsia="Arial" w:hAnsi="Arial"/>
          <w:sz w:val="18"/>
          <w:szCs w:val="18"/>
          <w:color w:val="auto"/>
        </w:rPr>
        <w:t>) have been delivered to the Trustee for cancellation;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95" w:name="page96"/>
    <w:bookmarkEnd w:id="95"/>
    <w:p>
      <w:pPr>
        <w:ind w:left="1620" w:hanging="279"/>
        <w:spacing w:after="0"/>
        <w:tabs>
          <w:tab w:leader="none" w:pos="1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such Securities not theretofore delivered to the Trustee for cancellation</w:t>
      </w:r>
    </w:p>
    <w:p>
      <w:pPr>
        <w:spacing w:after="0" w:line="117" w:lineRule="exact"/>
        <w:rPr>
          <w:rFonts w:ascii="Arial" w:cs="Arial" w:eastAsia="Arial" w:hAnsi="Arial"/>
          <w:sz w:val="18"/>
          <w:szCs w:val="18"/>
          <w:color w:val="auto"/>
        </w:rPr>
      </w:pPr>
    </w:p>
    <w:p>
      <w:pPr>
        <w:ind w:left="2100" w:hanging="211"/>
        <w:spacing w:after="0"/>
        <w:tabs>
          <w:tab w:leader="none" w:pos="21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17" w:lineRule="exact"/>
        <w:rPr>
          <w:rFonts w:ascii="Arial" w:cs="Arial" w:eastAsia="Arial" w:hAnsi="Arial"/>
          <w:sz w:val="18"/>
          <w:szCs w:val="18"/>
          <w:color w:val="auto"/>
        </w:rPr>
      </w:pPr>
    </w:p>
    <w:p>
      <w:pPr>
        <w:ind w:left="2160" w:hanging="271"/>
        <w:spacing w:after="0"/>
        <w:tabs>
          <w:tab w:leader="none" w:pos="2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left="1500" w:right="560" w:firstLine="389"/>
        <w:spacing w:after="0" w:line="277" w:lineRule="auto"/>
        <w:tabs>
          <w:tab w:leader="none" w:pos="2212" w:val="left"/>
        </w:tabs>
        <w:numPr>
          <w:ilvl w:val="1"/>
          <w:numId w:val="65"/>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62" w:lineRule="exact"/>
        <w:rPr>
          <w:sz w:val="20"/>
          <w:szCs w:val="20"/>
          <w:color w:val="auto"/>
        </w:rPr>
      </w:pPr>
    </w:p>
    <w:p>
      <w:pPr>
        <w:ind w:left="920" w:right="20"/>
        <w:spacing w:after="0" w:line="279" w:lineRule="auto"/>
        <w:rPr>
          <w:sz w:val="20"/>
          <w:szCs w:val="20"/>
          <w:color w:val="auto"/>
        </w:rPr>
      </w:pPr>
      <w:r>
        <w:rPr>
          <w:rFonts w:ascii="Arial" w:cs="Arial" w:eastAsia="Arial" w:hAnsi="Arial"/>
          <w:sz w:val="17"/>
          <w:szCs w:val="17"/>
          <w:color w:val="auto"/>
        </w:rPr>
        <w:t>and the Company or, if applicable, a Guarantor, in the case of (i), (ii) or (iii) above, has deposited or caused to be deposited with the Trustee as trust funds in trust for such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63" w:lineRule="exact"/>
        <w:rPr>
          <w:sz w:val="20"/>
          <w:szCs w:val="20"/>
          <w:color w:val="auto"/>
        </w:rPr>
      </w:pPr>
    </w:p>
    <w:p>
      <w:pPr>
        <w:ind w:left="460" w:right="20" w:firstLine="443"/>
        <w:spacing w:after="0" w:line="277" w:lineRule="auto"/>
        <w:tabs>
          <w:tab w:leader="none" w:pos="115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or Guarantor has paid or caused to be paid all other sums payable hereunder by the Company and the Guarantors with respect to such Securities;</w:t>
      </w:r>
    </w:p>
    <w:p>
      <w:pPr>
        <w:spacing w:after="0" w:line="62" w:lineRule="exact"/>
        <w:rPr>
          <w:rFonts w:ascii="Arial" w:cs="Arial" w:eastAsia="Arial" w:hAnsi="Arial"/>
          <w:sz w:val="18"/>
          <w:szCs w:val="18"/>
          <w:color w:val="auto"/>
        </w:rPr>
      </w:pPr>
    </w:p>
    <w:p>
      <w:pPr>
        <w:ind w:left="460" w:right="20" w:firstLine="443"/>
        <w:spacing w:after="0" w:line="259" w:lineRule="auto"/>
        <w:tabs>
          <w:tab w:leader="none" w:pos="1153"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event which is, or after notice or lapse of time or both would become, an Event of Default with respect to such Securities or any other Securities (other than such an event or Event of Default with respect to such Securities resulting solely from the incurrence of indebtedness or other borrowing of funds, or the grant of liens securing such indebtedness or other borrowing, all or a portion of which are to be applied to such deposit) shall have occurred and be continuing at the time of such deposit;</w:t>
      </w:r>
    </w:p>
    <w:p>
      <w:pPr>
        <w:spacing w:after="0" w:line="78"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deposit shall not result in a breach or violation of, or constitute a default under, any other agreement or instrument to which the Company is a party or by which it is bound; and</w:t>
      </w:r>
    </w:p>
    <w:p>
      <w:pPr>
        <w:spacing w:after="0" w:line="62" w:lineRule="exact"/>
        <w:rPr>
          <w:rFonts w:ascii="Arial" w:cs="Arial" w:eastAsia="Arial" w:hAnsi="Arial"/>
          <w:sz w:val="18"/>
          <w:szCs w:val="18"/>
          <w:color w:val="auto"/>
        </w:rPr>
      </w:pPr>
    </w:p>
    <w:p>
      <w:pPr>
        <w:ind w:left="460" w:right="60" w:firstLine="443"/>
        <w:spacing w:after="0" w:line="308" w:lineRule="auto"/>
        <w:tabs>
          <w:tab w:leader="none" w:pos="1153"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Company has delivered to the Trustee an Officers’ Certificate and an Opinion of Counsel, each stating that all conditions precedent herein provided for relating to the satisfaction and discharge of this Indenture with respect to such Securities have been complied with.</w:t>
      </w:r>
    </w:p>
    <w:p>
      <w:pPr>
        <w:spacing w:after="0" w:line="14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Notwithstanding the satisfaction and discharge of this Indenture with respect to Securities of any series, the obligations of the Company to the Trustee under Section 6.07, the obligations of the Trustee to any Authenticating Agent under </w:t>
      </w:r>
      <w:r>
        <w:rPr>
          <w:rFonts w:ascii="Arial" w:cs="Arial" w:eastAsia="Arial" w:hAnsi="Arial"/>
          <w:sz w:val="18"/>
          <w:szCs w:val="18"/>
          <w:u w:val="single" w:color="auto"/>
          <w:color w:val="auto"/>
        </w:rPr>
        <w:t>Section 6.14</w:t>
      </w:r>
      <w:r>
        <w:rPr>
          <w:rFonts w:ascii="Arial" w:cs="Arial" w:eastAsia="Arial" w:hAnsi="Arial"/>
          <w:sz w:val="18"/>
          <w:szCs w:val="18"/>
          <w:color w:val="auto"/>
        </w:rPr>
        <w:t xml:space="preserve">, and, if money shall have been deposited with the Trustee pursuant to subclause (B) of Clause (1) of this Section with respect to such Securities, the obligations of the Company of such series under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and the obligations of the Trustee under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and the last paragraph of </w:t>
      </w:r>
      <w:r>
        <w:rPr>
          <w:rFonts w:ascii="Arial" w:cs="Arial" w:eastAsia="Arial" w:hAnsi="Arial"/>
          <w:sz w:val="18"/>
          <w:szCs w:val="18"/>
          <w:u w:val="single" w:color="auto"/>
          <w:color w:val="auto"/>
        </w:rPr>
        <w:t>Section 10.03</w:t>
      </w:r>
      <w:r>
        <w:rPr>
          <w:rFonts w:ascii="Arial" w:cs="Arial" w:eastAsia="Arial" w:hAnsi="Arial"/>
          <w:sz w:val="18"/>
          <w:szCs w:val="18"/>
          <w:color w:val="auto"/>
        </w:rPr>
        <w:t xml:space="preserve"> with respect to such Securities shall survive such satisfaction and discharge.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96" w:name="page97"/>
    <w:bookmarkEnd w:id="96"/>
    <w:p>
      <w:pPr>
        <w:ind w:right="20"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4.02. </w:t>
      </w:r>
      <w:r>
        <w:rPr>
          <w:rFonts w:ascii="Arial" w:cs="Arial" w:eastAsia="Arial" w:hAnsi="Arial"/>
          <w:sz w:val="17"/>
          <w:szCs w:val="17"/>
          <w:u w:val="single" w:color="auto"/>
          <w:color w:val="auto"/>
        </w:rPr>
        <w:t>Application of Trust Money</w:t>
      </w:r>
      <w:r>
        <w:rPr>
          <w:rFonts w:ascii="Arial" w:cs="Arial" w:eastAsia="Arial" w:hAnsi="Arial"/>
          <w:sz w:val="17"/>
          <w:szCs w:val="17"/>
          <w:color w:val="auto"/>
        </w:rPr>
        <w:t xml:space="preserve">. Subject to the provisions of the last paragraph of </w:t>
      </w:r>
      <w:r>
        <w:rPr>
          <w:rFonts w:ascii="Arial" w:cs="Arial" w:eastAsia="Arial" w:hAnsi="Arial"/>
          <w:sz w:val="17"/>
          <w:szCs w:val="17"/>
          <w:u w:val="single" w:color="auto"/>
          <w:color w:val="auto"/>
        </w:rPr>
        <w:t>Section 10.03</w:t>
      </w:r>
      <w:r>
        <w:rPr>
          <w:rFonts w:ascii="Arial" w:cs="Arial" w:eastAsia="Arial" w:hAnsi="Arial"/>
          <w:sz w:val="17"/>
          <w:szCs w:val="17"/>
          <w:color w:val="auto"/>
        </w:rPr>
        <w:t xml:space="preserve">, all money deposited with the Trustee pursuant to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with respect to Securities of any series shall be held in trust and applied by it, in accordance with the provisions of such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 All moneys deposited with the Trustee pursuant to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(and held by it or any Paying Agent) for the payment of Securities subsequently converted shall be returned to the Company upon Company Request, to the extent originally deposited by the Company. The Company may direct by a Company Order the investment of any money deposited with the Trustee pursuant to </w:t>
      </w:r>
      <w:r>
        <w:rPr>
          <w:rFonts w:ascii="Arial" w:cs="Arial" w:eastAsia="Arial" w:hAnsi="Arial"/>
          <w:sz w:val="17"/>
          <w:szCs w:val="17"/>
          <w:u w:val="single" w:color="auto"/>
          <w:color w:val="auto"/>
        </w:rPr>
        <w:t>Section 4.01</w:t>
      </w:r>
      <w:r>
        <w:rPr>
          <w:rFonts w:ascii="Arial" w:cs="Arial" w:eastAsia="Arial" w:hAnsi="Arial"/>
          <w:sz w:val="17"/>
          <w:szCs w:val="17"/>
          <w:color w:val="auto"/>
        </w:rPr>
        <w:t>, without distinction between principal and income, in (1) United States Treasury Securities with a maturity of one year or less or (2) a money market fund that invests solely in short term United States Treasury Securities and from time to time the Company may direct the reinvestment of all or a portion of such money in other securities or funds meeting the criteria specified in Clause (1) or (2) of this sentence.</w:t>
      </w:r>
    </w:p>
    <w:p>
      <w:pPr>
        <w:spacing w:after="0" w:line="39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REMEDIES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1"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 xml:space="preserve">Except as may otherwise be provided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for all or any specific Securities of any series,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b w:val="1"/>
          <w:bCs w:val="1"/>
          <w:color w:val="auto"/>
        </w:rPr>
        <w:t>,”</w:t>
      </w:r>
      <w:r>
        <w:rPr>
          <w:rFonts w:ascii="Arial" w:cs="Arial" w:eastAsia="Arial" w:hAnsi="Arial"/>
          <w:sz w:val="18"/>
          <w:szCs w:val="18"/>
          <w:color w:val="auto"/>
        </w:rPr>
        <w:t xml:space="preserve"> wherever used herein with respect to the Securities of that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76" w:lineRule="exact"/>
        <w:rPr>
          <w:sz w:val="20"/>
          <w:szCs w:val="20"/>
          <w:color w:val="auto"/>
        </w:rPr>
      </w:pPr>
    </w:p>
    <w:p>
      <w:pPr>
        <w:ind w:left="460" w:firstLine="443"/>
        <w:spacing w:after="0" w:line="277" w:lineRule="auto"/>
        <w:tabs>
          <w:tab w:leader="none" w:pos="11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it becomes due and payable, and continuance of such default for a period of 30 days;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on any Security of that series at its Maturity; or</w:t>
      </w:r>
    </w:p>
    <w:p>
      <w:pPr>
        <w:spacing w:after="0" w:line="117"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Security of that series and continuance of such default for a period of 60 days; or</w:t>
      </w:r>
    </w:p>
    <w:p>
      <w:pPr>
        <w:spacing w:after="0" w:line="62" w:lineRule="exact"/>
        <w:rPr>
          <w:rFonts w:ascii="Arial" w:cs="Arial" w:eastAsia="Arial" w:hAnsi="Arial"/>
          <w:sz w:val="18"/>
          <w:szCs w:val="18"/>
          <w:color w:val="auto"/>
        </w:rPr>
      </w:pPr>
    </w:p>
    <w:p>
      <w:pPr>
        <w:ind w:left="460" w:right="380" w:firstLine="443"/>
        <w:spacing w:after="0" w:line="312" w:lineRule="auto"/>
        <w:tabs>
          <w:tab w:leader="none" w:pos="1153" w:val="left"/>
        </w:tabs>
        <w:numPr>
          <w:ilvl w:val="0"/>
          <w:numId w:val="67"/>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90 days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97" w:name="page98"/>
    <w:bookmarkEnd w:id="97"/>
    <w:p>
      <w:pPr>
        <w:jc w:val="both"/>
        <w:ind w:left="460"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Notice of Default</w:t>
      </w:r>
      <w:r>
        <w:rPr>
          <w:rFonts w:ascii="Arial" w:cs="Arial" w:eastAsia="Arial" w:hAnsi="Arial"/>
          <w:sz w:val="18"/>
          <w:szCs w:val="18"/>
          <w:b w:val="1"/>
          <w:bCs w:val="1"/>
          <w:color w:val="auto"/>
        </w:rPr>
        <w:t>”</w:t>
      </w:r>
      <w:r>
        <w:rPr>
          <w:rFonts w:ascii="Arial" w:cs="Arial" w:eastAsia="Arial" w:hAnsi="Arial"/>
          <w:sz w:val="18"/>
          <w:szCs w:val="18"/>
          <w:color w:val="auto"/>
        </w:rPr>
        <w:t xml:space="preserve"> hereunder; or</w:t>
      </w:r>
    </w:p>
    <w:p>
      <w:pPr>
        <w:spacing w:after="0" w:line="73" w:lineRule="exact"/>
        <w:rPr>
          <w:sz w:val="20"/>
          <w:szCs w:val="20"/>
          <w:color w:val="auto"/>
        </w:rPr>
      </w:pPr>
    </w:p>
    <w:p>
      <w:pPr>
        <w:ind w:left="460" w:firstLine="443"/>
        <w:spacing w:after="0" w:line="293" w:lineRule="auto"/>
        <w:tabs>
          <w:tab w:leader="none" w:pos="1153"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56" w:lineRule="exact"/>
        <w:rPr>
          <w:rFonts w:ascii="Arial" w:cs="Arial" w:eastAsia="Arial" w:hAnsi="Arial"/>
          <w:sz w:val="16"/>
          <w:szCs w:val="16"/>
          <w:color w:val="auto"/>
        </w:rPr>
      </w:pPr>
    </w:p>
    <w:p>
      <w:pPr>
        <w:ind w:left="460" w:firstLine="443"/>
        <w:spacing w:after="0" w:line="290" w:lineRule="auto"/>
        <w:tabs>
          <w:tab w:leader="none" w:pos="1153"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58" w:lineRule="exact"/>
        <w:rPr>
          <w:rFonts w:ascii="Arial" w:cs="Arial" w:eastAsia="Arial" w:hAnsi="Arial"/>
          <w:sz w:val="16"/>
          <w:szCs w:val="16"/>
          <w:color w:val="auto"/>
        </w:rPr>
      </w:pPr>
    </w:p>
    <w:p>
      <w:pPr>
        <w:ind w:left="460" w:right="80" w:firstLine="443"/>
        <w:spacing w:after="0" w:line="259" w:lineRule="auto"/>
        <w:tabs>
          <w:tab w:leader="none" w:pos="1153"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if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has been made applicable with respect to such Securities, the Guarantee of the Securities of such series by any Guarantor shall for any reason cease to be, or shall for any reason be asserted in writing by such Guarantor or the Company not to be, in full force and effect and enforceable in accordance with its terms, except to the extent contemplated or permitted by this Indenture or by the terms of the Securities of such series established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or</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in accordance with Section 3.01.</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 xml:space="preserve">. Except as may otherwise be provided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for all or any specific Securities of any series, if an Event of Default (other than an Event of Default specified in </w:t>
      </w:r>
      <w:r>
        <w:rPr>
          <w:rFonts w:ascii="Arial" w:cs="Arial" w:eastAsia="Arial" w:hAnsi="Arial"/>
          <w:sz w:val="18"/>
          <w:szCs w:val="18"/>
          <w:u w:val="single" w:color="auto"/>
          <w:color w:val="auto"/>
        </w:rPr>
        <w:t>Section 5.01(5)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5.01(6))</w:t>
      </w:r>
      <w:r>
        <w:rPr>
          <w:rFonts w:ascii="Arial" w:cs="Arial" w:eastAsia="Arial" w:hAnsi="Arial"/>
          <w:sz w:val="18"/>
          <w:szCs w:val="18"/>
          <w:color w:val="auto"/>
        </w:rPr>
        <w:t xml:space="preserve"> with respect to Securities of that series at the time Outstanding occurs and is continuing, then in every such case the Trustee or the Holders of not less than 25% in principal amount of the Outstanding Securities of that series may declare the principal amount of all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98" w:name="page99"/>
    <w:bookmarkEnd w:id="9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Securities of that series (or, in the case of any Security of that series which specifies an amount to be due and payable thereon upon acceleration of the Maturity thereof, such amount as may be specified by the terms thereof) to be due and payable immediately, by a notice in writing to the Company and any Guarantor of the Securities of that series (and to the Trustee if given by Holders), and upon any such declaration such principal amount (or specified amount), together with any accrued and unpaid interest thereon, shall become immediately due and payable. Except as may otherwise be provided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for all or any specific Securities of any series, if an Event of Default specified in </w:t>
      </w:r>
      <w:r>
        <w:rPr>
          <w:rFonts w:ascii="Arial" w:cs="Arial" w:eastAsia="Arial" w:hAnsi="Arial"/>
          <w:sz w:val="17"/>
          <w:szCs w:val="17"/>
          <w:u w:val="single" w:color="auto"/>
          <w:color w:val="auto"/>
        </w:rPr>
        <w:t>Section 5.01(5)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5.01(6)</w:t>
      </w:r>
      <w:r>
        <w:rPr>
          <w:rFonts w:ascii="Arial" w:cs="Arial" w:eastAsia="Arial" w:hAnsi="Arial"/>
          <w:sz w:val="17"/>
          <w:szCs w:val="17"/>
          <w:color w:val="auto"/>
        </w:rPr>
        <w:t xml:space="preserve"> with respect to Securities of that series at the time Outstanding occurs, the principal amount of all the Securities of that series (or, in the case of any Security of that series which specifies an amount to be due and payable thereon upon acceleration of the Maturity thereof, such amount as may be specified by the terms thereof), together with any accrued and unpaid interest thereon, shall automatically, and without any declaration or other action on the part of the Trustee or any Holder, become immediately due and payable.</w:t>
      </w:r>
    </w:p>
    <w:p>
      <w:pPr>
        <w:spacing w:after="0" w:line="182"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 xml:space="preserve">Except as may otherwise be provided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for all or any specific Securities of any series, at any time after such a declaration of acceleration with respect to Securities of that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any Guarantor of the Securities of that series and the Trustee, may rescind and annul such declaration and its consequences if</w:t>
      </w:r>
    </w:p>
    <w:p>
      <w:pPr>
        <w:spacing w:after="0" w:line="46" w:lineRule="exact"/>
        <w:rPr>
          <w:sz w:val="20"/>
          <w:szCs w:val="20"/>
          <w:color w:val="auto"/>
        </w:rPr>
      </w:pPr>
    </w:p>
    <w:p>
      <w:pPr>
        <w:ind w:left="1160" w:hanging="257"/>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or any such Guarantor has paid or deposited with the Trustee a sum sufficient to pay</w:t>
      </w:r>
    </w:p>
    <w:p>
      <w:pPr>
        <w:spacing w:after="0" w:line="117" w:lineRule="exact"/>
        <w:rPr>
          <w:rFonts w:ascii="Arial" w:cs="Arial" w:eastAsia="Arial" w:hAnsi="Arial"/>
          <w:sz w:val="18"/>
          <w:szCs w:val="18"/>
          <w:color w:val="auto"/>
        </w:rPr>
      </w:pPr>
    </w:p>
    <w:p>
      <w:pPr>
        <w:ind w:left="1640" w:hanging="299"/>
        <w:spacing w:after="0"/>
        <w:tabs>
          <w:tab w:leader="none" w:pos="16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overdue interest on all Securities of that series,</w:t>
      </w:r>
    </w:p>
    <w:p>
      <w:pPr>
        <w:spacing w:after="0" w:line="117" w:lineRule="exact"/>
        <w:rPr>
          <w:rFonts w:ascii="Arial" w:cs="Arial" w:eastAsia="Arial" w:hAnsi="Arial"/>
          <w:sz w:val="18"/>
          <w:szCs w:val="18"/>
          <w:color w:val="auto"/>
        </w:rPr>
      </w:pPr>
    </w:p>
    <w:p>
      <w:pPr>
        <w:ind w:left="920" w:right="220" w:firstLine="421"/>
        <w:spacing w:after="0" w:line="277" w:lineRule="auto"/>
        <w:tabs>
          <w:tab w:leader="none" w:pos="1625"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62" w:lineRule="exact"/>
        <w:rPr>
          <w:rFonts w:ascii="Arial" w:cs="Arial" w:eastAsia="Arial" w:hAnsi="Arial"/>
          <w:sz w:val="18"/>
          <w:szCs w:val="18"/>
          <w:color w:val="auto"/>
        </w:rPr>
      </w:pPr>
    </w:p>
    <w:p>
      <w:pPr>
        <w:ind w:left="920" w:right="540" w:firstLine="421"/>
        <w:spacing w:after="0" w:line="277" w:lineRule="auto"/>
        <w:tabs>
          <w:tab w:leader="none" w:pos="1625" w:val="left"/>
        </w:tabs>
        <w:numPr>
          <w:ilvl w:val="1"/>
          <w:numId w:val="69"/>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interest at the rate or rates prescribed therefor in such Securities, and</w:t>
      </w:r>
    </w:p>
    <w:p>
      <w:pPr>
        <w:spacing w:after="0" w:line="62" w:lineRule="exact"/>
        <w:rPr>
          <w:rFonts w:ascii="Arial" w:cs="Arial" w:eastAsia="Arial" w:hAnsi="Arial"/>
          <w:sz w:val="18"/>
          <w:szCs w:val="18"/>
          <w:color w:val="auto"/>
        </w:rPr>
      </w:pPr>
    </w:p>
    <w:p>
      <w:pPr>
        <w:ind w:left="920" w:right="280" w:firstLine="421"/>
        <w:spacing w:after="0" w:line="277" w:lineRule="auto"/>
        <w:tabs>
          <w:tab w:leader="none" w:pos="1635"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62" w:lineRule="exact"/>
        <w:rPr>
          <w:rFonts w:ascii="Arial" w:cs="Arial" w:eastAsia="Arial" w:hAnsi="Arial"/>
          <w:sz w:val="18"/>
          <w:szCs w:val="18"/>
          <w:color w:val="auto"/>
        </w:rPr>
      </w:pPr>
    </w:p>
    <w:p>
      <w:pPr>
        <w:ind w:left="460" w:right="280" w:firstLine="443"/>
        <w:spacing w:after="0" w:line="277" w:lineRule="auto"/>
        <w:tabs>
          <w:tab w:leader="none" w:pos="11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all Events of Default with respect to Securities of that series, other than the non-payment of the principal of Securities of that series which have become due solely by such declaration of acceleration, have been cured or waived as provided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274" w:right="279" w:bottom="1440" w:gutter="0" w:footer="0" w:header="0"/>
        </w:sectPr>
      </w:pPr>
    </w:p>
    <w:bookmarkStart w:id="99" w:name="page100"/>
    <w:bookmarkEnd w:id="9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 The Company covenants that if</w:t>
      </w:r>
    </w:p>
    <w:p>
      <w:pPr>
        <w:spacing w:after="0" w:line="117" w:lineRule="exact"/>
        <w:rPr>
          <w:sz w:val="20"/>
          <w:szCs w:val="20"/>
          <w:color w:val="auto"/>
        </w:rPr>
      </w:pPr>
    </w:p>
    <w:p>
      <w:pPr>
        <w:ind w:left="460" w:right="140" w:firstLine="443"/>
        <w:spacing w:after="0" w:line="277" w:lineRule="auto"/>
        <w:tabs>
          <w:tab w:leader="none" w:pos="1153"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60 days,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Security at the Maturity thereof,</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Trustee May File Proofs of Claim</w:t>
      </w:r>
      <w:r>
        <w:rPr>
          <w:rFonts w:ascii="Arial" w:cs="Arial" w:eastAsia="Arial" w:hAnsi="Arial"/>
          <w:sz w:val="17"/>
          <w:szCs w:val="17"/>
          <w:color w:val="auto"/>
        </w:rPr>
        <w:t xml:space="preserve">. In case of any judicial proceeding relative to the Company, any Guarantor or any other obligor upon the Securities, their property or their creditors, the Trustee shall be entitled and empowered, by intervention in such proceeding or otherwise, to take any and all actions authorized under the Trust Indenture Act in order to have claims of the Holders and the Trustee allowed in any such proceeding.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w:t>
      </w:r>
      <w:r>
        <w:rPr>
          <w:rFonts w:ascii="Arial" w:cs="Arial" w:eastAsia="Arial" w:hAnsi="Arial"/>
          <w:sz w:val="17"/>
          <w:szCs w:val="17"/>
          <w:u w:val="single" w:color="auto"/>
          <w:color w:val="auto"/>
        </w:rPr>
        <w:t>Section 6.07</w:t>
      </w:r>
      <w:r>
        <w:rPr>
          <w:rFonts w:ascii="Arial" w:cs="Arial" w:eastAsia="Arial" w:hAnsi="Arial"/>
          <w:sz w:val="17"/>
          <w:szCs w:val="17"/>
          <w:color w:val="auto"/>
        </w:rPr>
        <w:t>.</w:t>
      </w:r>
    </w:p>
    <w:p>
      <w:pPr>
        <w:spacing w:after="0" w:line="179"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 xml:space="preserve">No provision of this Indenture shall be deemed to authorize the Trustee to authorize or consent to or accept or adopt on behalf of any Holder any plan of reorganization, arrangement, adjustment or composition affecting the Securities or any Guarantee or the rights of any Holder thereof or to authorize the Trustee to vote in respect of the claim of any Holder in any such proceeding;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Trustee may, on behalf of the Holders, vote for the election of a trustee in bankruptcy or similar official and be a member of a creditors’ or other similar committee.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74" w:right="279" w:bottom="1440" w:gutter="0" w:footer="0" w:header="0"/>
        </w:sectPr>
      </w:pPr>
    </w:p>
    <w:bookmarkStart w:id="100" w:name="page101"/>
    <w:bookmarkEnd w:id="100"/>
    <w:p>
      <w:pPr>
        <w:ind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5.05. </w:t>
      </w:r>
      <w:r>
        <w:rPr>
          <w:rFonts w:ascii="Arial" w:cs="Arial" w:eastAsia="Arial" w:hAnsi="Arial"/>
          <w:sz w:val="17"/>
          <w:szCs w:val="17"/>
          <w:u w:val="single" w:color="auto"/>
          <w:color w:val="auto"/>
        </w:rPr>
        <w:t>Trustee May Enforce Claims Without Possession of Securities</w:t>
      </w:r>
      <w:r>
        <w:rPr>
          <w:rFonts w:ascii="Arial" w:cs="Arial" w:eastAsia="Arial" w:hAnsi="Arial"/>
          <w:sz w:val="17"/>
          <w:szCs w:val="17"/>
          <w:color w:val="auto"/>
        </w:rPr>
        <w:t>. All rights of action and claims under this Indenture or the Securities or any Guarantee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73"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Application of Money Collected</w:t>
      </w:r>
      <w:r>
        <w:rPr>
          <w:rFonts w:ascii="Arial" w:cs="Arial" w:eastAsia="Arial" w:hAnsi="Arial"/>
          <w:sz w:val="17"/>
          <w:szCs w:val="17"/>
          <w:color w:val="auto"/>
        </w:rPr>
        <w:t>. 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FIRST: To the payment of all amounts due the Trustee under </w:t>
      </w:r>
      <w:r>
        <w:rPr>
          <w:rFonts w:ascii="Arial" w:cs="Arial" w:eastAsia="Arial" w:hAnsi="Arial"/>
          <w:sz w:val="18"/>
          <w:szCs w:val="18"/>
          <w:u w:val="single" w:color="auto"/>
          <w:color w:val="auto"/>
        </w:rPr>
        <w:t>Section 6.07</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SECOND: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spacing w:after="0" w:line="7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THIRD: To the payment of the remainder, if any, to the Company, any Guarantor or to whomsoever may be lawfully entitled to receive the same as a court of competent jurisdiction may direct.</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 No Holder of any Security of any series shall have any right to institute any proceeding, judicial or otherwise, with respect to this Indenture, or for the appointment of a receiver or trustee, or for any other remedy hereunder, unless</w:t>
      </w:r>
    </w:p>
    <w:p>
      <w:pPr>
        <w:spacing w:after="0" w:line="62" w:lineRule="exact"/>
        <w:rPr>
          <w:sz w:val="20"/>
          <w:szCs w:val="20"/>
          <w:color w:val="auto"/>
        </w:rPr>
      </w:pPr>
    </w:p>
    <w:p>
      <w:pPr>
        <w:ind w:left="1160" w:hanging="257"/>
        <w:spacing w:after="0"/>
        <w:tabs>
          <w:tab w:leader="none" w:pos="11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 that series;</w:t>
      </w:r>
    </w:p>
    <w:p>
      <w:pPr>
        <w:spacing w:after="0" w:line="140" w:lineRule="exact"/>
        <w:rPr>
          <w:rFonts w:ascii="Arial" w:cs="Arial" w:eastAsia="Arial" w:hAnsi="Arial"/>
          <w:sz w:val="16"/>
          <w:szCs w:val="16"/>
          <w:color w:val="auto"/>
        </w:rPr>
      </w:pPr>
    </w:p>
    <w:p>
      <w:pPr>
        <w:ind w:left="460" w:firstLine="443"/>
        <w:spacing w:after="0" w:line="277" w:lineRule="auto"/>
        <w:tabs>
          <w:tab w:leader="none" w:pos="115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62" w:lineRule="exact"/>
        <w:rPr>
          <w:rFonts w:ascii="Arial" w:cs="Arial" w:eastAsia="Arial" w:hAnsi="Arial"/>
          <w:sz w:val="18"/>
          <w:szCs w:val="18"/>
          <w:color w:val="auto"/>
        </w:rPr>
      </w:pPr>
    </w:p>
    <w:p>
      <w:pPr>
        <w:ind w:left="460" w:right="420" w:firstLine="443"/>
        <w:spacing w:after="0" w:line="277" w:lineRule="auto"/>
        <w:tabs>
          <w:tab w:leader="none" w:pos="1153"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reasonably satisfactory to it against the costs, expenses and liabilities to be incurred in compliance with such request;</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Trustee for 60 days after its receipt of such notice, request and offer of indemnity has failed to institute any such proceeding; and</w:t>
      </w:r>
    </w:p>
    <w:p>
      <w:pPr>
        <w:spacing w:after="0" w:line="128" w:lineRule="exact"/>
        <w:rPr>
          <w:rFonts w:ascii="Arial" w:cs="Arial" w:eastAsia="Arial" w:hAnsi="Arial"/>
          <w:sz w:val="17"/>
          <w:szCs w:val="17"/>
          <w:color w:val="auto"/>
        </w:rPr>
      </w:pPr>
    </w:p>
    <w:p>
      <w:pPr>
        <w:ind w:left="460" w:right="280" w:firstLine="443"/>
        <w:spacing w:after="0" w:line="277" w:lineRule="auto"/>
        <w:tabs>
          <w:tab w:leader="none" w:pos="1153"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101" w:name="page102"/>
    <w:bookmarkEnd w:id="101"/>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8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Unconditional Right of Holders to Receive Principal, Premium and Interest and to Convert</w:t>
      </w:r>
      <w:r>
        <w:rPr>
          <w:rFonts w:ascii="Arial" w:cs="Arial" w:eastAsia="Arial" w:hAnsi="Arial"/>
          <w:sz w:val="16"/>
          <w:szCs w:val="16"/>
          <w:color w:val="auto"/>
        </w:rPr>
        <w:t xml:space="preserve">. Notwithstanding any other provision in this Indenture, the Holder of any Security shall have the right, which is absolute and unconditional, to receive payment of the principal of and any premium and (subject to </w:t>
      </w:r>
      <w:r>
        <w:rPr>
          <w:rFonts w:ascii="Arial" w:cs="Arial" w:eastAsia="Arial" w:hAnsi="Arial"/>
          <w:sz w:val="16"/>
          <w:szCs w:val="16"/>
          <w:u w:val="single" w:color="auto"/>
          <w:color w:val="auto"/>
        </w:rPr>
        <w:t>Section 3.07</w:t>
      </w:r>
      <w:r>
        <w:rPr>
          <w:rFonts w:ascii="Arial" w:cs="Arial" w:eastAsia="Arial" w:hAnsi="Arial"/>
          <w:sz w:val="16"/>
          <w:szCs w:val="16"/>
          <w:color w:val="auto"/>
        </w:rPr>
        <w:t>) interest on such Security on the respective Stated Maturities expressed in such Security (or, in the case of redemption, on the Redemption Date), and, if the terms of such Security so provide, to convert such Security in accordance with its terms, and to institute suit for the enforcement of any such payment and, if applicable, any such right to convert, and such rights shall not be impaired without the consent of such Holder.</w:t>
      </w:r>
    </w:p>
    <w:p>
      <w:pPr>
        <w:spacing w:after="0" w:line="15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any Guarantors,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88"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 xml:space="preserve">. Except as otherwise provided with respect to the replacement or payment of mutilated, destroyed, lost or wrongfully taken Securities in the last paragraph of </w:t>
      </w:r>
      <w:r>
        <w:rPr>
          <w:rFonts w:ascii="Arial" w:cs="Arial" w:eastAsia="Arial" w:hAnsi="Arial"/>
          <w:sz w:val="16"/>
          <w:szCs w:val="16"/>
          <w:u w:val="single" w:color="auto"/>
          <w:color w:val="auto"/>
        </w:rPr>
        <w:t>Section 3.06</w:t>
      </w:r>
      <w:r>
        <w:rPr>
          <w:rFonts w:ascii="Arial" w:cs="Arial" w:eastAsia="Arial" w:hAnsi="Arial"/>
          <w:sz w:val="16"/>
          <w:szCs w:val="16"/>
          <w:color w:val="auto"/>
        </w:rPr>
        <w:t>,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5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 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 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73" w:lineRule="exact"/>
        <w:rPr>
          <w:sz w:val="20"/>
          <w:szCs w:val="20"/>
          <w:color w:val="auto"/>
        </w:rPr>
      </w:pPr>
    </w:p>
    <w:p>
      <w:pPr>
        <w:ind w:left="5620" w:right="4440" w:hanging="4717"/>
        <w:spacing w:after="0" w:line="449" w:lineRule="auto"/>
        <w:tabs>
          <w:tab w:leader="none" w:pos="1154"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 41</w:t>
      </w:r>
    </w:p>
    <w:p>
      <w:pPr>
        <w:sectPr>
          <w:pgSz w:w="11900" w:h="16838" w:orient="portrait"/>
          <w:cols w:equalWidth="0" w:num="1">
            <w:col w:w="11420"/>
          </w:cols>
          <w:pgMar w:left="240" w:top="274" w:right="239" w:bottom="1440" w:gutter="0" w:footer="0" w:header="0"/>
        </w:sectPr>
      </w:pPr>
    </w:p>
    <w:bookmarkStart w:id="102" w:name="page103"/>
    <w:bookmarkEnd w:id="102"/>
    <w:p>
      <w:pPr>
        <w:ind w:left="1160" w:hanging="257"/>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may take any other action deemed proper by the Trustee which is not inconsistent with such direction; and</w:t>
      </w:r>
    </w:p>
    <w:p>
      <w:pPr>
        <w:spacing w:after="0" w:line="117" w:lineRule="exact"/>
        <w:rPr>
          <w:rFonts w:ascii="Arial" w:cs="Arial" w:eastAsia="Arial" w:hAnsi="Arial"/>
          <w:sz w:val="18"/>
          <w:szCs w:val="18"/>
          <w:color w:val="auto"/>
        </w:rPr>
      </w:pPr>
    </w:p>
    <w:p>
      <w:pPr>
        <w:ind w:left="460" w:right="260" w:firstLine="443"/>
        <w:spacing w:after="0" w:line="277" w:lineRule="auto"/>
        <w:tabs>
          <w:tab w:leader="none" w:pos="11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 6.01</w:t>
      </w:r>
      <w:r>
        <w:rPr>
          <w:rFonts w:ascii="Arial" w:cs="Arial" w:eastAsia="Arial" w:hAnsi="Arial"/>
          <w:sz w:val="18"/>
          <w:szCs w:val="18"/>
          <w:color w:val="auto"/>
        </w:rPr>
        <w:t>, the Trustee shall have the right to decline to follow any such direction if the Trustee in good faith shall determine that the proceeding so directed would involve the Trustee in personal liability.</w:t>
      </w:r>
    </w:p>
    <w:p>
      <w:pPr>
        <w:spacing w:after="0" w:line="17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Waiver of Past Defaults</w:t>
      </w:r>
      <w:r>
        <w:rPr>
          <w:rFonts w:ascii="Arial" w:cs="Arial" w:eastAsia="Arial" w:hAnsi="Arial"/>
          <w:sz w:val="17"/>
          <w:szCs w:val="17"/>
          <w:color w:val="auto"/>
        </w:rPr>
        <w:t xml:space="preserve">. Except as may otherwise be provided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for all or any specific Securities of any series, the Holders of not less than a majority in principal amount (including waivers obtained in connection with a purchase of, or tender offer or exchange offer for, Securities) of the Outstanding Securities of any series to be affected under this Indenture may on behalf of the Holders of all the Securities of such series waive any past default hereunder with respect to such series and its consequences, except a default</w:t>
      </w:r>
    </w:p>
    <w:p>
      <w:pPr>
        <w:spacing w:after="0" w:line="63" w:lineRule="exact"/>
        <w:rPr>
          <w:sz w:val="20"/>
          <w:szCs w:val="20"/>
          <w:color w:val="auto"/>
        </w:rPr>
      </w:pPr>
    </w:p>
    <w:p>
      <w:pPr>
        <w:ind w:left="1160" w:hanging="257"/>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payment of the principal of or any premium or interest on any Security of such series, or</w:t>
      </w:r>
    </w:p>
    <w:p>
      <w:pPr>
        <w:spacing w:after="0" w:line="117" w:lineRule="exact"/>
        <w:rPr>
          <w:rFonts w:ascii="Arial" w:cs="Arial" w:eastAsia="Arial" w:hAnsi="Arial"/>
          <w:sz w:val="18"/>
          <w:szCs w:val="18"/>
          <w:color w:val="auto"/>
        </w:rPr>
      </w:pPr>
    </w:p>
    <w:p>
      <w:pPr>
        <w:ind w:left="460" w:right="40" w:firstLine="443"/>
        <w:spacing w:after="0" w:line="277" w:lineRule="auto"/>
        <w:tabs>
          <w:tab w:leader="none" w:pos="1153"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in respect of a covenant or provision hereof which under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cannot be modified or amended without the consent of the Holder of each Outstanding Security of such series affected.</w:t>
      </w:r>
    </w:p>
    <w:p>
      <w:pPr>
        <w:spacing w:after="0" w:line="170"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6"/>
          <w:szCs w:val="16"/>
          <w:color w:val="auto"/>
        </w:rPr>
        <w:t>Upon any such waiver with respect to any series, such default shall cease to exist, and any Event of Default arising therefrom shall be deemed to have been cured, with respect to such series for every purpose of this Indenture; but no such waiver shall extend to any subsequent or other default or impair any right consequent thereon. A waiver of any past default and its consequences given by or on behalf of any Holder of Securities in connection with a purchase of, or tender or exchange offer for, such Holder’s Securities will not be rendered invalid by such purchase, tender or exchange.</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 xml:space="preserve">. 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including reasonable attorneys’ fees and expenses, against any such party litigant, in the manner and to the extent provided in the Trust Indenture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this Section nor the Trust Indenture Act shall be deemed to authorize any court to require such an undertaking or to make such an assessment in any suit instituted by the Company, any Guarantor or the Trustee or, if applicable, in any suit for the enforcement of the right to convert any Security in accordance with its terms.</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Waiver of Usury, Stay or Extension Laws</w:t>
      </w:r>
      <w:r>
        <w:rPr>
          <w:rFonts w:ascii="Arial" w:cs="Arial" w:eastAsia="Arial" w:hAnsi="Arial"/>
          <w:sz w:val="18"/>
          <w:szCs w:val="18"/>
          <w:color w:val="auto"/>
        </w:rPr>
        <w:t>. The Company and each Guarantor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and each Guarantor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4" w:right="25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TRUSTEE</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Certain Duties and Responsibilities</w:t>
      </w:r>
      <w:r>
        <w:rPr>
          <w:rFonts w:ascii="Arial" w:cs="Arial" w:eastAsia="Arial" w:hAnsi="Arial"/>
          <w:sz w:val="18"/>
          <w:szCs w:val="18"/>
          <w:color w:val="auto"/>
        </w:rPr>
        <w:t>.</w:t>
      </w:r>
    </w:p>
    <w:p>
      <w:pPr>
        <w:spacing w:after="0" w:line="117" w:lineRule="exact"/>
        <w:rPr>
          <w:sz w:val="20"/>
          <w:szCs w:val="20"/>
          <w:color w:val="auto"/>
        </w:rPr>
      </w:pPr>
    </w:p>
    <w:p>
      <w:pPr>
        <w:ind w:left="640" w:hanging="23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left="400" w:right="140" w:firstLine="443"/>
        <w:spacing w:after="0" w:line="264" w:lineRule="auto"/>
        <w:tabs>
          <w:tab w:leader="none" w:pos="1093"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this Indenture and as are provided by the Trust Indenture Act, and, except for implied covenants or obligations under the Trust Indenture Act, no implied covenants or obligations shall be read into this Indenture against the Trustee; and</w:t>
      </w:r>
    </w:p>
    <w:p>
      <w:pPr>
        <w:spacing w:after="0" w:line="73" w:lineRule="exact"/>
        <w:rPr>
          <w:rFonts w:ascii="Arial" w:cs="Arial" w:eastAsia="Arial" w:hAnsi="Arial"/>
          <w:sz w:val="18"/>
          <w:szCs w:val="18"/>
          <w:color w:val="auto"/>
        </w:rPr>
      </w:pPr>
    </w:p>
    <w:p>
      <w:pPr>
        <w:ind w:left="400" w:right="100" w:firstLine="443"/>
        <w:spacing w:after="0" w:line="279" w:lineRule="auto"/>
        <w:tabs>
          <w:tab w:leader="none" w:pos="1093" w:val="left"/>
        </w:tabs>
        <w:numPr>
          <w:ilvl w:val="1"/>
          <w:numId w:val="75"/>
        </w:numPr>
        <w:rPr>
          <w:rFonts w:ascii="Arial" w:cs="Arial" w:eastAsia="Arial" w:hAnsi="Arial"/>
          <w:sz w:val="17"/>
          <w:szCs w:val="17"/>
          <w:color w:val="auto"/>
        </w:rPr>
      </w:pPr>
      <w:r>
        <w:rPr>
          <w:rFonts w:ascii="Arial" w:cs="Arial" w:eastAsia="Arial" w:hAnsi="Arial"/>
          <w:sz w:val="17"/>
          <w:szCs w:val="17"/>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63" w:lineRule="exact"/>
        <w:rPr>
          <w:rFonts w:ascii="Arial" w:cs="Arial" w:eastAsia="Arial" w:hAnsi="Arial"/>
          <w:sz w:val="17"/>
          <w:szCs w:val="17"/>
          <w:color w:val="auto"/>
        </w:rPr>
      </w:pPr>
    </w:p>
    <w:p>
      <w:pPr>
        <w:ind w:left="-60" w:right="80" w:firstLine="464"/>
        <w:spacing w:after="0" w:line="264" w:lineRule="auto"/>
        <w:tabs>
          <w:tab w:leader="none" w:pos="651"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case an Event of Default has occurred and is continuing, the Trustee shall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73" w:lineRule="exact"/>
        <w:rPr>
          <w:rFonts w:ascii="Arial" w:cs="Arial" w:eastAsia="Arial" w:hAnsi="Arial"/>
          <w:sz w:val="18"/>
          <w:szCs w:val="18"/>
          <w:color w:val="auto"/>
        </w:rPr>
      </w:pPr>
    </w:p>
    <w:p>
      <w:pPr>
        <w:ind w:left="-60" w:right="40" w:firstLine="464"/>
        <w:spacing w:after="0" w:line="277" w:lineRule="auto"/>
        <w:tabs>
          <w:tab w:leader="none" w:pos="641"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1100" w:hanging="257"/>
        <w:spacing w:after="0"/>
        <w:tabs>
          <w:tab w:leader="none" w:pos="11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this Subsection shall not be construed to limit the effect of the first paragraph of this Section;</w:t>
      </w:r>
    </w:p>
    <w:p>
      <w:pPr>
        <w:spacing w:after="0" w:line="117" w:lineRule="exact"/>
        <w:rPr>
          <w:rFonts w:ascii="Arial" w:cs="Arial" w:eastAsia="Arial" w:hAnsi="Arial"/>
          <w:sz w:val="18"/>
          <w:szCs w:val="18"/>
          <w:color w:val="auto"/>
        </w:rPr>
      </w:pPr>
    </w:p>
    <w:p>
      <w:pPr>
        <w:ind w:left="400" w:right="20" w:firstLine="443"/>
        <w:spacing w:after="0" w:line="277" w:lineRule="auto"/>
        <w:tabs>
          <w:tab w:leader="none" w:pos="1093"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62" w:lineRule="exact"/>
        <w:rPr>
          <w:rFonts w:ascii="Arial" w:cs="Arial" w:eastAsia="Arial" w:hAnsi="Arial"/>
          <w:sz w:val="18"/>
          <w:szCs w:val="18"/>
          <w:color w:val="auto"/>
        </w:rPr>
      </w:pPr>
    </w:p>
    <w:p>
      <w:pPr>
        <w:ind w:left="400" w:firstLine="443"/>
        <w:spacing w:after="0" w:line="259" w:lineRule="auto"/>
        <w:tabs>
          <w:tab w:leader="none" w:pos="1093"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the Trustee shall not be liable with respect to any action taken or omitted to be taken by it in good faith in accordance with the direction of the Holders of a majority in principal amount of the Outstanding Securities of any series, determined as provided in </w:t>
      </w:r>
      <w:r>
        <w:rPr>
          <w:rFonts w:ascii="Arial" w:cs="Arial" w:eastAsia="Arial" w:hAnsi="Arial"/>
          <w:sz w:val="18"/>
          <w:szCs w:val="18"/>
          <w:u w:val="single" w:color="auto"/>
          <w:color w:val="auto"/>
        </w:rPr>
        <w:t>Section 5.12</w:t>
      </w:r>
      <w:r>
        <w:rPr>
          <w:rFonts w:ascii="Arial" w:cs="Arial" w:eastAsia="Arial" w:hAnsi="Arial"/>
          <w:sz w:val="18"/>
          <w:szCs w:val="18"/>
          <w:color w:val="auto"/>
        </w:rPr>
        <w:t>, relating to the time, method and place of conducting any proceeding for any remedy available to the Trustee, or exercising any trust or power conferred upon the Trustee, under this Indenture with respect to the Securities of such series;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20"/>
          </w:cols>
          <w:pgMar w:left="300" w:top="270" w:right="279" w:bottom="1440" w:gutter="0" w:footer="0" w:header="0"/>
        </w:sectPr>
      </w:pPr>
    </w:p>
    <w:bookmarkStart w:id="104" w:name="page105"/>
    <w:bookmarkEnd w:id="104"/>
    <w:p>
      <w:pPr>
        <w:jc w:val="both"/>
        <w:ind w:left="460" w:right="560" w:firstLine="443"/>
        <w:spacing w:after="0" w:line="286" w:lineRule="auto"/>
        <w:tabs>
          <w:tab w:leader="none" w:pos="1153" w:val="left"/>
        </w:tabs>
        <w:numPr>
          <w:ilvl w:val="1"/>
          <w:numId w:val="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57" w:lineRule="exact"/>
        <w:rPr>
          <w:rFonts w:ascii="Arial" w:cs="Arial" w:eastAsia="Arial" w:hAnsi="Arial"/>
          <w:sz w:val="17"/>
          <w:szCs w:val="17"/>
          <w:color w:val="auto"/>
        </w:rPr>
      </w:pPr>
    </w:p>
    <w:p>
      <w:pPr>
        <w:ind w:right="440" w:firstLine="464"/>
        <w:spacing w:after="0" w:line="277" w:lineRule="auto"/>
        <w:tabs>
          <w:tab w:leader="none" w:pos="711"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62" w:lineRule="exact"/>
        <w:rPr>
          <w:rFonts w:ascii="Arial" w:cs="Arial" w:eastAsia="Arial" w:hAnsi="Arial"/>
          <w:sz w:val="18"/>
          <w:szCs w:val="18"/>
          <w:color w:val="auto"/>
        </w:rPr>
      </w:pPr>
    </w:p>
    <w:p>
      <w:pPr>
        <w:ind w:left="700" w:hanging="236"/>
        <w:spacing w:after="0"/>
        <w:tabs>
          <w:tab w:leader="none" w:pos="7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No provision of this Indenture shall require the Trustee to expend or risk its own funds or incur any liability. The Trustee shall be under no</w:t>
      </w:r>
    </w:p>
    <w:p>
      <w:pPr>
        <w:spacing w:after="0" w:line="34"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obligation to exercise any of the rights or powers vested in it by this Indenture at the request or direction of any of the Holders unless such Holders shall have offered to the Trustee security or indemnity reasonably satisfactory to it against the costs, expenses and liabilities that might be incurred by it in compliance with such request or direction.</w:t>
      </w:r>
    </w:p>
    <w:p>
      <w:pPr>
        <w:spacing w:after="0" w:line="82" w:lineRule="exact"/>
        <w:rPr>
          <w:rFonts w:ascii="Arial" w:cs="Arial" w:eastAsia="Arial" w:hAnsi="Arial"/>
          <w:sz w:val="17"/>
          <w:szCs w:val="17"/>
          <w:color w:val="auto"/>
        </w:rPr>
      </w:pPr>
    </w:p>
    <w:p>
      <w:pPr>
        <w:jc w:val="both"/>
        <w:ind w:right="60" w:firstLine="464"/>
        <w:spacing w:after="0" w:line="264" w:lineRule="auto"/>
        <w:tabs>
          <w:tab w:leader="none" w:pos="681" w:val="left"/>
        </w:tabs>
        <w:numPr>
          <w:ilvl w:val="0"/>
          <w:numId w:val="77"/>
        </w:numPr>
        <w:rPr>
          <w:rFonts w:ascii="Arial" w:cs="Arial" w:eastAsia="Arial" w:hAnsi="Arial"/>
          <w:sz w:val="18"/>
          <w:szCs w:val="18"/>
          <w:color w:val="auto"/>
        </w:rPr>
      </w:pPr>
      <w:r>
        <w:rPr>
          <w:rFonts w:ascii="Arial" w:cs="Arial" w:eastAsia="Arial" w:hAnsi="Arial"/>
          <w:sz w:val="18"/>
          <w:szCs w:val="18"/>
          <w:color w:val="auto"/>
        </w:rPr>
        <w:t>Money held in trust by the Trustee need not be segregated from other funds and need not be held in an interest-bearing account, in each case except to the extent required by law or by any other provision of this Indenture. The Trustee (acting in any capacity hereunder) shall not be liable for interest on any money received by it hereunder unless the Trustee otherwise agrees in writing with the Company.</w:t>
      </w:r>
    </w:p>
    <w:p>
      <w:pPr>
        <w:spacing w:after="0" w:line="18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Notice of Defaults</w:t>
      </w:r>
      <w:r>
        <w:rPr>
          <w:rFonts w:ascii="Arial" w:cs="Arial" w:eastAsia="Arial" w:hAnsi="Arial"/>
          <w:sz w:val="16"/>
          <w:szCs w:val="16"/>
          <w:color w:val="auto"/>
        </w:rPr>
        <w:t xml:space="preserve">. If a default or Event of Default occurs and is continuing hereunder with respect to Securities of any series, and if it is known to the Trustee, the Trustee shall mail to the Holders of Securities of such series notice of such default or Event of default within 90 days after the Trustee gains knowledge of the default or Event of Default unless such default or Event of Default shall have been cured or waived before the giving of such notice. Except in the case of a default or Event of Default in payment of principal of, premium or interest on Securities of any series, the Trustee may withhold the notice if and so long as a committee of its Responsible Officers in good faith determines that withholding the notice is in the interests of the Holders of the Securities of such series. For the purpose of this Section and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the term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default</w:t>
      </w:r>
      <w:r>
        <w:rPr>
          <w:rFonts w:ascii="Arial" w:cs="Arial" w:eastAsia="Arial" w:hAnsi="Arial"/>
          <w:sz w:val="16"/>
          <w:szCs w:val="16"/>
          <w:b w:val="1"/>
          <w:bCs w:val="1"/>
          <w:color w:val="auto"/>
        </w:rPr>
        <w:t>”</w:t>
      </w:r>
      <w:r>
        <w:rPr>
          <w:rFonts w:ascii="Arial" w:cs="Arial" w:eastAsia="Arial" w:hAnsi="Arial"/>
          <w:sz w:val="16"/>
          <w:szCs w:val="16"/>
          <w:color w:val="auto"/>
        </w:rPr>
        <w:t xml:space="preserve"> means, with respect to Securities of any series, any event which is, or after notice or lapse of time or both would become, an Event of Default with respect to Securities of such series.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17" w:lineRule="exact"/>
        <w:rPr>
          <w:sz w:val="20"/>
          <w:szCs w:val="20"/>
          <w:color w:val="auto"/>
        </w:rPr>
      </w:pPr>
    </w:p>
    <w:p>
      <w:pPr>
        <w:ind w:left="460" w:right="20" w:firstLine="443"/>
        <w:spacing w:after="0" w:line="264" w:lineRule="auto"/>
        <w:tabs>
          <w:tab w:leader="none" w:pos="1153"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Trustee may conclusively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73" w:lineRule="exact"/>
        <w:rPr>
          <w:rFonts w:ascii="Arial" w:cs="Arial" w:eastAsia="Arial" w:hAnsi="Arial"/>
          <w:sz w:val="18"/>
          <w:szCs w:val="18"/>
          <w:color w:val="auto"/>
        </w:rPr>
      </w:pPr>
    </w:p>
    <w:p>
      <w:pPr>
        <w:ind w:left="460" w:right="20" w:firstLine="443"/>
        <w:spacing w:after="0" w:line="277" w:lineRule="auto"/>
        <w:tabs>
          <w:tab w:leader="none" w:pos="1153"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request or direction of a Guarantor mentioned herein shall be sufficiently evidenced by a Guarantor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274" w:right="299" w:bottom="1440" w:gutter="0" w:footer="0" w:header="0"/>
        </w:sectPr>
      </w:pPr>
    </w:p>
    <w:bookmarkStart w:id="105" w:name="page106"/>
    <w:bookmarkEnd w:id="105"/>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Request or Guarantor Order of such Guarantor, and any resolution of the Board of Directors shall be sufficiently evidenced by a Board Resolution and any resolution of a Guarantor’s Board of Directors may be sufficiently evidenced by a Guarantor’s Board Resolution;</w:t>
      </w:r>
    </w:p>
    <w:p>
      <w:pPr>
        <w:spacing w:after="0" w:line="62" w:lineRule="exact"/>
        <w:rPr>
          <w:sz w:val="20"/>
          <w:szCs w:val="20"/>
          <w:color w:val="auto"/>
        </w:rPr>
      </w:pPr>
    </w:p>
    <w:p>
      <w:pPr>
        <w:ind w:right="80" w:firstLine="443"/>
        <w:spacing w:after="0" w:line="302" w:lineRule="auto"/>
        <w:tabs>
          <w:tab w:leader="none" w:pos="693" w:val="left"/>
        </w:tabs>
        <w:numPr>
          <w:ilvl w:val="0"/>
          <w:numId w:val="79"/>
        </w:numPr>
        <w:rPr>
          <w:rFonts w:ascii="Arial" w:cs="Arial" w:eastAsia="Arial" w:hAnsi="Arial"/>
          <w:sz w:val="16"/>
          <w:szCs w:val="16"/>
          <w:color w:val="auto"/>
        </w:rPr>
      </w:pPr>
      <w:r>
        <w:rPr>
          <w:rFonts w:ascii="Arial" w:cs="Arial" w:eastAsia="Arial" w:hAnsi="Arial"/>
          <w:sz w:val="16"/>
          <w:szCs w:val="16"/>
          <w:color w:val="auto"/>
        </w:rPr>
        <w:t>whenever in the administration of this Indenture the Trustee shall deem it desirable that a matter be proved or established prior to taking, suffering or omitting any action hereunder, the Trustee (unless other evidence be herein specifically prescribed) shall be entitled to receive and may, in the absence of bad faith on its part, conclusively rely upon, and shall not be liable for any action it takes or omits to take in good faith in reliance upon, an Officers’ Certificate or, if such matter relates to a Guarantor, a Guarantor’s Officers’ Certificate of such Guarantor or an Opinion of Counsel;</w:t>
      </w:r>
    </w:p>
    <w:p>
      <w:pPr>
        <w:spacing w:after="0" w:line="46" w:lineRule="exact"/>
        <w:rPr>
          <w:rFonts w:ascii="Arial" w:cs="Arial" w:eastAsia="Arial" w:hAnsi="Arial"/>
          <w:sz w:val="16"/>
          <w:szCs w:val="16"/>
          <w:color w:val="auto"/>
        </w:rPr>
      </w:pPr>
    </w:p>
    <w:p>
      <w:pPr>
        <w:ind w:right="360" w:firstLine="443"/>
        <w:spacing w:after="0" w:line="342" w:lineRule="auto"/>
        <w:tabs>
          <w:tab w:leader="none" w:pos="693"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15" w:lineRule="exact"/>
        <w:rPr>
          <w:rFonts w:ascii="Arial" w:cs="Arial" w:eastAsia="Arial" w:hAnsi="Arial"/>
          <w:sz w:val="16"/>
          <w:szCs w:val="16"/>
          <w:color w:val="auto"/>
        </w:rPr>
      </w:pPr>
    </w:p>
    <w:p>
      <w:pPr>
        <w:ind w:right="100" w:firstLine="443"/>
        <w:spacing w:after="0" w:line="286" w:lineRule="auto"/>
        <w:tabs>
          <w:tab w:leader="none" w:pos="693"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 direction of any of the Holders pursuant to this Indenture, unless such Holders shall have offered to the Trustee security or indemnity reasonably satisfactory to it against the costs, expenses and liabilities which might be incurred by it in compliance with such request or direction;</w:t>
      </w:r>
    </w:p>
    <w:p>
      <w:pPr>
        <w:spacing w:after="0" w:line="57" w:lineRule="exact"/>
        <w:rPr>
          <w:rFonts w:ascii="Arial" w:cs="Arial" w:eastAsia="Arial" w:hAnsi="Arial"/>
          <w:sz w:val="17"/>
          <w:szCs w:val="17"/>
          <w:color w:val="auto"/>
        </w:rPr>
      </w:pPr>
    </w:p>
    <w:p>
      <w:pPr>
        <w:ind w:firstLine="443"/>
        <w:spacing w:after="0" w:line="255" w:lineRule="auto"/>
        <w:tabs>
          <w:tab w:leader="none" w:pos="693"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and, if applicable, the Guarantors, personally or by agent or attorney at the sole cost of the Company and shall incur no liability or additional liability of any kind by reason of such inquiry or investigation;</w:t>
      </w:r>
    </w:p>
    <w:p>
      <w:pPr>
        <w:spacing w:after="0" w:line="85" w:lineRule="exact"/>
        <w:rPr>
          <w:rFonts w:ascii="Arial" w:cs="Arial" w:eastAsia="Arial" w:hAnsi="Arial"/>
          <w:sz w:val="18"/>
          <w:szCs w:val="18"/>
          <w:color w:val="auto"/>
        </w:rPr>
      </w:pPr>
    </w:p>
    <w:p>
      <w:pPr>
        <w:ind w:right="220" w:firstLine="443"/>
        <w:spacing w:after="0" w:line="286" w:lineRule="auto"/>
        <w:tabs>
          <w:tab w:leader="none" w:pos="693"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and shall not be responsible for the supervision of officers and employees of such agents or attorneys;</w:t>
      </w:r>
    </w:p>
    <w:p>
      <w:pPr>
        <w:spacing w:after="0" w:line="57" w:lineRule="exact"/>
        <w:rPr>
          <w:rFonts w:ascii="Arial" w:cs="Arial" w:eastAsia="Arial" w:hAnsi="Arial"/>
          <w:sz w:val="17"/>
          <w:szCs w:val="17"/>
          <w:color w:val="auto"/>
        </w:rPr>
      </w:pPr>
    </w:p>
    <w:p>
      <w:pPr>
        <w:ind w:right="100" w:firstLine="443"/>
        <w:spacing w:after="0" w:line="286" w:lineRule="auto"/>
        <w:tabs>
          <w:tab w:leader="none" w:pos="693"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40"/>
          </w:cols>
          <w:pgMar w:left="700" w:top="274" w:right="259" w:bottom="1440" w:gutter="0" w:footer="0" w:header="0"/>
        </w:sectPr>
      </w:pPr>
    </w:p>
    <w:bookmarkStart w:id="106" w:name="page107"/>
    <w:bookmarkEnd w:id="106"/>
    <w:p>
      <w:pPr>
        <w:ind w:left="460" w:right="440" w:firstLine="443"/>
        <w:spacing w:after="0" w:line="277" w:lineRule="auto"/>
        <w:tabs>
          <w:tab w:leader="none" w:pos="1153"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not be liable for any action taken, suffered or omitted to be taken by it in good faith and reasonably believed by it to be authorized or within the discretion or rights or powers conferred upon it by this Indenture;</w:t>
      </w:r>
    </w:p>
    <w:p>
      <w:pPr>
        <w:spacing w:after="0" w:line="62" w:lineRule="exact"/>
        <w:rPr>
          <w:rFonts w:ascii="Arial" w:cs="Arial" w:eastAsia="Arial" w:hAnsi="Arial"/>
          <w:sz w:val="18"/>
          <w:szCs w:val="18"/>
          <w:color w:val="auto"/>
        </w:rPr>
      </w:pPr>
    </w:p>
    <w:p>
      <w:pPr>
        <w:ind w:left="460" w:right="240" w:firstLine="443"/>
        <w:spacing w:after="0" w:line="264" w:lineRule="auto"/>
        <w:tabs>
          <w:tab w:leader="none" w:pos="1243"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 and</w:t>
      </w:r>
    </w:p>
    <w:p>
      <w:pPr>
        <w:spacing w:after="0" w:line="73" w:lineRule="exact"/>
        <w:rPr>
          <w:rFonts w:ascii="Arial" w:cs="Arial" w:eastAsia="Arial" w:hAnsi="Arial"/>
          <w:sz w:val="18"/>
          <w:szCs w:val="18"/>
          <w:color w:val="auto"/>
        </w:rPr>
      </w:pPr>
    </w:p>
    <w:p>
      <w:pPr>
        <w:ind w:left="460" w:right="180" w:firstLine="443"/>
        <w:spacing w:after="0" w:line="342" w:lineRule="auto"/>
        <w:tabs>
          <w:tab w:leader="none" w:pos="1236"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rights, privileges, protections, immunities and benefits given to the Trustee, including its rights to be indemnified, are extended to, and shall be enforceable by, the Trustee in each of its capacities hereunder, and to each agent, custodian and other Person employed to act hereunder.</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Not Responsible for Recitals or Issuance of Securities</w:t>
      </w:r>
      <w:r>
        <w:rPr>
          <w:rFonts w:ascii="Arial" w:cs="Arial" w:eastAsia="Arial" w:hAnsi="Arial"/>
          <w:sz w:val="18"/>
          <w:szCs w:val="18"/>
          <w:color w:val="auto"/>
        </w:rPr>
        <w:t>. The recitals contained herein and in the Securities, except the Trustee’s certificates of authentication, shall be taken as the statements of the Company, and the Trustee does not assume any responsibility for their correctness. The Trustee makes no representations as to the validity or sufficiency of this Indenture or of the Securities. The Trustee shall not be accountable for the use or application by the Company of Securities or the proceeds thereof.</w:t>
      </w:r>
    </w:p>
    <w:p>
      <w:pPr>
        <w:spacing w:after="0" w:line="18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May Hold Securities</w:t>
      </w:r>
      <w:r>
        <w:rPr>
          <w:rFonts w:ascii="Arial" w:cs="Arial" w:eastAsia="Arial" w:hAnsi="Arial"/>
          <w:sz w:val="18"/>
          <w:szCs w:val="18"/>
          <w:color w:val="auto"/>
        </w:rPr>
        <w:t xml:space="preserve">. The Trustee, any Authenticating Agent, any Paying Agent, any Security Registrar or any other agent of the Company or any Guarantor, in its individual or any other capacity, may become the owner or pledgee of Securities and, subject to </w:t>
      </w:r>
      <w:r>
        <w:rPr>
          <w:rFonts w:ascii="Arial" w:cs="Arial" w:eastAsia="Arial" w:hAnsi="Arial"/>
          <w:sz w:val="18"/>
          <w:szCs w:val="18"/>
          <w:u w:val="single" w:color="auto"/>
          <w:color w:val="auto"/>
        </w:rPr>
        <w:t>Sections 6.08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6.13</w:t>
      </w:r>
      <w:r>
        <w:rPr>
          <w:rFonts w:ascii="Arial" w:cs="Arial" w:eastAsia="Arial" w:hAnsi="Arial"/>
          <w:sz w:val="18"/>
          <w:szCs w:val="18"/>
          <w:color w:val="auto"/>
        </w:rPr>
        <w:t>, may otherwise deal with the Company or any Guarantor with the same rights it would have if it were not Trustee, Authenticating Agent, Paying Agent, Security Registrar or such other agent.</w:t>
      </w:r>
    </w:p>
    <w:p>
      <w:pPr>
        <w:spacing w:after="0" w:line="18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Money Held in Trust</w:t>
      </w:r>
      <w:r>
        <w:rPr>
          <w:rFonts w:ascii="Arial" w:cs="Arial" w:eastAsia="Arial" w:hAnsi="Arial"/>
          <w:sz w:val="18"/>
          <w:szCs w:val="18"/>
          <w:color w:val="auto"/>
        </w:rPr>
        <w:t>. Money held by the Trustee in trust hereunder need not be segregated from other funds except to the extent required by law. The Trustee shall be under no liability for interest on any money received by it hereunder except as otherwise agreed in writing with the Company or any Guarantor.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w:t>
      </w:r>
    </w:p>
    <w:p>
      <w:pPr>
        <w:spacing w:after="0" w:line="117" w:lineRule="exact"/>
        <w:rPr>
          <w:sz w:val="20"/>
          <w:szCs w:val="20"/>
          <w:color w:val="auto"/>
        </w:rPr>
      </w:pPr>
    </w:p>
    <w:p>
      <w:pPr>
        <w:ind w:right="120" w:firstLine="464"/>
        <w:spacing w:after="0" w:line="255" w:lineRule="auto"/>
        <w:tabs>
          <w:tab w:leader="none" w:pos="70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shall pay to the Trustee (in its capacity as Trustee, and, to the extent it has been appointed as such, as Paying Agent and Security Registrar) from time to time reasonable compensation for its acceptance of this Indenture and services hereunder in accordance with a written schedule provided by the Trustee to the Company. The Trustee’s compensation shall not be limited by any law on compensation of a trustee of an express trust. The Company shall reimburse the Trustee promptly upon request for all reasonable and customary disbursements, advances and reasonable out-of-pocket expenses incurred or made by it in addition to the compensation for its services, except those resulting from its own negligent action, negligent failure to act or willful misconduct. Such expenses shall include the reasonable and customary compensation, disbursements and expenses of the Trustee’s agents and counsel.</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74" w:right="279" w:bottom="1440" w:gutter="0" w:footer="0" w:header="0"/>
        </w:sectPr>
      </w:pPr>
    </w:p>
    <w:bookmarkStart w:id="107" w:name="page108"/>
    <w:bookmarkEnd w:id="107"/>
    <w:p>
      <w:pPr>
        <w:ind w:firstLine="464"/>
        <w:spacing w:after="0" w:line="269" w:lineRule="auto"/>
        <w:tabs>
          <w:tab w:leader="none" w:pos="711" w:val="left"/>
        </w:tabs>
        <w:numPr>
          <w:ilvl w:val="0"/>
          <w:numId w:val="8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indemnify the Trustee in its capacity against any and all losses, liabilities or reasonable out-of-pocket expenses incurred by it arising out of or in connection with the acceptance or administration of its duties under this Indenture, including the costs and expenses of enforcing this Indenture against the Company (including this Section 6.07) and defending itself against any claim (whether asserted by either of the Company or any Holder or any other person) or liability in connection with the exercise or performance of any of its powers or duties hereunder, except to the extent any such loss, liability or expense may be attributable to its negligence, bad faith or willful misconduct. The Trustee shall notify the Company promptly of any claim for which it may seek indemnity. Failure by the Trustee to so notify the Company shall not relieve the Company of its obligations hereunder. The Company shall defend the claim and the Trustee shall cooperate in the defense. The Trustee may elect to have separate counsel defend the claim, but the Company shall be obligated to pay the reasonable fees and expenses of such separate counsel only if the Company fails to assume the Trustee’s defense or there is a conflict of interest between the Company, on the one hand, and the Trustee, on the other hand, with respect to the claim, as reasonably determined by the Trustee. The Company need not pay for any settlement made without its consent, which consent shall not be unreasonably withheld. None of the Company nor the Guarantors need reimburse the Trustee for any expense or indemnity against liability or loss of the Trustee to the extent such expense, liability or loss is attributable to the negligence, bad faith or willful misconduct of the Trustee.</w:t>
      </w:r>
    </w:p>
    <w:p>
      <w:pPr>
        <w:spacing w:after="0" w:line="71" w:lineRule="exact"/>
        <w:rPr>
          <w:rFonts w:ascii="Arial" w:cs="Arial" w:eastAsia="Arial" w:hAnsi="Arial"/>
          <w:sz w:val="17"/>
          <w:szCs w:val="17"/>
          <w:color w:val="auto"/>
        </w:rPr>
      </w:pPr>
    </w:p>
    <w:p>
      <w:pPr>
        <w:ind w:right="60" w:firstLine="464"/>
        <w:spacing w:after="0" w:line="264" w:lineRule="auto"/>
        <w:tabs>
          <w:tab w:leader="none" w:pos="701"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 security for the performance of the obligations of the Company under this Section the Trustee shall have a lien prior to the Securities of any series upon all property and funds held or collected by the Trustee as such, except funds held in trust for the payment of principal of (and premium, if any) or interest on Securities of such series. Such lien shall survive satisfaction and discharge of this Indenture.</w:t>
      </w:r>
    </w:p>
    <w:p>
      <w:pPr>
        <w:spacing w:after="0" w:line="73" w:lineRule="exact"/>
        <w:rPr>
          <w:rFonts w:ascii="Arial" w:cs="Arial" w:eastAsia="Arial" w:hAnsi="Arial"/>
          <w:sz w:val="18"/>
          <w:szCs w:val="18"/>
          <w:color w:val="auto"/>
        </w:rPr>
      </w:pPr>
    </w:p>
    <w:p>
      <w:pPr>
        <w:ind w:right="160" w:firstLine="464"/>
        <w:spacing w:after="0" w:line="259" w:lineRule="auto"/>
        <w:tabs>
          <w:tab w:leader="none" w:pos="711"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Without limiting any rights available to the Trustee under applicable law, when the Trustee incurs expenses or renders services in connection with an Event of Default specified in </w:t>
      </w:r>
      <w:r>
        <w:rPr>
          <w:rFonts w:ascii="Arial" w:cs="Arial" w:eastAsia="Arial" w:hAnsi="Arial"/>
          <w:sz w:val="18"/>
          <w:szCs w:val="18"/>
          <w:u w:val="single" w:color="auto"/>
          <w:color w:val="auto"/>
        </w:rPr>
        <w:t>Section 5.01(5)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5.01(6)</w:t>
      </w:r>
      <w:r>
        <w:rPr>
          <w:rFonts w:ascii="Arial" w:cs="Arial" w:eastAsia="Arial" w:hAnsi="Arial"/>
          <w:sz w:val="18"/>
          <w:szCs w:val="18"/>
          <w:color w:val="auto"/>
        </w:rPr>
        <w:t>,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78" w:lineRule="exact"/>
        <w:rPr>
          <w:rFonts w:ascii="Arial" w:cs="Arial" w:eastAsia="Arial" w:hAnsi="Arial"/>
          <w:sz w:val="18"/>
          <w:szCs w:val="18"/>
          <w:color w:val="auto"/>
        </w:rPr>
      </w:pPr>
    </w:p>
    <w:p>
      <w:pPr>
        <w:ind w:left="700" w:hanging="236"/>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provisions of this Section shall survive the termination of this Indenture.</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Conflicting Interests</w:t>
      </w:r>
      <w:r>
        <w:rPr>
          <w:rFonts w:ascii="Arial" w:cs="Arial" w:eastAsia="Arial" w:hAnsi="Arial"/>
          <w:sz w:val="18"/>
          <w:szCs w:val="18"/>
          <w:color w:val="auto"/>
        </w:rPr>
        <w:t>. 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the Trust Indenture Act, the Trustee shall not be deemed to have a conflicting interest by virtue of being a trustee under this Indenture with respect to Securities of more than one series.</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 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has a combined capital and surplus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74" w:right="279" w:bottom="1440" w:gutter="0" w:footer="0" w:header="0"/>
        </w:sectPr>
      </w:pPr>
    </w:p>
    <w:bookmarkStart w:id="108" w:name="page109"/>
    <w:bookmarkEnd w:id="108"/>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at least $100,000,000 and has its Corporate Trust Office in the continental United States of America.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spacing w:after="0" w:line="158"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 xml:space="preserve">. No resignation or removal of the Trustee and no appointment of a successor Trustee pursuant to this Article shall become effective until the acceptance of appointment by the successor Trustee in accordance with the applicable requirements of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The Trustee may resign at any time with respect to the Securities of one or more series by giving written notice thereof to the Company. If the instrument of acceptance by a successor Trustee required by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shall not have been delivered to the Trustee within 60 days after the giving of such notice of resignation, the resigning Trustee may petition, at the expense of the Company, any court of competent jurisdiction for the appointment of a successor Trustee with respect to the Securities of such series.</w:t>
      </w:r>
    </w:p>
    <w:p>
      <w:pPr>
        <w:spacing w:after="0" w:line="18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 xml:space="preserve">The Trustee may be removed at any time with respect to the Securities of any series by Act of the Holders of a majority in principal amount of the Outstanding Securities of such series, delivered to the Trustee and to the Company. If the instrument of acceptance by a successor Trustee required by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shall not have been delivered to the Trustee within 30 days after the giving of a notice of removal pursuant to this paragraph, the Trustee being removed may petition, at the expense of the Company, any court of competent jurisdiction for the appointment of a successor Trustee with respect to the Securities of such series.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at any time:</w:t>
      </w:r>
    </w:p>
    <w:p>
      <w:pPr>
        <w:spacing w:after="0" w:line="117" w:lineRule="exact"/>
        <w:rPr>
          <w:sz w:val="20"/>
          <w:szCs w:val="20"/>
          <w:color w:val="auto"/>
        </w:rPr>
      </w:pPr>
    </w:p>
    <w:p>
      <w:pPr>
        <w:ind w:left="460" w:right="240" w:firstLine="443"/>
        <w:spacing w:after="0" w:line="277" w:lineRule="auto"/>
        <w:tabs>
          <w:tab w:leader="none" w:pos="1153"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Trustee shall fail to comply with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after written request therefor by the Company or by any Holder who has been a bona fide Holder of a Security for at least six months, or</w:t>
      </w:r>
    </w:p>
    <w:p>
      <w:pPr>
        <w:spacing w:after="0" w:line="62" w:lineRule="exact"/>
        <w:rPr>
          <w:rFonts w:ascii="Arial" w:cs="Arial" w:eastAsia="Arial" w:hAnsi="Arial"/>
          <w:sz w:val="18"/>
          <w:szCs w:val="18"/>
          <w:color w:val="auto"/>
        </w:rPr>
      </w:pPr>
    </w:p>
    <w:p>
      <w:pPr>
        <w:ind w:left="460" w:right="180" w:firstLine="443"/>
        <w:spacing w:after="0" w:line="277" w:lineRule="auto"/>
        <w:tabs>
          <w:tab w:leader="none" w:pos="1153"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Trustee shall cease to be eligible under </w:t>
      </w:r>
      <w:r>
        <w:rPr>
          <w:rFonts w:ascii="Arial" w:cs="Arial" w:eastAsia="Arial" w:hAnsi="Arial"/>
          <w:sz w:val="18"/>
          <w:szCs w:val="18"/>
          <w:u w:val="single" w:color="auto"/>
          <w:color w:val="auto"/>
        </w:rPr>
        <w:t>Section 6.09</w:t>
      </w:r>
      <w:r>
        <w:rPr>
          <w:rFonts w:ascii="Arial" w:cs="Arial" w:eastAsia="Arial" w:hAnsi="Arial"/>
          <w:sz w:val="18"/>
          <w:szCs w:val="18"/>
          <w:color w:val="auto"/>
        </w:rPr>
        <w:t xml:space="preserve"> and shall fail to resign after written request therefor by the Company or by any such Holder, or</w:t>
      </w:r>
    </w:p>
    <w:p>
      <w:pPr>
        <w:spacing w:after="0" w:line="62" w:lineRule="exact"/>
        <w:rPr>
          <w:rFonts w:ascii="Arial" w:cs="Arial" w:eastAsia="Arial" w:hAnsi="Arial"/>
          <w:sz w:val="18"/>
          <w:szCs w:val="18"/>
          <w:color w:val="auto"/>
        </w:rPr>
      </w:pPr>
    </w:p>
    <w:p>
      <w:pPr>
        <w:ind w:left="460" w:firstLine="443"/>
        <w:spacing w:after="0" w:line="264" w:lineRule="auto"/>
        <w:tabs>
          <w:tab w:leader="none" w:pos="115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73"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 xml:space="preserve">then, in any such case, (A) the Company by a Board Resolution may remove the Trustee with respect to all Securities, or (B) subject to </w:t>
      </w:r>
      <w:r>
        <w:rPr>
          <w:rFonts w:ascii="Arial" w:cs="Arial" w:eastAsia="Arial" w:hAnsi="Arial"/>
          <w:sz w:val="16"/>
          <w:szCs w:val="16"/>
          <w:u w:val="single" w:color="auto"/>
          <w:color w:val="auto"/>
        </w:rPr>
        <w:t>Section 5.14</w:t>
      </w:r>
      <w:r>
        <w:rPr>
          <w:rFonts w:ascii="Arial" w:cs="Arial" w:eastAsia="Arial" w:hAnsi="Arial"/>
          <w:sz w:val="16"/>
          <w:szCs w:val="16"/>
          <w:color w:val="auto"/>
        </w:rPr>
        <w:t>,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109" w:name="page110"/>
    <w:bookmarkEnd w:id="109"/>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If an instrument of acceptance by a successor Trustee shall not have been delivered to the Trustee within 30 days after the giving of such notice of removal, the Trustee being removed may petition, at the expense of the Company, any court of competent jurisdiction for the appointment of a successor Trustee with respect to the Securities of such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w:t>
      </w:r>
      <w:r>
        <w:rPr>
          <w:rFonts w:ascii="Arial" w:cs="Arial" w:eastAsia="Arial" w:hAnsi="Arial"/>
          <w:sz w:val="16"/>
          <w:szCs w:val="16"/>
          <w:u w:val="single" w:color="auto"/>
          <w:color w:val="auto"/>
        </w:rPr>
        <w:t>Section 6.11</w:t>
      </w:r>
      <w:r>
        <w:rPr>
          <w:rFonts w:ascii="Arial" w:cs="Arial" w:eastAsia="Arial" w:hAnsi="Arial"/>
          <w:sz w:val="16"/>
          <w:szCs w:val="16"/>
          <w:color w:val="auto"/>
        </w:rPr>
        <w:t>,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72"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 xml:space="preserve">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w:t>
      </w:r>
      <w:r>
        <w:rPr>
          <w:rFonts w:ascii="Arial" w:cs="Arial" w:eastAsia="Arial" w:hAnsi="Arial"/>
          <w:sz w:val="16"/>
          <w:szCs w:val="16"/>
          <w:u w:val="single" w:color="auto"/>
          <w:color w:val="auto"/>
        </w:rPr>
        <w:t>Section 1.06</w:t>
      </w:r>
      <w:r>
        <w:rPr>
          <w:rFonts w:ascii="Arial" w:cs="Arial" w:eastAsia="Arial" w:hAnsi="Arial"/>
          <w:sz w:val="16"/>
          <w:szCs w:val="16"/>
          <w:color w:val="auto"/>
        </w:rPr>
        <w:t>. Each notice shall include the name of the successor Trustee with respect to the Securities of such series and the address of its Corporate Trust Office.</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 In case of the appointment hereunder of a successor Trustee with respect to all Securities, every such successor Trustee so appointed shall execute, acknowledge and deliver to the Company, any Guarantor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9"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In case of the appointment hereunder of a successor Trustee with respect to the Securities of one or more (but not all) series, the Company, any Guarantor,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110" w:name="page111"/>
    <w:bookmarkEnd w:id="11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69"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Upon request of any such successor Trustee, the Company and any Guarantor shall execute any and all instruments for more fully and certainly vesting in and confirming to such successor Trustee all such rights, powers and trusts referred to in the first or second preceding paragraph, as the case may be.</w:t>
      </w:r>
    </w:p>
    <w:p>
      <w:pPr>
        <w:spacing w:after="0" w:line="12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Merger, Conversion, Consolidation or Succession to Business</w:t>
      </w:r>
      <w:r>
        <w:rPr>
          <w:rFonts w:ascii="Arial" w:cs="Arial" w:eastAsia="Arial" w:hAnsi="Arial"/>
          <w:sz w:val="18"/>
          <w:szCs w:val="18"/>
          <w:color w:val="auto"/>
        </w:rPr>
        <w:t>.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9"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Preferential Collection of Claims Against Company</w:t>
      </w:r>
      <w:r>
        <w:rPr>
          <w:rFonts w:ascii="Arial" w:cs="Arial" w:eastAsia="Arial" w:hAnsi="Arial"/>
          <w:sz w:val="18"/>
          <w:szCs w:val="18"/>
          <w:color w:val="auto"/>
        </w:rPr>
        <w:t>. 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111" w:name="page112"/>
    <w:bookmarkEnd w:id="111"/>
    <w:p>
      <w:pPr>
        <w:ind w:firstLine="45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6.14. </w:t>
      </w:r>
      <w:r>
        <w:rPr>
          <w:rFonts w:ascii="Arial" w:cs="Arial" w:eastAsia="Arial" w:hAnsi="Arial"/>
          <w:sz w:val="17"/>
          <w:szCs w:val="17"/>
          <w:u w:val="single" w:color="auto"/>
          <w:color w:val="auto"/>
        </w:rPr>
        <w:t>Appointment of Authenticating Agent</w:t>
      </w:r>
      <w:r>
        <w:rPr>
          <w:rFonts w:ascii="Arial" w:cs="Arial" w:eastAsia="Arial" w:hAnsi="Arial"/>
          <w:sz w:val="17"/>
          <w:szCs w:val="17"/>
          <w:color w:val="auto"/>
        </w:rPr>
        <w:t xml:space="preserve">. The Trustee may appoint an Authenticating Agent or Agents with respect to any series of Securities which shall be authorized to act on behalf of the Trustee to authenticate the Securities of such Series issued upon original issue and upon exchange, registration of transfer, partial conversion or partial redemption or pursuant to </w:t>
      </w:r>
      <w:r>
        <w:rPr>
          <w:rFonts w:ascii="Arial" w:cs="Arial" w:eastAsia="Arial" w:hAnsi="Arial"/>
          <w:sz w:val="17"/>
          <w:szCs w:val="17"/>
          <w:u w:val="single" w:color="auto"/>
          <w:color w:val="auto"/>
        </w:rPr>
        <w:t>Section 3.06</w:t>
      </w:r>
      <w:r>
        <w:rPr>
          <w:rFonts w:ascii="Arial" w:cs="Arial" w:eastAsia="Arial" w:hAnsi="Arial"/>
          <w:sz w:val="17"/>
          <w:szCs w:val="17"/>
          <w:color w:val="auto"/>
        </w:rPr>
        <w:t>, and Securities of such series so authenticated shall be entitled to the benefits of this Indenture and shall be valid and obligatory for all purposes as if authenticated by the Trustee hereunder. Wherever reference is made in this Indenture to the authentication and delivery of Securities of such series by the Trustee or the Trustee’s certificate of authentication, such reference shall be deemed to include authentication and delivery on behalf of the Trustee by an Authenticating Agent so appointed with respect to such series and a certificate of authentication executed on behalf of the Trustee by an Authenticating Agent so appointed with respect to such series.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8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the Company, the Authenticating Agent or such successor corporation.</w:t>
      </w:r>
    </w:p>
    <w:p>
      <w:pPr>
        <w:spacing w:after="0" w:line="18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with respect to any series of Securities which shall be acceptable to the Company and shall give notice of such appointment to all Holders of Securities of such series in the manner provided in </w:t>
      </w:r>
      <w:r>
        <w:rPr>
          <w:rFonts w:ascii="Arial" w:cs="Arial" w:eastAsia="Arial" w:hAnsi="Arial"/>
          <w:sz w:val="16"/>
          <w:szCs w:val="16"/>
          <w:u w:val="single" w:color="auto"/>
          <w:color w:val="auto"/>
        </w:rPr>
        <w:t>Section 1.06</w:t>
      </w:r>
      <w:r>
        <w:rPr>
          <w:rFonts w:ascii="Arial" w:cs="Arial" w:eastAsia="Arial" w:hAnsi="Arial"/>
          <w:sz w:val="16"/>
          <w:szCs w:val="16"/>
          <w:color w:val="auto"/>
        </w:rPr>
        <w:t>. Any successor Authenticating Agent upon acceptance of its appointment hereunder shall become vested with all rights, powers and duties of its predecessor hereunder, with like effect as if originally named as an Authenticating Agent. No successor Authenticating Agent shall be appointed unless eligible under the provisions of this Section.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112" w:name="page113"/>
    <w:bookmarkEnd w:id="112"/>
    <w:p>
      <w:pPr>
        <w:ind w:right="1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Trustee agrees to pay to each Authenticating Agent from time to time reasonable compensation for its services under this Section, and the Trustee shall be entitled to be reimbursed by the Company for such payments, subject to the provisions of </w:t>
      </w:r>
      <w:r>
        <w:rPr>
          <w:rFonts w:ascii="Arial" w:cs="Arial" w:eastAsia="Arial" w:hAnsi="Arial"/>
          <w:sz w:val="18"/>
          <w:szCs w:val="18"/>
          <w:u w:val="single" w:color="auto"/>
          <w:color w:val="auto"/>
        </w:rPr>
        <w:t>Section 6.07</w:t>
      </w:r>
      <w:r>
        <w:rPr>
          <w:rFonts w:ascii="Arial" w:cs="Arial" w:eastAsia="Arial" w:hAnsi="Arial"/>
          <w:sz w:val="18"/>
          <w:szCs w:val="18"/>
          <w:color w:val="auto"/>
        </w:rPr>
        <w: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 appointment is made pursuant to this Section with respect to Securities of any series, the Securities of such series may have endorsed thereon, in addition to the Trustee’s certificate of authentication, an alternate certificate of authentication in the following form:</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48" w:lineRule="exact"/>
        <w:rPr>
          <w:sz w:val="20"/>
          <w:szCs w:val="20"/>
          <w:color w:val="auto"/>
        </w:rPr>
      </w:pPr>
    </w:p>
    <w:p>
      <w:pPr>
        <w:ind w:left="6860"/>
        <w:spacing w:after="0"/>
        <w:tabs>
          <w:tab w:leader="none" w:pos="78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 AS TRUSTEE</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1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Company to Furnish Trustee Names and Addresses of Holders</w:t>
      </w:r>
      <w:r>
        <w:rPr>
          <w:rFonts w:ascii="Arial" w:cs="Arial" w:eastAsia="Arial" w:hAnsi="Arial"/>
          <w:sz w:val="18"/>
          <w:szCs w:val="18"/>
          <w:color w:val="auto"/>
        </w:rPr>
        <w:t>. The Company and any Guarantor will furnish or cause to be furnished to the Trustee</w:t>
      </w:r>
    </w:p>
    <w:p>
      <w:pPr>
        <w:spacing w:after="0" w:line="62" w:lineRule="exact"/>
        <w:rPr>
          <w:sz w:val="20"/>
          <w:szCs w:val="20"/>
          <w:color w:val="auto"/>
        </w:rPr>
      </w:pPr>
    </w:p>
    <w:p>
      <w:pPr>
        <w:ind w:left="460" w:right="160" w:firstLine="443"/>
        <w:spacing w:after="0" w:line="342" w:lineRule="auto"/>
        <w:tabs>
          <w:tab w:leader="none" w:pos="1153" w:val="left"/>
        </w:tabs>
        <w:numPr>
          <w:ilvl w:val="0"/>
          <w:numId w:val="84"/>
        </w:numPr>
        <w:rPr>
          <w:rFonts w:ascii="Arial" w:cs="Arial" w:eastAsia="Arial" w:hAnsi="Arial"/>
          <w:sz w:val="16"/>
          <w:szCs w:val="16"/>
          <w:color w:val="auto"/>
        </w:rPr>
      </w:pPr>
      <w:r>
        <w:rPr>
          <w:rFonts w:ascii="Arial" w:cs="Arial" w:eastAsia="Arial" w:hAnsi="Arial"/>
          <w:sz w:val="16"/>
          <w:szCs w:val="16"/>
          <w:color w:val="auto"/>
        </w:rPr>
        <w:t>semi-annually, not later than May 15 and November 15 in each year, a list, in such form as the Trustee may reasonably require, of the names and addresses of the Holders of Securities of each series as of the immediately preceding May 1 or November 1 as the case may be, and</w:t>
      </w:r>
    </w:p>
    <w:p>
      <w:pPr>
        <w:spacing w:after="0" w:line="15" w:lineRule="exact"/>
        <w:rPr>
          <w:rFonts w:ascii="Arial" w:cs="Arial" w:eastAsia="Arial" w:hAnsi="Arial"/>
          <w:sz w:val="16"/>
          <w:szCs w:val="16"/>
          <w:color w:val="auto"/>
        </w:rPr>
      </w:pPr>
    </w:p>
    <w:p>
      <w:pPr>
        <w:ind w:left="460" w:right="120" w:firstLine="443"/>
        <w:spacing w:after="0" w:line="308" w:lineRule="auto"/>
        <w:tabs>
          <w:tab w:leader="none" w:pos="1153" w:val="left"/>
        </w:tabs>
        <w:numPr>
          <w:ilvl w:val="0"/>
          <w:numId w:val="84"/>
        </w:numPr>
        <w:rPr>
          <w:rFonts w:ascii="Arial" w:cs="Arial" w:eastAsia="Arial" w:hAnsi="Arial"/>
          <w:sz w:val="17"/>
          <w:szCs w:val="17"/>
          <w:color w:val="auto"/>
        </w:rPr>
      </w:pPr>
      <w:r>
        <w:rPr>
          <w:rFonts w:ascii="Arial" w:cs="Arial" w:eastAsia="Arial" w:hAnsi="Arial"/>
          <w:sz w:val="17"/>
          <w:szCs w:val="17"/>
          <w:color w:val="auto"/>
        </w:rPr>
        <w:t>at such other times as the Trustee may request in writing, within 30 days after the receipt by the Company or such Guarantor, respectively, of any such request, a list of similar form and content as of a date not more than 15 days prior to the time such list is furnished;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excluding from any such list names and addresses received by the Trustee in its capacity as Security Registrar.</w:t>
      </w:r>
    </w:p>
    <w:p>
      <w:pPr>
        <w:spacing w:after="0" w:line="22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Preservation of Information; Communications to Holders</w:t>
      </w:r>
      <w:r>
        <w:rPr>
          <w:rFonts w:ascii="Arial" w:cs="Arial" w:eastAsia="Arial" w:hAnsi="Arial"/>
          <w:sz w:val="18"/>
          <w:szCs w:val="18"/>
          <w:color w:val="auto"/>
        </w:rPr>
        <w:t xml:space="preserve">. The Trustee shall preserve, in as current a form as is reasonably practicable, the names and addresses of Holders contained in the most recent list furnished to the Trustee as provided in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and the names and addresses of Holders received by the Trustee in its capacity as Security Registrar. The Trustee may destroy any list furnished to it as provided in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upon receipt of a new list so furnished.</w:t>
      </w:r>
    </w:p>
    <w:p>
      <w:pPr>
        <w:spacing w:after="0" w:line="187"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The rights of Holders to communicate with other Holders with respect to their rights under this Indenture or under the Securities, and the corresponding rights and privileges of the Trustee, shall be as provided by the Trust Indenture Act.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113" w:name="page114"/>
    <w:bookmarkEnd w:id="113"/>
    <w:p>
      <w:pPr>
        <w:ind w:right="1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Every Holder of Securities, by receiving and holding the same, agrees with the Company, any Guarantor and the Trustee that neither of the Company nor the Guarantors (if applicable) nor the Trustee nor any agent of any of them shall be held accountable by reason of any disclosure of information as to names and addresses of Holders made pursuant to the Trust Indenture Act.</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Reports by Trustee</w:t>
      </w:r>
      <w:r>
        <w:rPr>
          <w:rFonts w:ascii="Arial" w:cs="Arial" w:eastAsia="Arial" w:hAnsi="Arial"/>
          <w:sz w:val="18"/>
          <w:szCs w:val="18"/>
          <w:color w:val="auto"/>
        </w:rPr>
        <w:t>. The Trustee shall transmit to Holders such reports concerning the Trustee and its actions under this Indenture as may be required pursuant to the Trust Indenture Act at the times and in the manner provided pursuant thereto.</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Reports so required to be transmitted at stated intervals of not more than 12 months shall be transmitted no later than April 15 and shall be dated as of April 1 in each calendar year, commencing in 2013.</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copy of each such report shall, at the time of such transmission to Holders, be filed by the Trustee with each stock exchange upon which any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Securities are listed, with the Commission and with the Company and any Guarantor. The Company and any Guarantor will notify the Trustee when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Securities are listed on any stock exchange and of any delisting thereof.</w:t>
      </w:r>
    </w:p>
    <w:p>
      <w:pPr>
        <w:spacing w:after="0" w:line="21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Reports by Company and Guarantors</w:t>
      </w:r>
      <w:r>
        <w:rPr>
          <w:rFonts w:ascii="Arial" w:cs="Arial" w:eastAsia="Arial" w:hAnsi="Arial"/>
          <w:sz w:val="17"/>
          <w:szCs w:val="17"/>
          <w:color w:val="auto"/>
        </w:rPr>
        <w:t xml:space="preserve">. The Company and any Guarantor shall file with the Trustee and the Commission, and transmit to Holders, such information, documents and other reports, and such summaries thereof, as may be required pursuant to the Trust Indenture Act, if any, at the times and in the manner provided pursuant to such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information, documents or reports required to be filed with the Commission pursuant to Section 13 or 15(d) of the Exchange Act need not be filed with the Trustee until the 15th day after the same are actually filed with the Commission.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compliance by the Company or any Guarantor with any of their covenants hereunder (as to which the Trustee is entitled to rely exclusively on Officers’ Certificates or Guarantor’s Officers’ Certificates, as the case may be).</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21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Company May Consolidate, Etc., Only on Certain Terms</w:t>
      </w:r>
      <w:r>
        <w:rPr>
          <w:rFonts w:ascii="Arial" w:cs="Arial" w:eastAsia="Arial" w:hAnsi="Arial"/>
          <w:sz w:val="18"/>
          <w:szCs w:val="18"/>
          <w:color w:val="auto"/>
        </w:rPr>
        <w:t>. The Company shall not, in a single transaction or a series of related transactions, consolidate with or merge into any other Person or sell, convey, transfer or lease all or substantially all its properties and assets to any Person, and the Company shall not permit any Person to consolidate with or merge into the Company, unless:</w:t>
      </w:r>
    </w:p>
    <w:p>
      <w:pPr>
        <w:spacing w:after="0" w:line="73" w:lineRule="exact"/>
        <w:rPr>
          <w:sz w:val="20"/>
          <w:szCs w:val="20"/>
          <w:color w:val="auto"/>
        </w:rPr>
      </w:pPr>
    </w:p>
    <w:p>
      <w:pPr>
        <w:ind w:left="460" w:right="60" w:firstLine="443"/>
        <w:spacing w:after="0" w:line="259" w:lineRule="auto"/>
        <w:tabs>
          <w:tab w:leader="none" w:pos="1153"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case the Company shall consolidate with or merge into another Person or sell, convey, transfer or lease all or substantially all its properties and assets to any Person, the Person formed by such consolidation or into which the Company is merged or the Person which acquires by sale, conveyance or transfer, or which leases, all or substantially all the properties and assets of the Company shall be a corporation, partnership or trust, shall be organized and validly existing under the laws of the United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74" w:right="279" w:bottom="1440" w:gutter="0" w:footer="0" w:header="0"/>
        </w:sectPr>
      </w:pPr>
    </w:p>
    <w:bookmarkStart w:id="114" w:name="page115"/>
    <w:bookmarkEnd w:id="114"/>
    <w:p>
      <w:pPr>
        <w:ind w:left="4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States, any state thereof or the District of Columbia and shall expressly assume, by an indenture supplemental hereto, executed and delivered to the Trustee, in form reasonably satisfactory to the Trustee, the due and punctual payment of the principal of and any premium and interest on all the Securities and the performance or observance of every covenant of this Indenture on the part of the Company to be performed or observed and, for each Security that by its terms provides for conversion, shall have provided for the right to convert such Security in accordance with its terms;</w:t>
      </w:r>
    </w:p>
    <w:p>
      <w:pPr>
        <w:spacing w:after="0" w:line="46" w:lineRule="exact"/>
        <w:rPr>
          <w:sz w:val="20"/>
          <w:szCs w:val="20"/>
          <w:color w:val="auto"/>
        </w:rPr>
      </w:pPr>
    </w:p>
    <w:p>
      <w:pPr>
        <w:ind w:left="460" w:right="420" w:firstLine="443"/>
        <w:spacing w:after="0" w:line="312" w:lineRule="auto"/>
        <w:tabs>
          <w:tab w:leader="none" w:pos="1153" w:val="left"/>
        </w:tabs>
        <w:numPr>
          <w:ilvl w:val="0"/>
          <w:numId w:val="86"/>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and</w:t>
      </w:r>
    </w:p>
    <w:p>
      <w:pPr>
        <w:spacing w:after="0" w:line="38" w:lineRule="exact"/>
        <w:rPr>
          <w:rFonts w:ascii="Arial" w:cs="Arial" w:eastAsia="Arial" w:hAnsi="Arial"/>
          <w:sz w:val="16"/>
          <w:szCs w:val="16"/>
          <w:color w:val="auto"/>
        </w:rPr>
      </w:pPr>
    </w:p>
    <w:p>
      <w:pPr>
        <w:ind w:left="460" w:right="280" w:firstLine="443"/>
        <w:spacing w:after="0" w:line="312" w:lineRule="auto"/>
        <w:tabs>
          <w:tab w:leader="none" w:pos="1153"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each stating that such consolidation, merger, sale,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4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Successor Substituted</w:t>
      </w:r>
      <w:r>
        <w:rPr>
          <w:rFonts w:ascii="Arial" w:cs="Arial" w:eastAsia="Arial" w:hAnsi="Arial"/>
          <w:sz w:val="18"/>
          <w:szCs w:val="18"/>
          <w:color w:val="auto"/>
        </w:rPr>
        <w:t xml:space="preserve">. Upon any consolidation of the Company with, or merger of the Company into, any other Person or any sale, conveyance, transfer or lease of all or substantially all the properties and assets of the Company in accordance with </w:t>
      </w:r>
      <w:r>
        <w:rPr>
          <w:rFonts w:ascii="Arial" w:cs="Arial" w:eastAsia="Arial" w:hAnsi="Arial"/>
          <w:sz w:val="18"/>
          <w:szCs w:val="18"/>
          <w:u w:val="single" w:color="auto"/>
          <w:color w:val="auto"/>
        </w:rPr>
        <w:t>Section 8.01</w:t>
      </w:r>
      <w:r>
        <w:rPr>
          <w:rFonts w:ascii="Arial" w:cs="Arial" w:eastAsia="Arial" w:hAnsi="Arial"/>
          <w:sz w:val="18"/>
          <w:szCs w:val="18"/>
          <w:color w:val="auto"/>
        </w:rPr>
        <w:t>, the successor Person formed by such consolidation or into which the Company is merged or to which such sale,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INDENTURES</w:t>
      </w:r>
    </w:p>
    <w:p>
      <w:pPr>
        <w:spacing w:after="0" w:line="21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Consent of Holders</w:t>
      </w:r>
      <w:r>
        <w:rPr>
          <w:rFonts w:ascii="Arial" w:cs="Arial" w:eastAsia="Arial" w:hAnsi="Arial"/>
          <w:sz w:val="18"/>
          <w:szCs w:val="18"/>
          <w:color w:val="auto"/>
        </w:rPr>
        <w:t xml:space="preserve">. Except as may otherwise be provided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for all or any specific Securities of any series, without the consent of any Holders, the Company, when authorized by a Board Resolution, each of the Guarantors, when authorized by a Guarantor’s Board Resolution of such Guarantor, and the Trustee, at any time and from time to time, may enter into one or more indentures supplemental hereto, in form satisfactory to the Trustee, for any of the following purposes:</w:t>
      </w:r>
    </w:p>
    <w:p>
      <w:pPr>
        <w:spacing w:after="0" w:line="79" w:lineRule="exact"/>
        <w:rPr>
          <w:sz w:val="20"/>
          <w:szCs w:val="20"/>
          <w:color w:val="auto"/>
        </w:rPr>
      </w:pPr>
    </w:p>
    <w:p>
      <w:pPr>
        <w:ind w:left="460" w:right="240" w:firstLine="443"/>
        <w:spacing w:after="0" w:line="308" w:lineRule="auto"/>
        <w:tabs>
          <w:tab w:leader="none" w:pos="1153"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 evidence the succession of another Person to the Company or a Guarantor and the assumption by any such successor of the covenants of the Company or such Guarantor herein and in the Securities or the Guarantees of such Guarantor, as the case may be;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4" w:right="259" w:bottom="1440" w:gutter="0" w:footer="0" w:header="0"/>
        </w:sectPr>
      </w:pPr>
    </w:p>
    <w:bookmarkStart w:id="115" w:name="page116"/>
    <w:bookmarkEnd w:id="115"/>
    <w:p>
      <w:pPr>
        <w:ind w:firstLine="443"/>
        <w:spacing w:after="0" w:line="276" w:lineRule="auto"/>
        <w:tabs>
          <w:tab w:leader="none" w:pos="693" w:val="left"/>
        </w:tabs>
        <w:numPr>
          <w:ilvl w:val="1"/>
          <w:numId w:val="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add to the covenants of the Company or any Guarantor for the benefit of the Holders of all or any Securities of any series (and if such covenants are to be for the benefit of less than all Securities of such series, stating that such covenants are expressly being included solely for the benefit of such Securities within such series) or to surrender any right or power herein conferred upon the Company or any Guarantor with regard to all or any Securities of any series (and if any such surrender is to be made with regard to less than all Securities of such series, stating that such surrender is expressly being made solely with regard to such Securities within such series); or</w:t>
      </w:r>
    </w:p>
    <w:p>
      <w:pPr>
        <w:spacing w:after="0" w:line="64" w:lineRule="exact"/>
        <w:rPr>
          <w:rFonts w:ascii="Arial" w:cs="Arial" w:eastAsia="Arial" w:hAnsi="Arial"/>
          <w:sz w:val="17"/>
          <w:szCs w:val="17"/>
          <w:color w:val="auto"/>
        </w:rPr>
      </w:pPr>
    </w:p>
    <w:p>
      <w:pPr>
        <w:ind w:right="220" w:firstLine="443"/>
        <w:spacing w:after="0" w:line="264" w:lineRule="auto"/>
        <w:tabs>
          <w:tab w:leader="none" w:pos="693" w:val="left"/>
        </w:tabs>
        <w:numPr>
          <w:ilvl w:val="1"/>
          <w:numId w:val="88"/>
        </w:numPr>
        <w:rPr>
          <w:rFonts w:ascii="Arial" w:cs="Arial" w:eastAsia="Arial" w:hAnsi="Arial"/>
          <w:sz w:val="18"/>
          <w:szCs w:val="18"/>
          <w:color w:val="auto"/>
        </w:rPr>
      </w:pPr>
      <w:r>
        <w:rPr>
          <w:rFonts w:ascii="Arial" w:cs="Arial" w:eastAsia="Arial" w:hAnsi="Arial"/>
          <w:sz w:val="18"/>
          <w:szCs w:val="18"/>
          <w:color w:val="auto"/>
        </w:rPr>
        <w:t>to add any additional Events of Default for the benefit of the Holders of all or any Securities of any series (and if such additional Events of Default are to be for the benefit of less than all Securities of such series, stating that such additional Events of Default are expressly being included solely for the benefit of such Securities within such series); or</w:t>
      </w:r>
    </w:p>
    <w:p>
      <w:pPr>
        <w:spacing w:after="0" w:line="73" w:lineRule="exact"/>
        <w:rPr>
          <w:rFonts w:ascii="Arial" w:cs="Arial" w:eastAsia="Arial" w:hAnsi="Arial"/>
          <w:sz w:val="18"/>
          <w:szCs w:val="18"/>
          <w:color w:val="auto"/>
        </w:rPr>
      </w:pPr>
    </w:p>
    <w:p>
      <w:pPr>
        <w:ind w:firstLine="443"/>
        <w:spacing w:after="0" w:line="264" w:lineRule="auto"/>
        <w:tabs>
          <w:tab w:leader="none" w:pos="693" w:val="left"/>
        </w:tabs>
        <w:numPr>
          <w:ilvl w:val="1"/>
          <w:numId w:val="88"/>
        </w:numPr>
        <w:rPr>
          <w:rFonts w:ascii="Arial" w:cs="Arial" w:eastAsia="Arial" w:hAnsi="Arial"/>
          <w:sz w:val="18"/>
          <w:szCs w:val="18"/>
          <w:color w:val="auto"/>
        </w:rPr>
      </w:pPr>
      <w:r>
        <w:rPr>
          <w:rFonts w:ascii="Arial" w:cs="Arial" w:eastAsia="Arial" w:hAnsi="Arial"/>
          <w:sz w:val="18"/>
          <w:szCs w:val="18"/>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73" w:lineRule="exact"/>
        <w:rPr>
          <w:rFonts w:ascii="Arial" w:cs="Arial" w:eastAsia="Arial" w:hAnsi="Arial"/>
          <w:sz w:val="18"/>
          <w:szCs w:val="18"/>
          <w:color w:val="auto"/>
        </w:rPr>
      </w:pPr>
    </w:p>
    <w:p>
      <w:pPr>
        <w:ind w:firstLine="443"/>
        <w:spacing w:after="0" w:line="285" w:lineRule="auto"/>
        <w:tabs>
          <w:tab w:leader="none" w:pos="693" w:val="left"/>
        </w:tabs>
        <w:numPr>
          <w:ilvl w:val="1"/>
          <w:numId w:val="88"/>
        </w:numPr>
        <w:rPr>
          <w:rFonts w:ascii="Arial" w:cs="Arial" w:eastAsia="Arial" w:hAnsi="Arial"/>
          <w:sz w:val="16"/>
          <w:szCs w:val="16"/>
          <w:color w:val="auto"/>
        </w:rPr>
      </w:pPr>
      <w:r>
        <w:rPr>
          <w:rFonts w:ascii="Arial" w:cs="Arial" w:eastAsia="Arial" w:hAnsi="Arial"/>
          <w:sz w:val="16"/>
          <w:szCs w:val="16"/>
          <w:color w:val="auto"/>
        </w:rPr>
        <w:t>to add to, change or eliminate any of the provisions of this Indenture in respect of all or any Securities of any series or any Guarantees thereof (and if such addition, change or elimination is to apply with respect to less than all Securities of such series or Guarantees thereof, stating that it is expressly being made to apply solely with respect to such Securities within such series or Guarantees thereof), provided that any such addition, change or elimination (A) shall neither (i) apply to any Security of any series or Guarantee thereof created prior to the execution of such supplemental indenture and entitled to the benefit of such provision nor (ii) modify the rights of the Holder of any such Security with respect to such provision or</w:t>
      </w:r>
    </w:p>
    <w:p>
      <w:pPr>
        <w:spacing w:after="0" w:line="2" w:lineRule="exact"/>
        <w:rPr>
          <w:rFonts w:ascii="Arial" w:cs="Arial" w:eastAsia="Arial" w:hAnsi="Arial"/>
          <w:sz w:val="16"/>
          <w:szCs w:val="16"/>
          <w:color w:val="auto"/>
        </w:rPr>
      </w:pPr>
    </w:p>
    <w:p>
      <w:pPr>
        <w:ind w:left="280" w:hanging="276"/>
        <w:spacing w:after="0"/>
        <w:tabs>
          <w:tab w:leader="none" w:pos="2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shall become effective only when there is no such Security Outstanding; or</w:t>
      </w:r>
    </w:p>
    <w:p>
      <w:pPr>
        <w:spacing w:after="0" w:line="102" w:lineRule="exact"/>
        <w:rPr>
          <w:rFonts w:ascii="Arial" w:cs="Arial" w:eastAsia="Arial" w:hAnsi="Arial"/>
          <w:sz w:val="18"/>
          <w:szCs w:val="18"/>
          <w:color w:val="auto"/>
        </w:rPr>
      </w:pPr>
    </w:p>
    <w:p>
      <w:pPr>
        <w:ind w:left="700" w:hanging="257"/>
        <w:spacing w:after="0"/>
        <w:tabs>
          <w:tab w:leader="none" w:pos="7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to secure the Securities or any Guarantees; or</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to establish the form or terms of all or any Securities of any series and any Guarantees thereof as permitted by </w:t>
      </w:r>
      <w:r>
        <w:rPr>
          <w:rFonts w:ascii="Arial" w:cs="Arial" w:eastAsia="Arial" w:hAnsi="Arial"/>
          <w:sz w:val="16"/>
          <w:szCs w:val="16"/>
          <w:u w:val="single" w:color="auto"/>
          <w:color w:val="auto"/>
        </w:rPr>
        <w:t>Sections 2.01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3.01</w:t>
      </w:r>
      <w:r>
        <w:rPr>
          <w:rFonts w:ascii="Arial" w:cs="Arial" w:eastAsia="Arial" w:hAnsi="Arial"/>
          <w:sz w:val="16"/>
          <w:szCs w:val="16"/>
          <w:color w:val="auto"/>
        </w:rPr>
        <w:t>; or</w:t>
      </w:r>
    </w:p>
    <w:p>
      <w:pPr>
        <w:spacing w:after="0" w:line="140" w:lineRule="exact"/>
        <w:rPr>
          <w:rFonts w:ascii="Arial" w:cs="Arial" w:eastAsia="Arial" w:hAnsi="Arial"/>
          <w:sz w:val="16"/>
          <w:szCs w:val="16"/>
          <w:color w:val="auto"/>
        </w:rPr>
      </w:pPr>
    </w:p>
    <w:p>
      <w:pPr>
        <w:jc w:val="both"/>
        <w:ind w:right="280" w:firstLine="443"/>
        <w:spacing w:after="0" w:line="264" w:lineRule="auto"/>
        <w:tabs>
          <w:tab w:leader="none" w:pos="693"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w:t>
      </w:r>
      <w:r>
        <w:rPr>
          <w:rFonts w:ascii="Arial" w:cs="Arial" w:eastAsia="Arial" w:hAnsi="Arial"/>
          <w:sz w:val="18"/>
          <w:szCs w:val="18"/>
          <w:u w:val="single" w:color="auto"/>
          <w:color w:val="auto"/>
        </w:rPr>
        <w:t>Section 6.11</w:t>
      </w:r>
      <w:r>
        <w:rPr>
          <w:rFonts w:ascii="Arial" w:cs="Arial" w:eastAsia="Arial" w:hAnsi="Arial"/>
          <w:sz w:val="18"/>
          <w:szCs w:val="18"/>
          <w:color w:val="auto"/>
        </w:rPr>
        <w:t>; or</w:t>
      </w:r>
    </w:p>
    <w:p>
      <w:pPr>
        <w:spacing w:after="0" w:line="73" w:lineRule="exact"/>
        <w:rPr>
          <w:rFonts w:ascii="Arial" w:cs="Arial" w:eastAsia="Arial" w:hAnsi="Arial"/>
          <w:sz w:val="18"/>
          <w:szCs w:val="18"/>
          <w:color w:val="auto"/>
        </w:rPr>
      </w:pPr>
    </w:p>
    <w:p>
      <w:pPr>
        <w:jc w:val="both"/>
        <w:ind w:right="140" w:firstLine="443"/>
        <w:spacing w:after="0" w:line="264" w:lineRule="auto"/>
        <w:tabs>
          <w:tab w:leader="none" w:pos="693" w:val="left"/>
        </w:tabs>
        <w:numPr>
          <w:ilvl w:val="1"/>
          <w:numId w:val="89"/>
        </w:numPr>
        <w:rPr>
          <w:rFonts w:ascii="Arial" w:cs="Arial" w:eastAsia="Arial" w:hAnsi="Arial"/>
          <w:sz w:val="18"/>
          <w:szCs w:val="18"/>
          <w:color w:val="auto"/>
        </w:rPr>
      </w:pPr>
      <w:r>
        <w:rPr>
          <w:rFonts w:ascii="Arial" w:cs="Arial" w:eastAsia="Arial" w:hAnsi="Arial"/>
          <w:sz w:val="18"/>
          <w:szCs w:val="18"/>
          <w:color w:val="auto"/>
        </w:rPr>
        <w:t>to add to or change any of the provisions of this Indenture with respect to any Securities that by their terms may be converted into securities or other property other than Securities of the same series and of like tenor, in order to permit or facilitate the issuance, payment or conversion of such Securities; or</w:t>
      </w:r>
    </w:p>
    <w:p>
      <w:pPr>
        <w:spacing w:after="0" w:line="11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00"/>
          </w:cols>
          <w:pgMar w:left="700" w:top="274" w:right="299" w:bottom="1440" w:gutter="0" w:footer="0" w:header="0"/>
        </w:sectPr>
      </w:pPr>
    </w:p>
    <w:bookmarkStart w:id="116" w:name="page117"/>
    <w:bookmarkEnd w:id="116"/>
    <w:p>
      <w:pPr>
        <w:ind w:left="460" w:right="80" w:firstLine="443"/>
        <w:spacing w:after="0" w:line="312" w:lineRule="auto"/>
        <w:tabs>
          <w:tab w:leader="none" w:pos="1243" w:val="left"/>
        </w:tabs>
        <w:numPr>
          <w:ilvl w:val="1"/>
          <w:numId w:val="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add any Person as an additional Guarantor under this Indenture, to add additional Guarantees or additional Guarantors in respect of any Outstanding Securities under this Indenture, or to evidence the release and discharge of any Guarantor from its obligations under its Guarantees of any Securities and its obligations under this Indenture in respect of any Securities in accordance with the terms of this Indenture; or</w:t>
      </w:r>
    </w:p>
    <w:p>
      <w:pPr>
        <w:spacing w:after="0" w:line="38" w:lineRule="exact"/>
        <w:rPr>
          <w:rFonts w:ascii="Arial" w:cs="Arial" w:eastAsia="Arial" w:hAnsi="Arial"/>
          <w:sz w:val="16"/>
          <w:szCs w:val="16"/>
          <w:color w:val="auto"/>
        </w:rPr>
      </w:pPr>
    </w:p>
    <w:p>
      <w:pPr>
        <w:jc w:val="both"/>
        <w:ind w:left="460" w:right="60" w:firstLine="443"/>
        <w:spacing w:after="0" w:line="259" w:lineRule="auto"/>
        <w:tabs>
          <w:tab w:leader="none" w:pos="1236" w:val="left"/>
        </w:tabs>
        <w:numPr>
          <w:ilvl w:val="1"/>
          <w:numId w:val="90"/>
        </w:numPr>
        <w:rPr>
          <w:rFonts w:ascii="Arial" w:cs="Arial" w:eastAsia="Arial" w:hAnsi="Arial"/>
          <w:sz w:val="18"/>
          <w:szCs w:val="18"/>
          <w:color w:val="auto"/>
        </w:rPr>
      </w:pPr>
      <w:r>
        <w:rPr>
          <w:rFonts w:ascii="Arial" w:cs="Arial" w:eastAsia="Arial" w:hAnsi="Arial"/>
          <w:sz w:val="18"/>
          <w:szCs w:val="18"/>
          <w:color w:val="auto"/>
        </w:rPr>
        <w:t>to conform the text of this Indenture or any Securities or any Guarantee endorsed thereon to any provision of the “Description of the Notes” section in any offering memorandum, prospectus or prospectus supplement of the Company prepared from time to time after the date of this Indenture with respect to the offer and sale of Securities of any series, to the extent that such provision was intended to be a verbatim recitation of a provision of this Indenture, the Securities or such Guarantee; or</w:t>
      </w:r>
    </w:p>
    <w:p>
      <w:pPr>
        <w:spacing w:after="0" w:line="78" w:lineRule="exact"/>
        <w:rPr>
          <w:rFonts w:ascii="Arial" w:cs="Arial" w:eastAsia="Arial" w:hAnsi="Arial"/>
          <w:sz w:val="18"/>
          <w:szCs w:val="18"/>
          <w:color w:val="auto"/>
        </w:rPr>
      </w:pPr>
    </w:p>
    <w:p>
      <w:pPr>
        <w:ind w:left="460" w:firstLine="443"/>
        <w:spacing w:after="0" w:line="291" w:lineRule="auto"/>
        <w:tabs>
          <w:tab w:leader="none" w:pos="1243" w:val="left"/>
        </w:tabs>
        <w:numPr>
          <w:ilvl w:val="1"/>
          <w:numId w:val="90"/>
        </w:numPr>
        <w:rPr>
          <w:rFonts w:ascii="Arial" w:cs="Arial" w:eastAsia="Arial" w:hAnsi="Arial"/>
          <w:sz w:val="16"/>
          <w:szCs w:val="16"/>
          <w:color w:val="auto"/>
        </w:rPr>
      </w:pPr>
      <w:r>
        <w:rPr>
          <w:rFonts w:ascii="Arial" w:cs="Arial" w:eastAsia="Arial" w:hAnsi="Arial"/>
          <w:sz w:val="16"/>
          <w:szCs w:val="16"/>
          <w:color w:val="auto"/>
        </w:rPr>
        <w:t>to cure any ambiguity, to correct or supplement any provision herein which may be defective or inconsistent with any other provision herein, or to make any other provisions with respect to matters or questions arising under this Indenture, provided that such action pursuant to this Clause</w:t>
      </w:r>
    </w:p>
    <w:p>
      <w:pPr>
        <w:ind w:left="800" w:hanging="336"/>
        <w:spacing w:after="0"/>
        <w:tabs>
          <w:tab w:leader="none" w:pos="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shall not adversely affect the interests of the Holders of Securities of any series in any material respect.</w:t>
      </w:r>
    </w:p>
    <w:p>
      <w:pPr>
        <w:spacing w:after="0" w:line="21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Trustee is hereby authorized to join with the Company and the Guarantors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8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Supplemental Indentures With Consent of Holders</w:t>
      </w:r>
      <w:r>
        <w:rPr>
          <w:rFonts w:ascii="Arial" w:cs="Arial" w:eastAsia="Arial" w:hAnsi="Arial"/>
          <w:sz w:val="16"/>
          <w:szCs w:val="16"/>
          <w:color w:val="auto"/>
        </w:rPr>
        <w:t xml:space="preserve">. Except as may otherwise be provided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for all or any specific Securities of any series or Guarantees thereof, with the consent of the Holders of a majority in principal amount (including consents obtained in connection with a purchase of, or tender offer or exchange offer for, Securities) of the Outstanding Securities of all series affected by such supplemental indenture (considered together as one class for this purpose and such affected Securities potentially being Securities of the same or different series and, with respect to any series, potentially comprising fewer than all the Securities of such series), by Act of said Holders delivered to the Company and the Trustee, the Company, when authorized by a Board Resolution, each of the Guarantors when authorized by a Guarantor’s Board Resolution of such Guarantor,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or any Guarantees of such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supplemental indenture shall, without the consent of the Holder of each Outstanding Security affected thereby (including consents obtained in connection with a purchase of, or tender offer or exchange offer for, Securities),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274" w:right="279" w:bottom="1440" w:gutter="0" w:footer="0" w:header="0"/>
        </w:sectPr>
      </w:pPr>
    </w:p>
    <w:bookmarkStart w:id="117" w:name="page118"/>
    <w:bookmarkEnd w:id="117"/>
    <w:p>
      <w:pPr>
        <w:ind w:left="460" w:right="40" w:firstLine="443"/>
        <w:spacing w:after="0" w:line="255" w:lineRule="auto"/>
        <w:tabs>
          <w:tab w:leader="none" w:pos="1153"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w:t>
      </w:r>
      <w:r>
        <w:rPr>
          <w:rFonts w:ascii="Arial" w:cs="Arial" w:eastAsia="Arial" w:hAnsi="Arial"/>
          <w:sz w:val="18"/>
          <w:szCs w:val="18"/>
          <w:u w:val="single" w:color="auto"/>
          <w:color w:val="auto"/>
        </w:rPr>
        <w:t>Section 5.02</w:t>
      </w:r>
      <w:r>
        <w:rPr>
          <w:rFonts w:ascii="Arial" w:cs="Arial" w:eastAsia="Arial" w:hAnsi="Arial"/>
          <w:sz w:val="18"/>
          <w:szCs w:val="18"/>
          <w:color w:val="auto"/>
        </w:rPr>
        <w:t>, or permit the Company to redeem any Security if, absent such supplemental indenture, the Company would not be permitted to do so, or change any Place of Payment where, or the coin or currency in which, any Security or any premium or interest thereon is payable, or impair the right to institute suit for the enforcement of any such payment on or after the Stated Maturity thereof (or, in the case of redemption, on or after the Redemption Date), or</w:t>
      </w:r>
    </w:p>
    <w:p>
      <w:pPr>
        <w:spacing w:after="0" w:line="81" w:lineRule="exact"/>
        <w:rPr>
          <w:rFonts w:ascii="Arial" w:cs="Arial" w:eastAsia="Arial" w:hAnsi="Arial"/>
          <w:sz w:val="18"/>
          <w:szCs w:val="18"/>
          <w:color w:val="auto"/>
        </w:rPr>
      </w:pPr>
    </w:p>
    <w:p>
      <w:pPr>
        <w:ind w:left="460" w:right="520" w:firstLine="443"/>
        <w:spacing w:after="0" w:line="277" w:lineRule="auto"/>
        <w:tabs>
          <w:tab w:leader="none" w:pos="1153"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any Security provides that the Holder may require the Company to repurchase or convert such Security, impair such Holder’s right to require repurchase or conversion of such Security on the terms provided therein, or</w:t>
      </w:r>
    </w:p>
    <w:p>
      <w:pPr>
        <w:spacing w:after="0" w:line="62" w:lineRule="exact"/>
        <w:rPr>
          <w:rFonts w:ascii="Arial" w:cs="Arial" w:eastAsia="Arial" w:hAnsi="Arial"/>
          <w:sz w:val="18"/>
          <w:szCs w:val="18"/>
          <w:color w:val="auto"/>
        </w:rPr>
      </w:pPr>
    </w:p>
    <w:p>
      <w:pPr>
        <w:ind w:left="460" w:right="40" w:firstLine="443"/>
        <w:spacing w:after="0" w:line="279" w:lineRule="auto"/>
        <w:tabs>
          <w:tab w:leader="none" w:pos="1153"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reduce the percentage in principal amount of the Outstanding Securities of any one or more series (considered separately or together as one class, as applicable, and whether comprising the same or different series or less than all the Securities of a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63" w:lineRule="exact"/>
        <w:rPr>
          <w:rFonts w:ascii="Arial" w:cs="Arial" w:eastAsia="Arial" w:hAnsi="Arial"/>
          <w:sz w:val="17"/>
          <w:szCs w:val="17"/>
          <w:color w:val="auto"/>
        </w:rPr>
      </w:pPr>
    </w:p>
    <w:p>
      <w:pPr>
        <w:ind w:left="460" w:right="360" w:firstLine="443"/>
        <w:spacing w:after="0" w:line="277" w:lineRule="auto"/>
        <w:tabs>
          <w:tab w:leader="none" w:pos="1153"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any Security is guaranteed by the Guarantee of any Guarantor, release such Guarantor from any of its obligations under such Guarantee except in accordance with the terms of this Indenture; or</w:t>
      </w:r>
    </w:p>
    <w:p>
      <w:pPr>
        <w:spacing w:after="0" w:line="62" w:lineRule="exact"/>
        <w:rPr>
          <w:rFonts w:ascii="Arial" w:cs="Arial" w:eastAsia="Arial" w:hAnsi="Arial"/>
          <w:sz w:val="18"/>
          <w:szCs w:val="18"/>
          <w:color w:val="auto"/>
        </w:rPr>
      </w:pPr>
    </w:p>
    <w:p>
      <w:pPr>
        <w:ind w:left="460" w:right="140" w:firstLine="443"/>
        <w:spacing w:after="0" w:line="257" w:lineRule="auto"/>
        <w:tabs>
          <w:tab w:leader="none" w:pos="1153"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Section,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except to increase any such percentage or to provide that certain other provisions of this Indenture cannot be modified or waived without the consent of the Holder of each Outstanding Security affected thereby;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this clause shall not be deemed to require the consent of any Holder with respect to changes in the references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the Trustee</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concomitant changes in this Section and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or the deletion of this proviso, in accordance with the requirements of </w:t>
      </w:r>
      <w:r>
        <w:rPr>
          <w:rFonts w:ascii="Arial" w:cs="Arial" w:eastAsia="Arial" w:hAnsi="Arial"/>
          <w:sz w:val="18"/>
          <w:szCs w:val="18"/>
          <w:u w:val="single" w:color="auto"/>
          <w:color w:val="auto"/>
        </w:rPr>
        <w:t>Sections 6.11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9.01(8)</w:t>
      </w:r>
      <w:r>
        <w:rPr>
          <w:rFonts w:ascii="Arial" w:cs="Arial" w:eastAsia="Arial" w:hAnsi="Arial"/>
          <w:sz w:val="18"/>
          <w:szCs w:val="18"/>
          <w:color w:val="auto"/>
        </w:rPr>
        <w:t>.</w:t>
      </w:r>
    </w:p>
    <w:p>
      <w:pPr>
        <w:spacing w:after="0" w:line="18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 supplemental indenture which changes or eliminates any covenant or other provision of this Indenture which has expressly been included solely for the benefit of one or more particular Securities or series of Securities, or which modifies the rights of the Holders of such Securities or series with respect to such covenant or other provision, shall be deemed not to affect the rights under this Indenture of the Holders of any other Securities or of any other series, as applicable.</w:t>
      </w:r>
    </w:p>
    <w:p>
      <w:pPr>
        <w:spacing w:after="0" w:line="18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It shall not be necessary for any Act of Holders under this Section to approve the particular form of any proposed supplemental indenture, but it shall be sufficient if such Act shall approve the substance thereof. A consent to any indenture supplemental hereto by or on behalf of any Holder of Securities given in connection with a purchase of, or tender or exchange offer for, such Holder’s Securities will not be rendered invalid by such purchase, tender or exchange.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118" w:name="page119"/>
    <w:bookmarkEnd w:id="118"/>
    <w:p>
      <w:pPr>
        <w:ind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9.03. </w:t>
      </w:r>
      <w:r>
        <w:rPr>
          <w:rFonts w:ascii="Arial" w:cs="Arial" w:eastAsia="Arial" w:hAnsi="Arial"/>
          <w:sz w:val="17"/>
          <w:szCs w:val="17"/>
          <w:u w:val="single" w:color="auto"/>
          <w:color w:val="auto"/>
        </w:rPr>
        <w:t>Execution of Supplemental Indentures</w:t>
      </w:r>
      <w:r>
        <w:rPr>
          <w:rFonts w:ascii="Arial" w:cs="Arial" w:eastAsia="Arial" w:hAnsi="Arial"/>
          <w:sz w:val="17"/>
          <w:szCs w:val="17"/>
          <w:color w:val="auto"/>
        </w:rPr>
        <w:t xml:space="preserve">. In executing, or accepting the additional trusts created by, any supplemental indenture permitted by this Article or the modifications thereby of the trusts created by this Indenture, the Trustee shall be entitled to receive, and (subject to </w:t>
      </w:r>
      <w:r>
        <w:rPr>
          <w:rFonts w:ascii="Arial" w:cs="Arial" w:eastAsia="Arial" w:hAnsi="Arial"/>
          <w:sz w:val="17"/>
          <w:szCs w:val="17"/>
          <w:u w:val="single" w:color="auto"/>
          <w:color w:val="auto"/>
        </w:rPr>
        <w:t>Section 6.01</w:t>
      </w:r>
      <w:r>
        <w:rPr>
          <w:rFonts w:ascii="Arial" w:cs="Arial" w:eastAsia="Arial" w:hAnsi="Arial"/>
          <w:sz w:val="17"/>
          <w:szCs w:val="17"/>
          <w:color w:val="auto"/>
        </w:rPr>
        <w:t>) shall be fully protected in relying upon, an Opinion of Counsel and Officers’ Certificate and Guarantor’s Officers’ Certificate, as the case may be,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Conformity with Trust Indenture Act</w:t>
      </w:r>
      <w:r>
        <w:rPr>
          <w:rFonts w:ascii="Arial" w:cs="Arial" w:eastAsia="Arial" w:hAnsi="Arial"/>
          <w:sz w:val="18"/>
          <w:szCs w:val="18"/>
          <w:color w:val="auto"/>
        </w:rPr>
        <w:t>. Every supplemental indenture executed pursuant to this Article shall conform to the requirements of the Trust Indenture Act.</w:t>
      </w:r>
    </w:p>
    <w:p>
      <w:pPr>
        <w:spacing w:after="0" w:line="17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Reference in Securities to Supplemental Indentures</w:t>
      </w:r>
      <w:r>
        <w:rPr>
          <w:rFonts w:ascii="Arial" w:cs="Arial" w:eastAsia="Arial" w:hAnsi="Arial"/>
          <w:sz w:val="17"/>
          <w:szCs w:val="17"/>
          <w:color w:val="auto"/>
        </w:rPr>
        <w: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if applicable, the Guarantors and authenticated and delivered by the Trustee in exchange for Outstanding Securities of such series.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Payment of Principal, Premium and Interest</w:t>
      </w:r>
      <w:r>
        <w:rPr>
          <w:rFonts w:ascii="Arial" w:cs="Arial" w:eastAsia="Arial" w:hAnsi="Arial"/>
          <w:sz w:val="18"/>
          <w:szCs w:val="18"/>
          <w:color w:val="auto"/>
        </w:rPr>
        <w:t>. 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18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u w:val="single" w:color="auto"/>
          <w:color w:val="auto"/>
        </w:rPr>
        <w:t>Maintenance of Office or Agency</w:t>
      </w:r>
      <w:r>
        <w:rPr>
          <w:rFonts w:ascii="Arial" w:cs="Arial" w:eastAsia="Arial" w:hAnsi="Arial"/>
          <w:sz w:val="16"/>
          <w:szCs w:val="16"/>
          <w:color w:val="auto"/>
        </w:rPr>
        <w:t>. 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may be surrendered for conversion and where notices and demands to or upon the Company or any Guarantor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and each Guarantor hereby appoints the Trustee as its agent to receive all such presentations, surrenders, notices and demands.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119" w:name="page120"/>
    <w:bookmarkEnd w:id="119"/>
    <w:p>
      <w:pPr>
        <w:ind w:right="10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88"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 xml:space="preserve">With respect to any Global Security, and except as otherwise may be specified for such Global Security as contemplated by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the Corporate Trust Office of the Trustee shall be the Place of Payment where such Global Security may be presented or surrendered for payment or for registration of transfer or exchange, or where successor Securities may be delivered in exchange therefor,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such payment, presentation, surrender or delivery effected pursuant to the Applicable Procedures of the Depositary for such Global Security shall be deemed to have been effected at the Place of Payment for such Global Security in accordance with the provisions of this Indenture.</w:t>
      </w:r>
    </w:p>
    <w:p>
      <w:pPr>
        <w:spacing w:after="0" w:line="1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u w:val="single" w:color="auto"/>
          <w:color w:val="auto"/>
        </w:rPr>
        <w:t>Money for Securities Payments to Be Held in Trust</w:t>
      </w:r>
      <w:r>
        <w:rPr>
          <w:rFonts w:ascii="Arial" w:cs="Arial" w:eastAsia="Arial" w:hAnsi="Arial"/>
          <w:sz w:val="16"/>
          <w:szCs w:val="16"/>
          <w:color w:val="auto"/>
        </w:rPr>
        <w:t>. 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54"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 xml:space="preserve">Whenever the Company shall have one or more Paying Agents for any series of Securities, it will, on or prior to 12:30 P.M., New York City time, on each due date of the principal of or any premium or interest on any Securities of that series, deposit (or, if the Company has deposited any trust funds with a trustee pursuant to </w:t>
      </w:r>
      <w:r>
        <w:rPr>
          <w:rFonts w:ascii="Arial" w:cs="Arial" w:eastAsia="Arial" w:hAnsi="Arial"/>
          <w:sz w:val="16"/>
          <w:szCs w:val="16"/>
          <w:u w:val="single" w:color="auto"/>
          <w:color w:val="auto"/>
        </w:rPr>
        <w:t>Section 13.04(1)</w:t>
      </w:r>
      <w:r>
        <w:rPr>
          <w:rFonts w:ascii="Arial" w:cs="Arial" w:eastAsia="Arial" w:hAnsi="Arial"/>
          <w:sz w:val="16"/>
          <w:szCs w:val="16"/>
          <w:color w:val="auto"/>
        </w:rPr>
        <w:t>, cause such trustee to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54"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4" w:right="259" w:bottom="1440" w:gutter="0" w:footer="0" w:header="0"/>
        </w:sectPr>
      </w:pPr>
    </w:p>
    <w:bookmarkStart w:id="120" w:name="page121"/>
    <w:bookmarkEnd w:id="120"/>
    <w:p>
      <w:pPr>
        <w:ind w:right="8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shall be paid to the Company on Company Request (or if deposited by a Guarantor, paid to such Guarantor on Guarantor Request), or (if then held by the Company) shall be discharged from such trust; and the Holder of such Security shall thereafter, as an unsecured general creditor, look only to the Company or such Guarantor, as the case may be, for payment thereof, and all liability of the Trustee or such Paying Agent with respect to such trust money, and all liability of the Company as trustee thereof, shall thereupon cease;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Trustee or such Paying Agent, before being required to make any such repayment, shall, at the expense of the Company, cause to be published once, in </w:t>
      </w:r>
      <w:r>
        <w:rPr>
          <w:rFonts w:ascii="Arial" w:cs="Arial" w:eastAsia="Arial" w:hAnsi="Arial"/>
          <w:sz w:val="16"/>
          <w:szCs w:val="16"/>
          <w:i w:val="1"/>
          <w:iCs w:val="1"/>
          <w:color w:val="auto"/>
        </w:rPr>
        <w:t>The New York Times</w:t>
      </w:r>
      <w:r>
        <w:rPr>
          <w:rFonts w:ascii="Arial" w:cs="Arial" w:eastAsia="Arial" w:hAnsi="Arial"/>
          <w:sz w:val="16"/>
          <w:szCs w:val="16"/>
          <w:color w:val="auto"/>
        </w:rPr>
        <w:t xml:space="preserve"> or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(national edition), notice that such money remains unclaimed and that, after a date specified therein, which shall not be less than 30 days from the date of such publication, any unclaimed balance of such money then remaining will be repaid to the Company, or the applicable Guarantor as the case may be.</w:t>
      </w:r>
    </w:p>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Corporate Existence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the Company will do or cause to be done all things necessary to preserve and keep in full force and effect its corporate existence, rights (charter and statutory), licenses and franchises;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will not be required to preserve any such right, license or franchise if it shall determine that the preservation thereof is no longer desirable in the conduct of the business of the Company.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Statement by Officers as to Default</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70" w:lineRule="auto"/>
        <w:tabs>
          <w:tab w:leader="none" w:pos="701"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Company shall deliver to the Trustee, within 120 days after the end of each fiscal year of the Company ending after the date hereof, an Officers’ Certificate, stating that a review of the activities of the Company during the preceding fiscal year has been made under the supervision of the signing Officers with a view to determining whether the Company has kept, observed, performed and fulfilled its obligations under this Indenture with respect to the Securities of each series Outstanding and further stating, as to each such Officer signing such certificate, that to the best of such Officer’s actual knowledge, the Company has kept, observed, performed and fulfilled its obligations under this Indenture with respect to Securities of such series and is not in default in the performance and observance of any of the material terms, provisions and conditions of this Indenture with respect to Securities of such series, in each case, so as not to result in any default or Event of Default with respect to Securities of such series (or, if a default or Event of Default with respect to Securities of such series shall have occurred and be continuing, describing all such defaults or Events of Default of which such Officer may have knowledge and what action the Company is taking or propose to take with respect thereto).</w:t>
      </w:r>
    </w:p>
    <w:p>
      <w:pPr>
        <w:spacing w:after="0" w:line="73" w:lineRule="exact"/>
        <w:rPr>
          <w:rFonts w:ascii="Arial" w:cs="Arial" w:eastAsia="Arial" w:hAnsi="Arial"/>
          <w:sz w:val="17"/>
          <w:szCs w:val="17"/>
          <w:color w:val="auto"/>
        </w:rPr>
      </w:pPr>
    </w:p>
    <w:p>
      <w:pPr>
        <w:ind w:right="160" w:firstLine="464"/>
        <w:spacing w:after="0" w:line="297" w:lineRule="auto"/>
        <w:tabs>
          <w:tab w:leader="none" w:pos="711"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So long as any Securities of a series to which </w:t>
      </w:r>
      <w:r>
        <w:rPr>
          <w:rFonts w:ascii="Arial" w:cs="Arial" w:eastAsia="Arial" w:hAnsi="Arial"/>
          <w:sz w:val="16"/>
          <w:szCs w:val="16"/>
          <w:u w:val="single" w:color="auto"/>
          <w:color w:val="auto"/>
        </w:rPr>
        <w:t>Article XIV</w:t>
      </w:r>
      <w:r>
        <w:rPr>
          <w:rFonts w:ascii="Arial" w:cs="Arial" w:eastAsia="Arial" w:hAnsi="Arial"/>
          <w:sz w:val="16"/>
          <w:szCs w:val="16"/>
          <w:color w:val="auto"/>
        </w:rPr>
        <w:t xml:space="preserve"> has been made applicable are Outstanding, each Guarantor with respect to Securities of such series Outstanding shall deliver to the Trustee, within 120 days after the end of each fiscal year of the Company ending after the date hereof, a Guarantor’s Officers’ Certificate with respect to such Guarantor, stating that a review of the activities of such Guarantor during the preceding fiscal year has been made under the supervision of the signing Officers with a view to determining whether such Guarantor has kept, observed, performed and fulfilled its obligations under this Indenture with respect to the Securities of such series and further stating, as to each such Officer signing such</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121" w:name="page122"/>
    <w:bookmarkEnd w:id="121"/>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that to the best of such Officer’s actual knowledge, such Guarantor has kept, observed, performed and fulfilled its obligations under this Indenture with respect to Securities of such series and is not in default in the performance and observance of any of the material terms, provisions and conditions of this Indenture with respect to Securities of such series, in each case, so as not to result in any default or Event of Default with respect to Securities of such series (or, if a default or Event of Default with respect to Securities of such series shall have occurred and be continuing, describing all such defaults or Events of Default of which such Officer may have knowledge and what action such Guarantor is taking or proposes to take with respect thereto).</w:t>
      </w:r>
    </w:p>
    <w:p>
      <w:pPr>
        <w:spacing w:after="0" w:line="1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10.06. </w:t>
      </w:r>
      <w:r>
        <w:rPr>
          <w:rFonts w:ascii="Arial" w:cs="Arial" w:eastAsia="Arial" w:hAnsi="Arial"/>
          <w:sz w:val="16"/>
          <w:szCs w:val="16"/>
          <w:u w:val="single" w:color="auto"/>
          <w:color w:val="auto"/>
        </w:rPr>
        <w:t>Waiver of Certain Covenants</w:t>
      </w:r>
      <w:r>
        <w:rPr>
          <w:rFonts w:ascii="Arial" w:cs="Arial" w:eastAsia="Arial" w:hAnsi="Arial"/>
          <w:sz w:val="16"/>
          <w:szCs w:val="16"/>
          <w:color w:val="auto"/>
        </w:rPr>
        <w:t xml:space="preserve">. Except as otherwise provided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for all or any Securities of any series, the Company may, with respect to all or any Securities of any series, omit in any particular instance to comply with any term, provision or condition set forth in Section</w:t>
      </w:r>
    </w:p>
    <w:p>
      <w:pPr>
        <w:spacing w:after="0" w:line="268" w:lineRule="auto"/>
        <w:rPr>
          <w:sz w:val="20"/>
          <w:szCs w:val="20"/>
          <w:color w:val="auto"/>
        </w:rPr>
      </w:pPr>
      <w:r>
        <w:rPr>
          <w:rFonts w:ascii="Arial" w:cs="Arial" w:eastAsia="Arial" w:hAnsi="Arial"/>
          <w:sz w:val="17"/>
          <w:szCs w:val="17"/>
          <w:color w:val="auto"/>
        </w:rPr>
        <w:t xml:space="preserve">10.04 or in any covenant provided pursuant to </w:t>
      </w:r>
      <w:r>
        <w:rPr>
          <w:rFonts w:ascii="Arial" w:cs="Arial" w:eastAsia="Arial" w:hAnsi="Arial"/>
          <w:sz w:val="17"/>
          <w:szCs w:val="17"/>
          <w:u w:val="single" w:color="auto"/>
          <w:color w:val="auto"/>
        </w:rPr>
        <w:t>Section 3.01(18)</w:t>
      </w:r>
      <w:r>
        <w:rPr>
          <w:rFonts w:ascii="Arial" w:cs="Arial" w:eastAsia="Arial" w:hAnsi="Arial"/>
          <w:sz w:val="17"/>
          <w:szCs w:val="17"/>
          <w:color w:val="auto"/>
        </w:rPr>
        <w:t xml:space="preserve">, </w:t>
      </w:r>
      <w:r>
        <w:rPr>
          <w:rFonts w:ascii="Arial" w:cs="Arial" w:eastAsia="Arial" w:hAnsi="Arial"/>
          <w:sz w:val="17"/>
          <w:szCs w:val="17"/>
          <w:u w:val="single" w:color="auto"/>
          <w:color w:val="auto"/>
        </w:rPr>
        <w:t>9.01(2)</w:t>
      </w:r>
      <w:r>
        <w:rPr>
          <w:rFonts w:ascii="Arial" w:cs="Arial" w:eastAsia="Arial" w:hAnsi="Arial"/>
          <w:sz w:val="17"/>
          <w:szCs w:val="17"/>
          <w:color w:val="auto"/>
        </w:rPr>
        <w:t xml:space="preserve">, </w:t>
      </w:r>
      <w:r>
        <w:rPr>
          <w:rFonts w:ascii="Arial" w:cs="Arial" w:eastAsia="Arial" w:hAnsi="Arial"/>
          <w:sz w:val="17"/>
          <w:szCs w:val="17"/>
          <w:u w:val="single" w:color="auto"/>
          <w:color w:val="auto"/>
        </w:rPr>
        <w:t>9.01(6)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9.01(7)</w:t>
      </w:r>
      <w:r>
        <w:rPr>
          <w:rFonts w:ascii="Arial" w:cs="Arial" w:eastAsia="Arial" w:hAnsi="Arial"/>
          <w:sz w:val="17"/>
          <w:szCs w:val="17"/>
          <w:color w:val="auto"/>
        </w:rPr>
        <w:t xml:space="preserve"> for the benefit of the Holders of such series or in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if, before the time for such compliance, the Holders of a majority in principal amount (including waivers obtained in connection with a purchase of, or tender offer or exchange offer for, Securities) of all Outstanding Securities affected by such waiver (considered together as one class for this purpose and such affected Securities potentially being Securities of the same or different series and, with respect to any particular series, potentially comprising fewer than all the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 A waiver of compliance given by or on behalf of any Holder of Securities in connection with a purchase of, or tender or exchange offer for, such Holder’s Securities will not be rendered invalid by such purchase, tender or exchange.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REDEMPTION OF SECURITIES</w:t>
      </w:r>
    </w:p>
    <w:p>
      <w:pPr>
        <w:spacing w:after="0" w:line="211"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 xml:space="preserve">Section 11.01. </w:t>
      </w:r>
      <w:r>
        <w:rPr>
          <w:rFonts w:ascii="Arial" w:cs="Arial" w:eastAsia="Arial" w:hAnsi="Arial"/>
          <w:sz w:val="17"/>
          <w:szCs w:val="17"/>
          <w:u w:val="single" w:color="auto"/>
          <w:color w:val="auto"/>
        </w:rPr>
        <w:t>Applicability of Article</w:t>
      </w:r>
      <w:r>
        <w:rPr>
          <w:rFonts w:ascii="Arial" w:cs="Arial" w:eastAsia="Arial" w:hAnsi="Arial"/>
          <w:sz w:val="17"/>
          <w:szCs w:val="17"/>
          <w:color w:val="auto"/>
        </w:rPr>
        <w:t xml:space="preserve">. Securities of any series which are redeemable before their Stated Maturity shall be redeemable in accordance with their terms and (except as otherwise specified as contemplated by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for such Securities) in accordance with this Article.</w:t>
      </w:r>
    </w:p>
    <w:p>
      <w:pPr>
        <w:spacing w:after="0" w:line="14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u w:val="single" w:color="auto"/>
          <w:color w:val="auto"/>
        </w:rPr>
        <w:t>Election to Redeem; Notice to Trustee</w:t>
      </w:r>
      <w:r>
        <w:rPr>
          <w:rFonts w:ascii="Arial" w:cs="Arial" w:eastAsia="Arial" w:hAnsi="Arial"/>
          <w:sz w:val="16"/>
          <w:szCs w:val="16"/>
          <w:color w:val="auto"/>
        </w:rPr>
        <w:t xml:space="preserve">. The election of the Company to redeem any Securities shall be established in or pursuant to a Board Resolution or in another manner specified as contemplated by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for such Securities. In case of any redemption at the election of the Company of less than all the Securities of any series (including any such redemption affecting only a single Security), the Company shall, at least 5 Business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(1) prior to the expiration of any restriction on such redemption provided in the terms of such Securities or elsewhere in this Indenture, or (2) pursuant to an election of the Company that is subject to a condition specified in the terms of the Securities of the series to be redeemed, the Company shall furnish the Trustee with an Officers’ Certificate evidencing compliance with such restriction or condition.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4" w:right="259" w:bottom="1440" w:gutter="0" w:footer="0" w:header="0"/>
        </w:sectPr>
      </w:pPr>
    </w:p>
    <w:bookmarkStart w:id="122" w:name="page123"/>
    <w:bookmarkEnd w:id="122"/>
    <w:p>
      <w:pPr>
        <w:ind w:right="100"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11.03. </w:t>
      </w:r>
      <w:r>
        <w:rPr>
          <w:rFonts w:ascii="Arial" w:cs="Arial" w:eastAsia="Arial" w:hAnsi="Arial"/>
          <w:sz w:val="17"/>
          <w:szCs w:val="17"/>
          <w:u w:val="single" w:color="auto"/>
          <w:color w:val="auto"/>
        </w:rPr>
        <w:t>Selection by Trustee of Securities to Be Redeemed</w:t>
      </w:r>
      <w:r>
        <w:rPr>
          <w:rFonts w:ascii="Arial" w:cs="Arial" w:eastAsia="Arial" w:hAnsi="Arial"/>
          <w:sz w:val="17"/>
          <w:szCs w:val="17"/>
          <w:color w:val="auto"/>
        </w:rPr>
        <w:t>. 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40 days prior to the Redemption Date by the Trustee, from the Outstanding Securities of such series not previously called for redemption, by such method as the Trustee shall deem fair and appropriate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40 days prior to the Redemption Date by the Trustee, from the Outstanding Securities of such series and specified tenor not previously called for redemption in accordance with the preceding sentence.</w:t>
      </w:r>
    </w:p>
    <w:p>
      <w:pPr>
        <w:spacing w:after="0" w:line="182"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If any Security selected for partial redemption is converted in part before termination of the conversion right with respect to the portion of the Security so selected, the converted portion of such Security shall be deemed (so far as it may be) to be the portion selected for redemption. Securities which have been converted during a selection of Securities to be redeemed shall be treated by the Trustee as Outstanding for the purpose of such selection.</w:t>
      </w:r>
    </w:p>
    <w:p>
      <w:pPr>
        <w:spacing w:after="0" w:line="14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Trustee shall promptly notify the Company and each Security Registrar in writing of the Securities selected for redemption as aforesaid and, in case of any Securities selected for partial redemption as aforesaid, the principal amount thereof to be redeemed.</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8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2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 xml:space="preserve">. Notice of redemption shall be given in the manner provided in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not less than 30 days nor more than 60 days prior to the Redemption Date (or within such period as otherwise specified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for the relevant Securities), to each Holder of Securities to be redeemed, at his address appearing in the Security Register.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123" w:name="page124"/>
    <w:bookmarkEnd w:id="1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notices of redemption shall identify the Securities to be redeemed (including CUSIP numbers, if any) and shall state:</w:t>
      </w:r>
    </w:p>
    <w:p>
      <w:pPr>
        <w:spacing w:after="0" w:line="117" w:lineRule="exact"/>
        <w:rPr>
          <w:sz w:val="20"/>
          <w:szCs w:val="20"/>
          <w:color w:val="auto"/>
        </w:rPr>
      </w:pPr>
    </w:p>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ind w:left="460" w:right="20" w:firstLine="443"/>
        <w:spacing w:after="0" w:line="312" w:lineRule="auto"/>
        <w:tabs>
          <w:tab w:leader="none" w:pos="1153"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38" w:lineRule="exact"/>
        <w:rPr>
          <w:rFonts w:ascii="Arial" w:cs="Arial" w:eastAsia="Arial" w:hAnsi="Arial"/>
          <w:sz w:val="16"/>
          <w:szCs w:val="16"/>
          <w:color w:val="auto"/>
        </w:rPr>
      </w:pPr>
    </w:p>
    <w:p>
      <w:pPr>
        <w:ind w:left="460" w:right="120" w:firstLine="443"/>
        <w:spacing w:after="0" w:line="277" w:lineRule="auto"/>
        <w:tabs>
          <w:tab w:leader="none" w:pos="115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place or places where each such Security is to be surrendered for payment of the Redemption Price,</w:t>
      </w:r>
    </w:p>
    <w:p>
      <w:pPr>
        <w:spacing w:after="0" w:line="117" w:lineRule="exact"/>
        <w:rPr>
          <w:rFonts w:ascii="Arial" w:cs="Arial" w:eastAsia="Arial" w:hAnsi="Arial"/>
          <w:sz w:val="18"/>
          <w:szCs w:val="18"/>
          <w:color w:val="auto"/>
        </w:rPr>
      </w:pPr>
    </w:p>
    <w:p>
      <w:pPr>
        <w:ind w:left="460" w:right="400" w:firstLine="443"/>
        <w:spacing w:after="0" w:line="277" w:lineRule="auto"/>
        <w:tabs>
          <w:tab w:leader="none" w:pos="1153"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any Securities that by their terms may be converted, the terms of conversion, the date on which the right to convert the Security to be redeemed will terminate and the place or places where such Securities may be surrendered for conversion,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 xml:space="preserve">. Prior to 11:00 A.M., New York City time, on any Redemption Date, the Company shall deposit with the Trustee or with a Paying Agent (or, if the Company is acting as its own Paying Agent, segregate and hold in trust as provided in </w:t>
      </w:r>
      <w:r>
        <w:rPr>
          <w:rFonts w:ascii="Arial" w:cs="Arial" w:eastAsia="Arial" w:hAnsi="Arial"/>
          <w:sz w:val="18"/>
          <w:szCs w:val="18"/>
          <w:u w:val="single" w:color="auto"/>
          <w:color w:val="auto"/>
        </w:rPr>
        <w:t>Section 10.03</w:t>
      </w:r>
      <w:r>
        <w:rPr>
          <w:rFonts w:ascii="Arial" w:cs="Arial" w:eastAsia="Arial" w:hAnsi="Arial"/>
          <w:sz w:val="18"/>
          <w:szCs w:val="18"/>
          <w:color w:val="auto"/>
        </w:rPr>
        <w:t>) an amount of money sufficient to pay the Redemption Price of, and (except if the Redemption Date shall be an Interest Payment Date) accrued interest on, all the Securities which are to be redeemed on that date, other than any Securities called for redemption on that date which have been converted prior to the date of such deposit.</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If any Security called for redemption is converted, any money deposited with the Trustee or with any Paying Agent or so segregated and held in trust for the redemption of such Security shall (subject to any right of the Holder of such Security or any Predecessor Security to receive interest as provided in the last paragraph of </w:t>
      </w: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or in the terms of such Security) be paid to the Company upon Company Request or, if then held by the Company, shall be discharged from such trust.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274" w:right="279" w:bottom="1440" w:gutter="0" w:footer="0" w:header="0"/>
        </w:sectPr>
      </w:pPr>
    </w:p>
    <w:bookmarkStart w:id="124" w:name="page125"/>
    <w:bookmarkEnd w:id="124"/>
    <w:p>
      <w:pPr>
        <w:ind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11.06. </w:t>
      </w:r>
      <w:r>
        <w:rPr>
          <w:rFonts w:ascii="Arial" w:cs="Arial" w:eastAsia="Arial" w:hAnsi="Arial"/>
          <w:sz w:val="17"/>
          <w:szCs w:val="17"/>
          <w:u w:val="single" w:color="auto"/>
          <w:color w:val="auto"/>
        </w:rPr>
        <w:t>Securities Payable on Redemption Date</w:t>
      </w:r>
      <w:r>
        <w:rPr>
          <w:rFonts w:ascii="Arial" w:cs="Arial" w:eastAsia="Arial" w:hAnsi="Arial"/>
          <w:sz w:val="17"/>
          <w:szCs w:val="17"/>
          <w:color w:val="auto"/>
        </w:rPr>
        <w:t xml:space="preserve">. 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unless otherwise specified as contemplated by</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3.01</w:t>
      </w:r>
      <w:r>
        <w:rPr>
          <w:rFonts w:ascii="Arial" w:cs="Arial" w:eastAsia="Arial" w:hAnsi="Arial"/>
          <w:sz w:val="17"/>
          <w:szCs w:val="17"/>
          <w:color w:val="auto"/>
        </w:rPr>
        <w:t>, installments of interest whose Stated Maturity is on or prior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Redemption Date will be payable to the Holders of such Securities, or one or more Predecessor Securities, registered as such at the close of business on the relevant Record Dates according to their terms and the provisions of </w:t>
      </w:r>
      <w:r>
        <w:rPr>
          <w:rFonts w:ascii="Arial" w:cs="Arial" w:eastAsia="Arial" w:hAnsi="Arial"/>
          <w:sz w:val="17"/>
          <w:szCs w:val="17"/>
          <w:u w:val="single" w:color="auto"/>
          <w:color w:val="auto"/>
        </w:rPr>
        <w:t>Section 3.07</w:t>
      </w:r>
      <w:r>
        <w:rPr>
          <w:rFonts w:ascii="Arial" w:cs="Arial" w:eastAsia="Arial" w:hAnsi="Arial"/>
          <w:sz w:val="17"/>
          <w:szCs w:val="17"/>
          <w:color w:val="auto"/>
        </w:rPr>
        <w:t>.</w:t>
      </w:r>
    </w:p>
    <w:p>
      <w:pPr>
        <w:spacing w:after="0" w:line="17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Securities Redeemed in Part</w:t>
      </w:r>
      <w:r>
        <w:rPr>
          <w:rFonts w:ascii="Arial" w:cs="Arial" w:eastAsia="Arial" w:hAnsi="Arial"/>
          <w:sz w:val="18"/>
          <w:szCs w:val="18"/>
          <w:color w:val="auto"/>
        </w:rPr>
        <w:t>. 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and, if applicable, the Guarantors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9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11.08. </w:t>
      </w:r>
      <w:r>
        <w:rPr>
          <w:rFonts w:ascii="Arial" w:cs="Arial" w:eastAsia="Arial" w:hAnsi="Arial"/>
          <w:sz w:val="17"/>
          <w:szCs w:val="17"/>
          <w:u w:val="single" w:color="auto"/>
          <w:color w:val="auto"/>
        </w:rPr>
        <w:t>No Limit on Repurchases</w:t>
      </w:r>
      <w:r>
        <w:rPr>
          <w:rFonts w:ascii="Arial" w:cs="Arial" w:eastAsia="Arial" w:hAnsi="Arial"/>
          <w:sz w:val="17"/>
          <w:szCs w:val="17"/>
          <w:color w:val="auto"/>
        </w:rPr>
        <w:t>. Nothing in this Indenture or the Securities shall prohibit or limit the right of the Company or any Affiliate of the Company to repurchase Securities from time to time at any price in open market purchases or private transactions at negotiated prices, by tender offer or otherwise, in each case without any notice to or consent by Holders. Any Securities purchased by the Company or any Affiliate of the Company may, to the extent permitted by law and at the discretion of the Company, be held, resold or delivered to the Trustee for cancellation. Any such Securities delivered to the Trustee for cancellation may not be resold and shall be disposed of as directed by Company Order.</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SINKING FUNDS</w:t>
      </w:r>
    </w:p>
    <w:p>
      <w:pPr>
        <w:spacing w:after="0" w:line="21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xml:space="preserve">. The provisions of this Article shall be applicable to any sinking fund for the retirement of Securities of any series except as otherwise specified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for such Securities.</w:t>
      </w:r>
    </w:p>
    <w:p>
      <w:pPr>
        <w:spacing w:after="0" w:line="166" w:lineRule="exact"/>
        <w:rPr>
          <w:sz w:val="20"/>
          <w:szCs w:val="20"/>
          <w:color w:val="auto"/>
        </w:rPr>
      </w:pPr>
    </w:p>
    <w:p>
      <w:pPr>
        <w:ind w:right="300" w:firstLine="456"/>
        <w:spacing w:after="0" w:line="303" w:lineRule="auto"/>
        <w:rPr>
          <w:sz w:val="20"/>
          <w:szCs w:val="20"/>
          <w:color w:val="auto"/>
        </w:rPr>
      </w:pPr>
      <w:r>
        <w:rPr>
          <w:rFonts w:ascii="Arial" w:cs="Arial" w:eastAsia="Arial" w:hAnsi="Arial"/>
          <w:sz w:val="16"/>
          <w:szCs w:val="16"/>
          <w:color w:val="auto"/>
        </w:rPr>
        <w:t xml:space="preserve">The minimum amount of any sinking fund payment provided for by the terms of any Securities is herein referred to as a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mandatory sinking fund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payment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any payment in excess of such minimum amount provided for by the terms of such Securities is herein referred to as an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optional sinking fund payment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provided for by the terms of any Securities, the cash amount of any sinking fund payment may be subject to reduction as provided in</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Section 12.02</w:t>
      </w:r>
      <w:r>
        <w:rPr>
          <w:rFonts w:ascii="Arial" w:cs="Arial" w:eastAsia="Arial" w:hAnsi="Arial"/>
          <w:sz w:val="16"/>
          <w:szCs w:val="16"/>
          <w:color w:val="auto"/>
        </w:rPr>
        <w:t>. Each sinking fund payment shall be applied to the redemption of Securities as provided for by the terms of such Securities.</w:t>
      </w: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274" w:right="299" w:bottom="1440" w:gutter="0" w:footer="0" w:header="0"/>
        </w:sectPr>
      </w:pPr>
    </w:p>
    <w:bookmarkStart w:id="125" w:name="page126"/>
    <w:bookmarkEnd w:id="125"/>
    <w:p>
      <w:pPr>
        <w:ind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12.02.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 xml:space="preserve">. The Company (1) may deliver Outstanding Securities of a series (other than any previously called for redemption) and (2) may apply as a credit Securities of a series which have been converted in accordance with their terms or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Securities to be so credited have not been previously so credited. The Securities to be so credited shall be received and credited for such purpose by the Trustee at the Redemption Price, as specified in the Securities so to be redeemed (or at such other prices as may be specified for such Securities as contemplated in </w:t>
      </w:r>
      <w:r>
        <w:rPr>
          <w:rFonts w:ascii="Arial" w:cs="Arial" w:eastAsia="Arial" w:hAnsi="Arial"/>
          <w:sz w:val="18"/>
          <w:szCs w:val="18"/>
          <w:u w:val="single" w:color="auto"/>
          <w:color w:val="auto"/>
        </w:rPr>
        <w:t>Section 3.01</w:t>
      </w:r>
      <w:r>
        <w:rPr>
          <w:rFonts w:ascii="Arial" w:cs="Arial" w:eastAsia="Arial" w:hAnsi="Arial"/>
          <w:sz w:val="18"/>
          <w:szCs w:val="18"/>
          <w:color w:val="auto"/>
        </w:rPr>
        <w:t>), for redemption through operation of the sinking fund and the amount of such sinking fund payment shall be reduced accordingly.</w:t>
      </w:r>
    </w:p>
    <w:p>
      <w:pPr>
        <w:spacing w:after="0" w:line="19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Section 12.03. </w:t>
      </w:r>
      <w:r>
        <w:rPr>
          <w:rFonts w:ascii="Arial" w:cs="Arial" w:eastAsia="Arial" w:hAnsi="Arial"/>
          <w:sz w:val="17"/>
          <w:szCs w:val="17"/>
          <w:u w:val="single" w:color="auto"/>
          <w:color w:val="auto"/>
        </w:rPr>
        <w:t>Redemption of Securities for Sinking Fund</w:t>
      </w:r>
      <w:r>
        <w:rPr>
          <w:rFonts w:ascii="Arial" w:cs="Arial" w:eastAsia="Arial" w:hAnsi="Arial"/>
          <w:sz w:val="17"/>
          <w:szCs w:val="17"/>
          <w:color w:val="auto"/>
        </w:rPr>
        <w:t xml:space="preserve">. Not less than 45 days (or such shorter period as shall be satisfactory to the Trustee)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w:t>
      </w:r>
      <w:r>
        <w:rPr>
          <w:rFonts w:ascii="Arial" w:cs="Arial" w:eastAsia="Arial" w:hAnsi="Arial"/>
          <w:sz w:val="17"/>
          <w:szCs w:val="17"/>
          <w:u w:val="single" w:color="auto"/>
          <w:color w:val="auto"/>
        </w:rPr>
        <w:t>Section 12.02</w:t>
      </w:r>
      <w:r>
        <w:rPr>
          <w:rFonts w:ascii="Arial" w:cs="Arial" w:eastAsia="Arial" w:hAnsi="Arial"/>
          <w:sz w:val="17"/>
          <w:szCs w:val="17"/>
          <w:color w:val="auto"/>
        </w:rPr>
        <w:t xml:space="preserve"> and will also deliver to the Trustee any Securities to be so delivered. Not less than 30 days prior to each such sinking fund payment date, the Trustee shall select the Securities to be redeemed upon such sinking fund payment date in the manner specified in </w:t>
      </w:r>
      <w:r>
        <w:rPr>
          <w:rFonts w:ascii="Arial" w:cs="Arial" w:eastAsia="Arial" w:hAnsi="Arial"/>
          <w:sz w:val="17"/>
          <w:szCs w:val="17"/>
          <w:u w:val="single" w:color="auto"/>
          <w:color w:val="auto"/>
        </w:rPr>
        <w:t>Section 11.03</w:t>
      </w:r>
      <w:r>
        <w:rPr>
          <w:rFonts w:ascii="Arial" w:cs="Arial" w:eastAsia="Arial" w:hAnsi="Arial"/>
          <w:sz w:val="17"/>
          <w:szCs w:val="17"/>
          <w:color w:val="auto"/>
        </w:rPr>
        <w:t xml:space="preserve"> and cause notice of the redemption thereof to be given in the name of and at the expense of the Company in the manner provided in </w:t>
      </w:r>
      <w:r>
        <w:rPr>
          <w:rFonts w:ascii="Arial" w:cs="Arial" w:eastAsia="Arial" w:hAnsi="Arial"/>
          <w:sz w:val="17"/>
          <w:szCs w:val="17"/>
          <w:u w:val="single" w:color="auto"/>
          <w:color w:val="auto"/>
        </w:rPr>
        <w:t>Section 11.04</w:t>
      </w:r>
      <w:r>
        <w:rPr>
          <w:rFonts w:ascii="Arial" w:cs="Arial" w:eastAsia="Arial" w:hAnsi="Arial"/>
          <w:sz w:val="17"/>
          <w:szCs w:val="17"/>
          <w:color w:val="auto"/>
        </w:rPr>
        <w:t xml:space="preserve">. Such notice having been duly given, the redemption of such Securities shall be made upon the terms and in the manner stated in </w:t>
      </w:r>
      <w:r>
        <w:rPr>
          <w:rFonts w:ascii="Arial" w:cs="Arial" w:eastAsia="Arial" w:hAnsi="Arial"/>
          <w:sz w:val="17"/>
          <w:szCs w:val="17"/>
          <w:u w:val="single" w:color="auto"/>
          <w:color w:val="auto"/>
        </w:rPr>
        <w:t>Sections 11.06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11.07</w:t>
      </w:r>
      <w:r>
        <w:rPr>
          <w:rFonts w:ascii="Arial" w:cs="Arial" w:eastAsia="Arial" w:hAnsi="Arial"/>
          <w:sz w:val="17"/>
          <w:szCs w:val="17"/>
          <w:color w:val="auto"/>
        </w:rPr>
        <w:t>.</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DEFEASANCE AND COVENANT DEFEASANCE</w:t>
      </w:r>
    </w:p>
    <w:p>
      <w:pPr>
        <w:spacing w:after="0" w:line="21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 xml:space="preserve">Section 13.01. </w:t>
      </w:r>
      <w:r>
        <w:rPr>
          <w:rFonts w:ascii="Arial" w:cs="Arial" w:eastAsia="Arial" w:hAnsi="Arial"/>
          <w:sz w:val="16"/>
          <w:szCs w:val="16"/>
          <w:u w:val="single" w:color="auto"/>
          <w:color w:val="auto"/>
        </w:rPr>
        <w:t>Company’s Option to Effect Defeasance or Covenant Defeasance</w:t>
      </w:r>
      <w:r>
        <w:rPr>
          <w:rFonts w:ascii="Arial" w:cs="Arial" w:eastAsia="Arial" w:hAnsi="Arial"/>
          <w:sz w:val="16"/>
          <w:szCs w:val="16"/>
          <w:color w:val="auto"/>
        </w:rPr>
        <w:t xml:space="preserve">. Unless otherwise designated pursuant to </w:t>
      </w:r>
      <w:r>
        <w:rPr>
          <w:rFonts w:ascii="Arial" w:cs="Arial" w:eastAsia="Arial" w:hAnsi="Arial"/>
          <w:sz w:val="16"/>
          <w:szCs w:val="16"/>
          <w:u w:val="single" w:color="auto"/>
          <w:color w:val="auto"/>
        </w:rPr>
        <w:t>Section 3.01(15)</w:t>
      </w:r>
      <w:r>
        <w:rPr>
          <w:rFonts w:ascii="Arial" w:cs="Arial" w:eastAsia="Arial" w:hAnsi="Arial"/>
          <w:sz w:val="16"/>
          <w:szCs w:val="16"/>
          <w:color w:val="auto"/>
        </w:rPr>
        <w:t xml:space="preserve">, the Securities of any series of Securities shall be subject to defeasance or covenant defeasance pursuant to such </w:t>
      </w:r>
      <w:r>
        <w:rPr>
          <w:rFonts w:ascii="Arial" w:cs="Arial" w:eastAsia="Arial" w:hAnsi="Arial"/>
          <w:sz w:val="16"/>
          <w:szCs w:val="16"/>
          <w:u w:val="single" w:color="auto"/>
          <w:color w:val="auto"/>
        </w:rPr>
        <w:t>Section 13.02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13.03</w:t>
      </w:r>
      <w:r>
        <w:rPr>
          <w:rFonts w:ascii="Arial" w:cs="Arial" w:eastAsia="Arial" w:hAnsi="Arial"/>
          <w:sz w:val="16"/>
          <w:szCs w:val="16"/>
          <w:color w:val="auto"/>
        </w:rPr>
        <w:t xml:space="preserve">, in accordance with any applicable requirements provided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and upon compliance with the conditions set forth below in this Article. The Company may elect, at its option, at any time, to have </w:t>
      </w:r>
      <w:r>
        <w:rPr>
          <w:rFonts w:ascii="Arial" w:cs="Arial" w:eastAsia="Arial" w:hAnsi="Arial"/>
          <w:sz w:val="16"/>
          <w:szCs w:val="16"/>
          <w:u w:val="single" w:color="auto"/>
          <w:color w:val="auto"/>
        </w:rPr>
        <w:t>Section 13.02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13.03</w:t>
      </w:r>
      <w:r>
        <w:rPr>
          <w:rFonts w:ascii="Arial" w:cs="Arial" w:eastAsia="Arial" w:hAnsi="Arial"/>
          <w:sz w:val="16"/>
          <w:szCs w:val="16"/>
          <w:color w:val="auto"/>
        </w:rPr>
        <w:t xml:space="preserve"> applied to any Securities or any series of Securities so subject to defeasance or covenant defeasance. Any such election shall be evidenced by a Board Resolution or in another manner specified as contemplated by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for such Securities.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274" w:right="279" w:bottom="1440" w:gutter="0" w:footer="0" w:header="0"/>
        </w:sectPr>
      </w:pPr>
    </w:p>
    <w:bookmarkStart w:id="126" w:name="page127"/>
    <w:bookmarkEnd w:id="126"/>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13.02. </w:t>
      </w:r>
      <w:r>
        <w:rPr>
          <w:rFonts w:ascii="Arial" w:cs="Arial" w:eastAsia="Arial" w:hAnsi="Arial"/>
          <w:sz w:val="16"/>
          <w:szCs w:val="16"/>
          <w:u w:val="single" w:color="auto"/>
          <w:color w:val="auto"/>
        </w:rPr>
        <w:t>Defeasance and Discharge</w:t>
      </w:r>
      <w:r>
        <w:rPr>
          <w:rFonts w:ascii="Arial" w:cs="Arial" w:eastAsia="Arial" w:hAnsi="Arial"/>
          <w:sz w:val="16"/>
          <w:szCs w:val="16"/>
          <w:color w:val="auto"/>
        </w:rPr>
        <w:t xml:space="preserve">. Upon the Company’s exercise of its option (if any) to have this Section applied to any Securities or any series of Securities, as the case may be, the Company shall be deemed to have been discharged from its obligations with respect to such Securities as provided in this Section on and after the date the conditions set forth in </w:t>
      </w:r>
      <w:r>
        <w:rPr>
          <w:rFonts w:ascii="Arial" w:cs="Arial" w:eastAsia="Arial" w:hAnsi="Arial"/>
          <w:sz w:val="16"/>
          <w:szCs w:val="16"/>
          <w:u w:val="single" w:color="auto"/>
          <w:color w:val="auto"/>
        </w:rPr>
        <w:t>Section 13.04</w:t>
      </w:r>
      <w:r>
        <w:rPr>
          <w:rFonts w:ascii="Arial" w:cs="Arial" w:eastAsia="Arial" w:hAnsi="Arial"/>
          <w:sz w:val="16"/>
          <w:szCs w:val="16"/>
          <w:color w:val="auto"/>
        </w:rPr>
        <w:t xml:space="preserve"> are satisfied (hereinafter called “</w:t>
      </w:r>
      <w:r>
        <w:rPr>
          <w:rFonts w:ascii="Arial" w:cs="Arial" w:eastAsia="Arial" w:hAnsi="Arial"/>
          <w:sz w:val="16"/>
          <w:szCs w:val="16"/>
          <w:b w:val="1"/>
          <w:bCs w:val="1"/>
          <w:i w:val="1"/>
          <w:iCs w:val="1"/>
          <w:color w:val="auto"/>
        </w:rPr>
        <w:t>Defeasance</w:t>
      </w:r>
      <w:r>
        <w:rPr>
          <w:rFonts w:ascii="Arial" w:cs="Arial" w:eastAsia="Arial" w:hAnsi="Arial"/>
          <w:sz w:val="16"/>
          <w:szCs w:val="16"/>
          <w:color w:val="auto"/>
        </w:rPr>
        <w:t xml:space="preserve">”). For this purpose, such Defeasance means that the Company and the Guarantors of the Securities shall be deemed to have paid and discharged the entire indebtedness represented by such Securities and to have satisfied all their other respective obligations under such Securities and this Indenture insofar as such Securities or such Guarantees are concerned (and the Trustee, at the expense of the Company, shall execute proper instruments acknowledging the same), subject to the following which shall survive until otherwise terminated or discharged hereunder: (1) the rights of Holders of such Securities to receive, solely from the trust fund described in </w:t>
      </w:r>
      <w:r>
        <w:rPr>
          <w:rFonts w:ascii="Arial" w:cs="Arial" w:eastAsia="Arial" w:hAnsi="Arial"/>
          <w:sz w:val="16"/>
          <w:szCs w:val="16"/>
          <w:u w:val="single" w:color="auto"/>
          <w:color w:val="auto"/>
        </w:rPr>
        <w:t>Section 13.04(1)</w:t>
      </w:r>
      <w:r>
        <w:rPr>
          <w:rFonts w:ascii="Arial" w:cs="Arial" w:eastAsia="Arial" w:hAnsi="Arial"/>
          <w:sz w:val="16"/>
          <w:szCs w:val="16"/>
          <w:color w:val="auto"/>
        </w:rPr>
        <w:t xml:space="preserve"> and as more fully set forth in such Section, payments in respect of the principal of and any premium and interest on such Securities when payments are due, or, if applicable, to convert such Securities in accordance with their terms, (2) the obligations of the Company and the Guarantors of the Securities of such series with respect to such Securities under </w:t>
      </w:r>
      <w:r>
        <w:rPr>
          <w:rFonts w:ascii="Arial" w:cs="Arial" w:eastAsia="Arial" w:hAnsi="Arial"/>
          <w:sz w:val="16"/>
          <w:szCs w:val="16"/>
          <w:u w:val="single" w:color="auto"/>
          <w:color w:val="auto"/>
        </w:rPr>
        <w:t>Sections 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w:t>
      </w:r>
      <w:r>
        <w:rPr>
          <w:rFonts w:ascii="Arial" w:cs="Arial" w:eastAsia="Arial" w:hAnsi="Arial"/>
          <w:sz w:val="16"/>
          <w:szCs w:val="16"/>
          <w:u w:val="single" w:color="auto"/>
          <w:color w:val="auto"/>
        </w:rPr>
        <w:t>3.06</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10.03</w:t>
      </w:r>
      <w:r>
        <w:rPr>
          <w:rFonts w:ascii="Arial" w:cs="Arial" w:eastAsia="Arial" w:hAnsi="Arial"/>
          <w:sz w:val="16"/>
          <w:szCs w:val="16"/>
          <w:color w:val="auto"/>
        </w:rPr>
        <w:t xml:space="preserve">, and, if applicable, their obligations with respect to the conversion of such Securities, (3) the rights, powers, trusts, duties and immunities of the Trustee hereunder and (4) this Article. Subject to compliance with this Article, the Company may exercise its option (if any) to have this Section applied to any Securities notwithstanding the prior exercise of its option (if any) to have </w:t>
      </w:r>
      <w:r>
        <w:rPr>
          <w:rFonts w:ascii="Arial" w:cs="Arial" w:eastAsia="Arial" w:hAnsi="Arial"/>
          <w:sz w:val="16"/>
          <w:szCs w:val="16"/>
          <w:u w:val="single" w:color="auto"/>
          <w:color w:val="auto"/>
        </w:rPr>
        <w:t>Section 13.03</w:t>
      </w:r>
      <w:r>
        <w:rPr>
          <w:rFonts w:ascii="Arial" w:cs="Arial" w:eastAsia="Arial" w:hAnsi="Arial"/>
          <w:sz w:val="16"/>
          <w:szCs w:val="16"/>
          <w:color w:val="auto"/>
        </w:rPr>
        <w:t xml:space="preserve"> applied to such Securities. Upon the effectiveness of Defeasance with respect to any series of Securities, each Guarantor of the Securities of such series shall (except as provided in clause (2) of the next preceding sentence) be automatically and unconditionally released and discharged from all of its obligations under its Guarantee of the Securities of such series and all of its other obligations under this Indenture in respect of the Securities of such series, without any action by the Company, any Guarantor or the Trustee and without the consent of the Holders of any Securities.</w:t>
      </w:r>
    </w:p>
    <w:p>
      <w:pPr>
        <w:spacing w:after="0" w:line="17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Section 13.03.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Upon the Company’s exercise of its option (if any) to have this Section applied to any Securities or any series of Securities, as the case may be, (1) the Company shall be released from its obligations under Section 10.04 and any covenants provided pursuant to</w:t>
      </w:r>
    </w:p>
    <w:p>
      <w:pPr>
        <w:ind w:right="20"/>
        <w:spacing w:after="0" w:line="268" w:lineRule="auto"/>
        <w:rPr>
          <w:sz w:val="20"/>
          <w:szCs w:val="20"/>
          <w:color w:val="auto"/>
        </w:rPr>
      </w:pPr>
      <w:r>
        <w:rPr>
          <w:rFonts w:ascii="Arial" w:cs="Arial" w:eastAsia="Arial" w:hAnsi="Arial"/>
          <w:sz w:val="17"/>
          <w:szCs w:val="17"/>
          <w:u w:val="single" w:color="auto"/>
          <w:color w:val="auto"/>
        </w:rPr>
        <w:t>Section 3.01(18)</w:t>
      </w:r>
      <w:r>
        <w:rPr>
          <w:rFonts w:ascii="Arial" w:cs="Arial" w:eastAsia="Arial" w:hAnsi="Arial"/>
          <w:sz w:val="17"/>
          <w:szCs w:val="17"/>
          <w:color w:val="auto"/>
        </w:rPr>
        <w:t xml:space="preserve">, </w:t>
      </w:r>
      <w:r>
        <w:rPr>
          <w:rFonts w:ascii="Arial" w:cs="Arial" w:eastAsia="Arial" w:hAnsi="Arial"/>
          <w:sz w:val="17"/>
          <w:szCs w:val="17"/>
          <w:u w:val="single" w:color="auto"/>
          <w:color w:val="auto"/>
        </w:rPr>
        <w:t>9.01(2)</w:t>
      </w:r>
      <w:r>
        <w:rPr>
          <w:rFonts w:ascii="Arial" w:cs="Arial" w:eastAsia="Arial" w:hAnsi="Arial"/>
          <w:sz w:val="17"/>
          <w:szCs w:val="17"/>
          <w:color w:val="auto"/>
        </w:rPr>
        <w:t xml:space="preserve">, </w:t>
      </w:r>
      <w:r>
        <w:rPr>
          <w:rFonts w:ascii="Arial" w:cs="Arial" w:eastAsia="Arial" w:hAnsi="Arial"/>
          <w:sz w:val="17"/>
          <w:szCs w:val="17"/>
          <w:u w:val="single" w:color="auto"/>
          <w:color w:val="auto"/>
        </w:rPr>
        <w:t>9.01(6)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9.01(7)</w:t>
      </w:r>
      <w:r>
        <w:rPr>
          <w:rFonts w:ascii="Arial" w:cs="Arial" w:eastAsia="Arial" w:hAnsi="Arial"/>
          <w:sz w:val="17"/>
          <w:szCs w:val="17"/>
          <w:color w:val="auto"/>
        </w:rPr>
        <w:t xml:space="preserve"> for the benefit of the Holders of such Securities, and (2) the occurrence of any event specified in </w:t>
      </w:r>
      <w:r>
        <w:rPr>
          <w:rFonts w:ascii="Arial" w:cs="Arial" w:eastAsia="Arial" w:hAnsi="Arial"/>
          <w:sz w:val="17"/>
          <w:szCs w:val="17"/>
          <w:u w:val="single" w:color="auto"/>
          <w:color w:val="auto"/>
        </w:rPr>
        <w:t>Sections 5.01(4)</w:t>
      </w:r>
      <w:r>
        <w:rPr>
          <w:rFonts w:ascii="Arial" w:cs="Arial" w:eastAsia="Arial" w:hAnsi="Arial"/>
          <w:sz w:val="17"/>
          <w:szCs w:val="17"/>
          <w:color w:val="auto"/>
        </w:rPr>
        <w:t xml:space="preserve"> (with respect to Section 10.04 and any such covenants provided pursuant to </w:t>
      </w:r>
      <w:r>
        <w:rPr>
          <w:rFonts w:ascii="Arial" w:cs="Arial" w:eastAsia="Arial" w:hAnsi="Arial"/>
          <w:sz w:val="17"/>
          <w:szCs w:val="17"/>
          <w:u w:val="single" w:color="auto"/>
          <w:color w:val="auto"/>
        </w:rPr>
        <w:t>Section 3.01(18)</w:t>
      </w:r>
      <w:r>
        <w:rPr>
          <w:rFonts w:ascii="Arial" w:cs="Arial" w:eastAsia="Arial" w:hAnsi="Arial"/>
          <w:sz w:val="17"/>
          <w:szCs w:val="17"/>
          <w:color w:val="auto"/>
        </w:rPr>
        <w:t xml:space="preserve">, </w:t>
      </w:r>
      <w:r>
        <w:rPr>
          <w:rFonts w:ascii="Arial" w:cs="Arial" w:eastAsia="Arial" w:hAnsi="Arial"/>
          <w:sz w:val="17"/>
          <w:szCs w:val="17"/>
          <w:u w:val="single" w:color="auto"/>
          <w:color w:val="auto"/>
        </w:rPr>
        <w:t>9.01(2)</w:t>
      </w:r>
      <w:r>
        <w:rPr>
          <w:rFonts w:ascii="Arial" w:cs="Arial" w:eastAsia="Arial" w:hAnsi="Arial"/>
          <w:sz w:val="17"/>
          <w:szCs w:val="17"/>
          <w:color w:val="auto"/>
        </w:rPr>
        <w:t xml:space="preserve">, </w:t>
      </w:r>
      <w:r>
        <w:rPr>
          <w:rFonts w:ascii="Arial" w:cs="Arial" w:eastAsia="Arial" w:hAnsi="Arial"/>
          <w:sz w:val="17"/>
          <w:szCs w:val="17"/>
          <w:u w:val="single" w:color="auto"/>
          <w:color w:val="auto"/>
        </w:rPr>
        <w:t>9.01(6)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9.01(7))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5.01(8)</w:t>
      </w:r>
      <w:r>
        <w:rPr>
          <w:rFonts w:ascii="Arial" w:cs="Arial" w:eastAsia="Arial" w:hAnsi="Arial"/>
          <w:sz w:val="17"/>
          <w:szCs w:val="17"/>
          <w:color w:val="auto"/>
        </w:rPr>
        <w:t xml:space="preserve"> shall be deemed not to be or result in an Event of Default, in each case with respect to such Securities as provided in this Section on and after the date the conditions set forth in </w:t>
      </w:r>
      <w:r>
        <w:rPr>
          <w:rFonts w:ascii="Arial" w:cs="Arial" w:eastAsia="Arial" w:hAnsi="Arial"/>
          <w:sz w:val="17"/>
          <w:szCs w:val="17"/>
          <w:u w:val="single" w:color="auto"/>
          <w:color w:val="auto"/>
        </w:rPr>
        <w:t>Section 13.04</w:t>
      </w:r>
      <w:r>
        <w:rPr>
          <w:rFonts w:ascii="Arial" w:cs="Arial" w:eastAsia="Arial" w:hAnsi="Arial"/>
          <w:sz w:val="17"/>
          <w:szCs w:val="17"/>
          <w:color w:val="auto"/>
        </w:rPr>
        <w:t xml:space="preserve"> are satisfied (hereinafter called “</w:t>
      </w:r>
      <w:r>
        <w:rPr>
          <w:rFonts w:ascii="Arial" w:cs="Arial" w:eastAsia="Arial" w:hAnsi="Arial"/>
          <w:sz w:val="17"/>
          <w:szCs w:val="17"/>
          <w:b w:val="1"/>
          <w:bCs w:val="1"/>
          <w:i w:val="1"/>
          <w:iCs w:val="1"/>
          <w:color w:val="auto"/>
        </w:rPr>
        <w:t>Covenant Defeasance</w:t>
      </w:r>
      <w:r>
        <w:rPr>
          <w:rFonts w:ascii="Arial" w:cs="Arial" w:eastAsia="Arial" w:hAnsi="Arial"/>
          <w:sz w:val="17"/>
          <w:szCs w:val="17"/>
          <w:color w:val="auto"/>
        </w:rPr>
        <w:t xml:space="preserve">”). For this purpose, such Covenant Defeasance means that, with respect to such Securities, the Company and any Guarantor may omit to comply with and shall have no liability in respect of any term, condition or limitation set forth in any such specified Section (to the extent so specified in the case of </w:t>
      </w:r>
      <w:r>
        <w:rPr>
          <w:rFonts w:ascii="Arial" w:cs="Arial" w:eastAsia="Arial" w:hAnsi="Arial"/>
          <w:sz w:val="17"/>
          <w:szCs w:val="17"/>
          <w:u w:val="single" w:color="auto"/>
          <w:color w:val="auto"/>
        </w:rPr>
        <w:t>Section 5.01(4))</w:t>
      </w:r>
      <w:r>
        <w:rPr>
          <w:rFonts w:ascii="Arial" w:cs="Arial" w:eastAsia="Arial" w:hAnsi="Arial"/>
          <w:sz w:val="17"/>
          <w:szCs w:val="17"/>
          <w:color w:val="auto"/>
        </w:rPr>
        <w:t>, whether directly or indirectly by reason of any reference elsewhere herein to any such Section or by reason of any reference in any such Section to any other provision herein or in any other document, but the remainder of this Indenture and such Securities and any Guarantees thereof shall be unaffected thereby.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13.04. </w:t>
      </w:r>
      <w:r>
        <w:rPr>
          <w:rFonts w:ascii="Arial" w:cs="Arial" w:eastAsia="Arial" w:hAnsi="Arial"/>
          <w:sz w:val="17"/>
          <w:szCs w:val="17"/>
          <w:u w:val="single" w:color="auto"/>
          <w:color w:val="auto"/>
        </w:rPr>
        <w:t>Conditions to Defeasance or Covenant Defeasance</w:t>
      </w:r>
      <w:r>
        <w:rPr>
          <w:rFonts w:ascii="Arial" w:cs="Arial" w:eastAsia="Arial" w:hAnsi="Arial"/>
          <w:sz w:val="17"/>
          <w:szCs w:val="17"/>
          <w:color w:val="auto"/>
        </w:rPr>
        <w:t xml:space="preserve">. The following shall be the conditions to the application of </w:t>
      </w:r>
      <w:r>
        <w:rPr>
          <w:rFonts w:ascii="Arial" w:cs="Arial" w:eastAsia="Arial" w:hAnsi="Arial"/>
          <w:sz w:val="17"/>
          <w:szCs w:val="17"/>
          <w:u w:val="single" w:color="auto"/>
          <w:color w:val="auto"/>
        </w:rPr>
        <w:t>Section 13.02</w:t>
      </w:r>
      <w:r>
        <w:rPr>
          <w:rFonts w:ascii="Arial" w:cs="Arial" w:eastAsia="Arial" w:hAnsi="Arial"/>
          <w:sz w:val="17"/>
          <w:szCs w:val="17"/>
          <w:color w:val="auto"/>
        </w:rPr>
        <w:t xml:space="preserve">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13.03</w:t>
      </w:r>
      <w:r>
        <w:rPr>
          <w:rFonts w:ascii="Arial" w:cs="Arial" w:eastAsia="Arial" w:hAnsi="Arial"/>
          <w:sz w:val="18"/>
          <w:szCs w:val="18"/>
          <w:color w:val="auto"/>
        </w:rPr>
        <w:t xml:space="preserve"> to any Securities or any series of Securities, as the case may be: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127" w:name="page128"/>
    <w:bookmarkEnd w:id="127"/>
    <w:p>
      <w:pPr>
        <w:ind w:firstLine="443"/>
        <w:spacing w:after="0" w:line="285" w:lineRule="auto"/>
        <w:tabs>
          <w:tab w:leader="none" w:pos="693" w:val="left"/>
        </w:tabs>
        <w:numPr>
          <w:ilvl w:val="1"/>
          <w:numId w:val="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shall irrevocably have deposited or caused to be deposited with the Trustee (or another trustee which satisfies the requirements contemplated by </w:t>
      </w:r>
      <w:r>
        <w:rPr>
          <w:rFonts w:ascii="Arial" w:cs="Arial" w:eastAsia="Arial" w:hAnsi="Arial"/>
          <w:sz w:val="16"/>
          <w:szCs w:val="16"/>
          <w:u w:val="single" w:color="auto"/>
          <w:color w:val="auto"/>
        </w:rPr>
        <w:t>Section 6.09</w:t>
      </w:r>
      <w:r>
        <w:rPr>
          <w:rFonts w:ascii="Arial" w:cs="Arial" w:eastAsia="Arial" w:hAnsi="Arial"/>
          <w:sz w:val="16"/>
          <w:szCs w:val="16"/>
          <w:color w:val="auto"/>
        </w:rPr>
        <w:t xml:space="preserve"> and agrees to comply with the provisions of this Article applicable to it) as trust funds in trust for the purpose of making the following payments, specifically pledged as security for, and dedicated solely to, the benefits of the Holders of such Securities, (A) money in an amount, or (B) U.S. Government Obligations which through the scheduled payment of principal and interest in respect thereof in accordance with their terms will provide, not later than one day before the due date of any payment, money in an amount, or (C) such other obligations or arrangements as may be specified as contemplated by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with respect to such Securities, or (D) a combination thereof, in each case sufficient,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 As used herein,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U.S.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Government Obligation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(x) any security which is (i) a direct obligation of the United States of America for the payment of which the full faith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64" w:lineRule="exact"/>
        <w:rPr>
          <w:rFonts w:ascii="Arial" w:cs="Arial" w:eastAsia="Arial" w:hAnsi="Arial"/>
          <w:sz w:val="16"/>
          <w:szCs w:val="16"/>
          <w:color w:val="auto"/>
        </w:rPr>
      </w:pPr>
    </w:p>
    <w:p>
      <w:pPr>
        <w:ind w:firstLine="443"/>
        <w:spacing w:after="0" w:line="288" w:lineRule="auto"/>
        <w:tabs>
          <w:tab w:leader="none" w:pos="693" w:val="left"/>
        </w:tabs>
        <w:numPr>
          <w:ilvl w:val="1"/>
          <w:numId w:val="95"/>
        </w:numPr>
        <w:rPr>
          <w:rFonts w:ascii="Arial" w:cs="Arial" w:eastAsia="Arial" w:hAnsi="Arial"/>
          <w:sz w:val="16"/>
          <w:szCs w:val="16"/>
          <w:color w:val="auto"/>
        </w:rPr>
      </w:pPr>
      <w:r>
        <w:rPr>
          <w:rFonts w:ascii="Arial" w:cs="Arial" w:eastAsia="Arial" w:hAnsi="Arial"/>
          <w:sz w:val="16"/>
          <w:szCs w:val="16"/>
          <w:color w:val="auto"/>
        </w:rPr>
        <w:t xml:space="preserve">In the event of an election to have </w:t>
      </w:r>
      <w:r>
        <w:rPr>
          <w:rFonts w:ascii="Arial" w:cs="Arial" w:eastAsia="Arial" w:hAnsi="Arial"/>
          <w:sz w:val="16"/>
          <w:szCs w:val="16"/>
          <w:u w:val="single" w:color="auto"/>
          <w:color w:val="auto"/>
        </w:rPr>
        <w:t>Section 13.02</w:t>
      </w:r>
      <w:r>
        <w:rPr>
          <w:rFonts w:ascii="Arial" w:cs="Arial" w:eastAsia="Arial" w:hAnsi="Arial"/>
          <w:sz w:val="16"/>
          <w:szCs w:val="16"/>
          <w:color w:val="auto"/>
        </w:rPr>
        <w:t xml:space="preserve">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instrument, there has been a change in the applicable Federal income tax law, in either case (A) or</w:t>
      </w:r>
    </w:p>
    <w:p>
      <w:pPr>
        <w:ind w:right="120" w:firstLine="4"/>
        <w:spacing w:after="0" w:line="254" w:lineRule="auto"/>
        <w:tabs>
          <w:tab w:leader="none" w:pos="28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12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20"/>
          </w:cols>
          <w:pgMar w:left="700" w:top="274" w:right="279" w:bottom="1440" w:gutter="0" w:footer="0" w:header="0"/>
        </w:sectPr>
      </w:pPr>
    </w:p>
    <w:bookmarkStart w:id="128" w:name="page129"/>
    <w:bookmarkEnd w:id="128"/>
    <w:p>
      <w:pPr>
        <w:ind w:left="460" w:right="80" w:firstLine="443"/>
        <w:spacing w:after="0" w:line="302" w:lineRule="auto"/>
        <w:tabs>
          <w:tab w:leader="none" w:pos="1153" w:val="left"/>
        </w:tabs>
        <w:numPr>
          <w:ilvl w:val="0"/>
          <w:numId w:val="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the event of an election to have </w:t>
      </w:r>
      <w:r>
        <w:rPr>
          <w:rFonts w:ascii="Arial" w:cs="Arial" w:eastAsia="Arial" w:hAnsi="Arial"/>
          <w:sz w:val="16"/>
          <w:szCs w:val="16"/>
          <w:u w:val="single" w:color="auto"/>
          <w:color w:val="auto"/>
        </w:rPr>
        <w:t>Section 13.03</w:t>
      </w:r>
      <w:r>
        <w:rPr>
          <w:rFonts w:ascii="Arial" w:cs="Arial" w:eastAsia="Arial" w:hAnsi="Arial"/>
          <w:sz w:val="16"/>
          <w:szCs w:val="16"/>
          <w:color w:val="auto"/>
        </w:rPr>
        <w:t xml:space="preserve">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46" w:lineRule="exact"/>
        <w:rPr>
          <w:rFonts w:ascii="Arial" w:cs="Arial" w:eastAsia="Arial" w:hAnsi="Arial"/>
          <w:sz w:val="16"/>
          <w:szCs w:val="16"/>
          <w:color w:val="auto"/>
        </w:rPr>
      </w:pPr>
    </w:p>
    <w:p>
      <w:pPr>
        <w:ind w:left="460" w:right="160" w:firstLine="443"/>
        <w:spacing w:after="0" w:line="277" w:lineRule="auto"/>
        <w:tabs>
          <w:tab w:leader="none" w:pos="115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62" w:lineRule="exact"/>
        <w:rPr>
          <w:rFonts w:ascii="Arial" w:cs="Arial" w:eastAsia="Arial" w:hAnsi="Arial"/>
          <w:sz w:val="18"/>
          <w:szCs w:val="18"/>
          <w:color w:val="auto"/>
        </w:rPr>
      </w:pPr>
    </w:p>
    <w:p>
      <w:pPr>
        <w:jc w:val="both"/>
        <w:ind w:left="460" w:right="20" w:firstLine="443"/>
        <w:spacing w:after="0" w:line="259" w:lineRule="auto"/>
        <w:tabs>
          <w:tab w:leader="none" w:pos="1153"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event which is, or after notice or lapse of time or both would become, an Event of Default with respect to such Securities or any other Securities (other than such an event or Event of Default with respect to such Securities resulting solely from the incurrence of indebtedness or other borrowing of funds, or the grant of liens securing such indebtedness or other borrowing, all or a portion of which are to be applied to such deposit) shall have occurred and be continuing at the time of such deposit.</w:t>
      </w:r>
    </w:p>
    <w:p>
      <w:pPr>
        <w:spacing w:after="0" w:line="78" w:lineRule="exact"/>
        <w:rPr>
          <w:rFonts w:ascii="Arial" w:cs="Arial" w:eastAsia="Arial" w:hAnsi="Arial"/>
          <w:sz w:val="18"/>
          <w:szCs w:val="18"/>
          <w:color w:val="auto"/>
        </w:rPr>
      </w:pPr>
    </w:p>
    <w:p>
      <w:pPr>
        <w:ind w:left="460" w:right="360" w:firstLine="443"/>
        <w:spacing w:after="0" w:line="342" w:lineRule="auto"/>
        <w:tabs>
          <w:tab w:leader="none" w:pos="1153" w:val="left"/>
        </w:tabs>
        <w:numPr>
          <w:ilvl w:val="0"/>
          <w:numId w:val="97"/>
        </w:numPr>
        <w:rPr>
          <w:rFonts w:ascii="Arial" w:cs="Arial" w:eastAsia="Arial" w:hAnsi="Arial"/>
          <w:sz w:val="16"/>
          <w:szCs w:val="16"/>
          <w:color w:val="auto"/>
        </w:rPr>
      </w:pPr>
      <w:r>
        <w:rPr>
          <w:rFonts w:ascii="Arial" w:cs="Arial" w:eastAsia="Arial" w:hAnsi="Arial"/>
          <w:sz w:val="16"/>
          <w:szCs w:val="16"/>
          <w:color w:val="auto"/>
        </w:rPr>
        <w:t>Such Defeasance or Covenant Defeasance shall not result in a breach or violation of, or constitute a default under, any other agreement or instrument (other than this Indenture insofar as such Securities are concerned) to which the Company is a party or by which it is bound.</w:t>
      </w:r>
    </w:p>
    <w:p>
      <w:pPr>
        <w:spacing w:after="0" w:line="15" w:lineRule="exact"/>
        <w:rPr>
          <w:rFonts w:ascii="Arial" w:cs="Arial" w:eastAsia="Arial" w:hAnsi="Arial"/>
          <w:sz w:val="16"/>
          <w:szCs w:val="16"/>
          <w:color w:val="auto"/>
        </w:rPr>
      </w:pPr>
    </w:p>
    <w:p>
      <w:pPr>
        <w:ind w:left="460" w:right="440" w:firstLine="443"/>
        <w:spacing w:after="0" w:line="264" w:lineRule="auto"/>
        <w:tabs>
          <w:tab w:leader="none" w:pos="115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preferring the Holders of such Securities over the other creditors of the Company or with the intent of defeating, hindering, delaying or defrauding creditors of the Company.</w:t>
      </w:r>
    </w:p>
    <w:p>
      <w:pPr>
        <w:spacing w:after="0" w:line="73"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17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Section 13.05. </w:t>
      </w:r>
      <w:r>
        <w:rPr>
          <w:rFonts w:ascii="Arial" w:cs="Arial" w:eastAsia="Arial" w:hAnsi="Arial"/>
          <w:sz w:val="16"/>
          <w:szCs w:val="16"/>
          <w:u w:val="single" w:color="auto"/>
          <w:color w:val="auto"/>
        </w:rPr>
        <w:t>Deposited Money and U.S. Government Obligations to Be Held in Trust; Miscellaneous Provisions</w:t>
      </w:r>
      <w:r>
        <w:rPr>
          <w:rFonts w:ascii="Arial" w:cs="Arial" w:eastAsia="Arial" w:hAnsi="Arial"/>
          <w:sz w:val="16"/>
          <w:szCs w:val="16"/>
          <w:color w:val="auto"/>
        </w:rPr>
        <w:t xml:space="preserve">. Subject to the provisions of the last paragraph of </w:t>
      </w:r>
      <w:r>
        <w:rPr>
          <w:rFonts w:ascii="Arial" w:cs="Arial" w:eastAsia="Arial" w:hAnsi="Arial"/>
          <w:sz w:val="16"/>
          <w:szCs w:val="16"/>
          <w:u w:val="single" w:color="auto"/>
          <w:color w:val="auto"/>
        </w:rPr>
        <w:t>Section 10.03</w:t>
      </w:r>
      <w:r>
        <w:rPr>
          <w:rFonts w:ascii="Arial" w:cs="Arial" w:eastAsia="Arial" w:hAnsi="Arial"/>
          <w:sz w:val="16"/>
          <w:szCs w:val="16"/>
          <w:color w:val="auto"/>
        </w:rPr>
        <w:t xml:space="preserve">, all money and U.S. Government Obligations (including the proceeds thereof) deposited with the Trustee or other qualifying trustee (solely for purposes of this Section and </w:t>
      </w:r>
      <w:r>
        <w:rPr>
          <w:rFonts w:ascii="Arial" w:cs="Arial" w:eastAsia="Arial" w:hAnsi="Arial"/>
          <w:sz w:val="16"/>
          <w:szCs w:val="16"/>
          <w:u w:val="single" w:color="auto"/>
          <w:color w:val="auto"/>
        </w:rPr>
        <w:t>Section 13.06</w:t>
      </w:r>
      <w:r>
        <w:rPr>
          <w:rFonts w:ascii="Arial" w:cs="Arial" w:eastAsia="Arial" w:hAnsi="Arial"/>
          <w:sz w:val="16"/>
          <w:szCs w:val="16"/>
          <w:color w:val="auto"/>
        </w:rPr>
        <w:t xml:space="preserve">, the Trustee and any such other trustee are referred to collectively as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Trustee</w:t>
      </w:r>
      <w:r>
        <w:rPr>
          <w:rFonts w:ascii="Arial" w:cs="Arial" w:eastAsia="Arial" w:hAnsi="Arial"/>
          <w:sz w:val="16"/>
          <w:szCs w:val="16"/>
          <w:b w:val="1"/>
          <w:bCs w:val="1"/>
          <w:color w:val="auto"/>
        </w:rPr>
        <w:t>”</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13.04</w:t>
      </w:r>
      <w:r>
        <w:rPr>
          <w:rFonts w:ascii="Arial" w:cs="Arial" w:eastAsia="Arial" w:hAnsi="Arial"/>
          <w:sz w:val="16"/>
          <w:szCs w:val="16"/>
          <w:color w:val="auto"/>
        </w:rPr>
        <w:t xml:space="preserve"> in respect of any Securities shall be held in trust and applied by the Trustee, in accordance with the provisions of such Securities and this Indenture, to the payment, either directly or through any such Paying Agent (including the Company acting as its own Paying Agent or any Guarantor of the Securities of the applicable series or any Subsidiary or Affiliate of the Company or any such Guarantor acting as Paying Agent) as the Trustee may determine, to the Holders of such Securities, of all sums due and to become due thereon in respect of principal and any premium and interest, but money and U.S. Government Obligations so held in trust need not be segregated from other funds except to the extent required by law.</w:t>
      </w:r>
    </w:p>
    <w:p>
      <w:pPr>
        <w:spacing w:after="0" w:line="166"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The Company shall pay and indemnify the Trustee against any tax, fee or other charge imposed on or assessed against the U.S. Government Obligations deposited pursuant to </w:t>
      </w:r>
      <w:r>
        <w:rPr>
          <w:rFonts w:ascii="Arial" w:cs="Arial" w:eastAsia="Arial" w:hAnsi="Arial"/>
          <w:sz w:val="18"/>
          <w:szCs w:val="18"/>
          <w:u w:val="single" w:color="auto"/>
          <w:color w:val="auto"/>
        </w:rPr>
        <w:t>Section 13.04</w:t>
      </w:r>
      <w:r>
        <w:rPr>
          <w:rFonts w:ascii="Arial" w:cs="Arial" w:eastAsia="Arial" w:hAnsi="Arial"/>
          <w:sz w:val="18"/>
          <w:szCs w:val="18"/>
          <w:color w:val="auto"/>
        </w:rPr>
        <w:t xml:space="preserve"> or the principal and interest received in respect thereof other than any such tax, fee or other charge which by law is for the account of the Holders of Outstanding Securities.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129" w:name="page130"/>
    <w:bookmarkEnd w:id="129"/>
    <w:p>
      <w:pPr>
        <w:ind w:right="2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Anything in this Article to the contrary notwithstanding, the Trustee shall deliver or pay to the Company from time to time upon Company Request any money or U.S. Government Obligations held by it as provided in </w:t>
      </w:r>
      <w:r>
        <w:rPr>
          <w:rFonts w:ascii="Arial" w:cs="Arial" w:eastAsia="Arial" w:hAnsi="Arial"/>
          <w:sz w:val="16"/>
          <w:szCs w:val="16"/>
          <w:u w:val="single" w:color="auto"/>
          <w:color w:val="auto"/>
        </w:rPr>
        <w:t>Section 13.04</w:t>
      </w:r>
      <w:r>
        <w:rPr>
          <w:rFonts w:ascii="Arial" w:cs="Arial" w:eastAsia="Arial" w:hAnsi="Arial"/>
          <w:sz w:val="16"/>
          <w:szCs w:val="16"/>
          <w:color w:val="auto"/>
        </w:rPr>
        <w:t xml:space="preserve">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15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13.06. </w:t>
      </w:r>
      <w:r>
        <w:rPr>
          <w:rFonts w:ascii="Arial" w:cs="Arial" w:eastAsia="Arial" w:hAnsi="Arial"/>
          <w:sz w:val="16"/>
          <w:szCs w:val="16"/>
          <w:u w:val="single" w:color="auto"/>
          <w:color w:val="auto"/>
        </w:rPr>
        <w:t>Reinstatement</w:t>
      </w:r>
      <w:r>
        <w:rPr>
          <w:rFonts w:ascii="Arial" w:cs="Arial" w:eastAsia="Arial" w:hAnsi="Arial"/>
          <w:sz w:val="16"/>
          <w:szCs w:val="16"/>
          <w:color w:val="auto"/>
        </w:rPr>
        <w:t xml:space="preserve">. If the Trustee or the Paying Agent is unable to apply any money in accordance with this Article with respect to any Securities by reason of any order or judgment of any court or governmental authority enjoining, restraining or otherwise prohibiting such application, then the respective obligations under this Indenture and such Securities and, if applicable, Guarantees of such Securities from which the Company and the applicable Guarantors have been discharged or released pursuant to </w:t>
      </w:r>
      <w:r>
        <w:rPr>
          <w:rFonts w:ascii="Arial" w:cs="Arial" w:eastAsia="Arial" w:hAnsi="Arial"/>
          <w:sz w:val="16"/>
          <w:szCs w:val="16"/>
          <w:u w:val="single" w:color="auto"/>
          <w:color w:val="auto"/>
        </w:rPr>
        <w:t>Section 13.02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13.03</w:t>
      </w:r>
      <w:r>
        <w:rPr>
          <w:rFonts w:ascii="Arial" w:cs="Arial" w:eastAsia="Arial" w:hAnsi="Arial"/>
          <w:sz w:val="16"/>
          <w:szCs w:val="16"/>
          <w:color w:val="auto"/>
        </w:rPr>
        <w:t xml:space="preserve"> shall be revived and reinstated as though no deposit had occurred pursuant to this Article with respect to such Securities, until such time as the Trustee or Paying Agent is permitted to apply all money held in trust pursuant to</w:t>
      </w:r>
    </w:p>
    <w:p>
      <w:pPr>
        <w:spacing w:after="0" w:line="2"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u w:val="single" w:color="auto"/>
          <w:color w:val="auto"/>
        </w:rPr>
        <w:t>Section 13.05</w:t>
      </w:r>
      <w:r>
        <w:rPr>
          <w:rFonts w:ascii="Arial" w:cs="Arial" w:eastAsia="Arial" w:hAnsi="Arial"/>
          <w:sz w:val="16"/>
          <w:szCs w:val="16"/>
          <w:color w:val="auto"/>
        </w:rPr>
        <w:t xml:space="preserve"> with respect to such Securities in accordance with this Article;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Company or any Guarantor makes any payment of principal of or any premium or interest on any such Security following such reinstatement of its obligations, the Company or such Guarantor, as the case may be, shall be subrogated to the rights (if any) of the Holders of such Securities to receive such payment from the money so held in trust.</w:t>
      </w:r>
    </w:p>
    <w:p>
      <w:pPr>
        <w:spacing w:after="0" w:line="368"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GUARANTEES</w:t>
      </w:r>
    </w:p>
    <w:p>
      <w:pPr>
        <w:spacing w:after="0" w:line="2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Guarantees</w:t>
      </w:r>
      <w:r>
        <w:rPr>
          <w:rFonts w:ascii="Arial" w:cs="Arial" w:eastAsia="Arial" w:hAnsi="Arial"/>
          <w:sz w:val="18"/>
          <w:szCs w:val="18"/>
          <w:color w:val="auto"/>
        </w:rPr>
        <w:t xml:space="preserve">. Securities of any series that are to be guaranteed by the Guarantees of any Guarantors shall be guaranteed by such Guarantors as shall be established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with respect to the Securities of such series. The Persons who shall initially be the Guarantors of the Securities of any such series may, but need not, include any or all of the Initial Guarantors and may include any and all such other Persons as the Company may determine;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prior to the authentication and delivery upon original issuance of Securities that are to be guaranteed by a Person that is not an Initial Guarantor, the Company, the Trustee and such Person shall enter into a supplemental indenture pursuant to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hereof whereby such Person shall become a Guarantor under this Indenture.</w:t>
      </w:r>
    </w:p>
    <w:p>
      <w:pPr>
        <w:spacing w:after="0" w:line="193" w:lineRule="exact"/>
        <w:rPr>
          <w:sz w:val="20"/>
          <w:szCs w:val="20"/>
          <w:color w:val="auto"/>
        </w:rPr>
      </w:pPr>
    </w:p>
    <w:p>
      <w:pPr>
        <w:jc w:val="both"/>
        <w:ind w:right="640" w:firstLine="456"/>
        <w:spacing w:after="0" w:line="286" w:lineRule="auto"/>
        <w:rPr>
          <w:sz w:val="20"/>
          <w:szCs w:val="20"/>
          <w:color w:val="auto"/>
        </w:rPr>
      </w:pPr>
      <w:r>
        <w:rPr>
          <w:rFonts w:ascii="Arial" w:cs="Arial" w:eastAsia="Arial" w:hAnsi="Arial"/>
          <w:sz w:val="17"/>
          <w:szCs w:val="17"/>
          <w:color w:val="auto"/>
        </w:rPr>
        <w:t xml:space="preserve">Securities of any series that are to be guaranteed by the Guarantees of any Guarantors shall be guaranteed in accordance with the terms of such Guarantees as established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with respect to such Securities and such Guarantees thereof and (except as otherwise specified as contemplated by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for such Securities and such Guarantees thereof) in accordance with this Article.</w:t>
      </w:r>
    </w:p>
    <w:p>
      <w:pPr>
        <w:spacing w:after="0" w:line="166"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Each Guarantor of any Security hereby fully and unconditionally guarantees to each Holder of such Security, and to the Trustee on behalf of such Holder, the due and punctual payment of the principal of, and premium, if any, and interest, if any, on such Security when and as the same shall become due and payable, whether at the Stated Maturity, by declaration of acceleration, call for redemption or otherwise, in accordance with the terms of such Security and of this Indenture. In case of the failure of the Company punctually to make any such payment,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74" w:right="259" w:bottom="1440" w:gutter="0" w:footer="0" w:header="0"/>
        </w:sectPr>
      </w:pPr>
    </w:p>
    <w:bookmarkStart w:id="130" w:name="page131"/>
    <w:bookmarkEnd w:id="130"/>
    <w:p>
      <w:pPr>
        <w:ind w:right="5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Guarantor hereby agrees to cause such payment to be made punctually when and as the same shall become due and payable, whether at the Stated Maturity or by declaration of acceleration, call for redemption or otherwise, and as if such payment were made by the Company.</w:t>
      </w:r>
    </w:p>
    <w:p>
      <w:pPr>
        <w:spacing w:after="0" w:line="14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The Guarantor of any Security hereby agrees that its obligations hereunder shall be absolute and unconditional irrespective of, and shall be unaffected by, any invalidity, irregularity or unenforceability of such Security or this Indenture, any failure to enforce the provisions of such Security or this Indenture, or any waiver, modification or indulgence granted to the Company with respect thereto, by the Holder of such Security or the Trustee or any other circumstance which may otherwise constitute a legal or equitable discharge or defense of a surety or guarantor;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notwithstanding the foregoing, no such waiver, modification or indulgence shall, without the consent of any Guarantor, increase the principal amount of such Security, or increase the interest rate thereon, change any redemption provisions thereof (including any change to increase any premium payable upon redemption thereof) or change the Stated Maturity of any payment thereon, or increase the principal amount of any Original Issue Discount Security that would be due and payable upon a declaration of acceleration or the maturity thereof pursuant to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of this Indenture.</w:t>
      </w:r>
    </w:p>
    <w:p>
      <w:pPr>
        <w:spacing w:after="0" w:line="17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Guarantor of any Security hereby waives the benefits of diligence, presentment, demand for payment, any requirement that the Trustee or any of the Holders exhaust any right or take any action against the Company or any other Person, filing of claims with a court in the event of insolvency or bankruptcy of the Company, any right to require a proceeding first against the Company, protest or notice with respect to any Security or the indebtedness evidenced thereby and all demands whatsoever, and covenants that its obligations hereunder will not be discharged in respect of such Security except by complete performance of the obligations of such Guarantor contained in such Security and in this Indenture. Any Guarantee of any Guarantor hereunder shall constitute a guaranty of payment and not of collection. The Guarantor of any Security hereby agrees that, in the event of a default in payment of principal, or premium, if any, or interest, if any, on such Security, whether at its Stated Maturity, by declaration of acceleration, call for redemption or otherwise, legal proceedings may be instituted by the Trustee on behalf of, or by, the Holder of such Security, subject to the terms and conditions set forth in this Indenture, directly against such Guarantor to enforce the obligation of such Guarantor hereunder without first proceeding against the Company.</w:t>
      </w:r>
    </w:p>
    <w:p>
      <w:pPr>
        <w:spacing w:after="0" w:line="16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obligations of the Guarantor of any Security hereunder with respect to such Security shall be continuing and irrevocable until the date upon which the entire principal of, premium, if any, and interest, if any, on such Security has been, or has been deemed pursuant to the provisions of Article Four of this Indenture to have been, paid in full or otherwise discharged.</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The Guarantor of any Security shall be subrogated to all rights of the Holders of such Security against the Company in respect of any amounts paid by the Guarantor on account of such Security pursuant to the provisions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Guarantor shall not be entitled to enforce or to receive any payments arising out of, or based upon, such right of subrogation until the principal of, and premium, if any, and interest, if any, on all Securities issued hereunder that are due and payable shall have been paid in full.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74" w:right="259" w:bottom="1440" w:gutter="0" w:footer="0" w:header="0"/>
        </w:sectPr>
      </w:pPr>
    </w:p>
    <w:bookmarkStart w:id="131" w:name="page132"/>
    <w:bookmarkEnd w:id="131"/>
    <w:p>
      <w:pPr>
        <w:ind w:right="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Guarantee by any Guarantor of any Security shall remain in full force and effect and continue notwithstanding any petition filed by or against the Company for liquidation or reorganization, the Company becoming insolvent or making an assignment for the benefit of creditors or a receiver or trustee being appointed for all or any significant part of the Company’s assets, and shall, to the fullest extent permitted by law, continue to be effective or reinstated, as the case may be, if at any time payment of such Security, is, pursuant to applicable law, rescinded or reduced in amount, or must otherwise be restored or returned by any Holder of such Security, whether as a “voidable preference,” “fraudulent transfer,” or otherwise, all as though such payment or performance had not been made. In the event that any payment, or any part thereof, is rescinded, reduced, restored or returned on a Security, such Security shall, to the fullest extent permitted by law, be reinstated and deemed paid only by such amount paid and not so rescinded, reduced, restored or returned.</w:t>
      </w:r>
    </w:p>
    <w:p>
      <w:pPr>
        <w:spacing w:after="0" w:line="16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No Guarantor shall consolidate with or merge into any other Person or sell, convey or transfer all or substantially all its properties and assets to any Person, and no Guarantor shall permit any Person to consolidate with or merge into such Guarantor, in each case in a transaction in which the successor Person formed by such consolidation or merger or to which such sale, conveyance or transfer is made is an Affiliate of the Company, and no Guarantor shall lease all or substantially all its properties and assets to any Person (whether or not such an Affiliate), unless, in any such case:</w:t>
      </w:r>
    </w:p>
    <w:p>
      <w:pPr>
        <w:spacing w:after="0" w:line="63" w:lineRule="exact"/>
        <w:rPr>
          <w:sz w:val="20"/>
          <w:szCs w:val="20"/>
          <w:color w:val="auto"/>
        </w:rPr>
      </w:pPr>
    </w:p>
    <w:p>
      <w:pPr>
        <w:ind w:left="460" w:firstLine="443"/>
        <w:spacing w:after="0" w:line="293" w:lineRule="auto"/>
        <w:tabs>
          <w:tab w:leader="none" w:pos="1153"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 case such Guarantor shall consolidate with or merge into another Person or sell, convey, transfer or lease all or substantially all its properties and assets to any Person, the Person formed by such consolidation or into which such Guarantor is merged or the Person which acquires by sale, conveyance or transfer, or which leases, all or substantially all the properties and assets of such Guarantor shall be a corporation, partnership or trust, shall be organized and validly existing under the laws of the United States, any state thereof or the District of Columbia and shall expressly assume, by an indenture supplemental hereto, executed and delivered to the Trustee, in form reasonably satisfactory to the Trustee, the performance or observance of every covenant of this Indenture and any Guarantees on the part of such Guarantor to be performed or observed;</w:t>
      </w:r>
    </w:p>
    <w:p>
      <w:pPr>
        <w:spacing w:after="0" w:line="56" w:lineRule="exact"/>
        <w:rPr>
          <w:rFonts w:ascii="Arial" w:cs="Arial" w:eastAsia="Arial" w:hAnsi="Arial"/>
          <w:sz w:val="16"/>
          <w:szCs w:val="16"/>
          <w:color w:val="auto"/>
        </w:rPr>
      </w:pPr>
    </w:p>
    <w:p>
      <w:pPr>
        <w:ind w:left="460" w:right="380" w:firstLine="443"/>
        <w:spacing w:after="0" w:line="277" w:lineRule="auto"/>
        <w:tabs>
          <w:tab w:leader="none" w:pos="11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which, after notice or lapse of time or both, would become an Event of Default, shall have happened and be continuing; and</w:t>
      </w:r>
    </w:p>
    <w:p>
      <w:pPr>
        <w:spacing w:after="0" w:line="62" w:lineRule="exact"/>
        <w:rPr>
          <w:rFonts w:ascii="Arial" w:cs="Arial" w:eastAsia="Arial" w:hAnsi="Arial"/>
          <w:sz w:val="18"/>
          <w:szCs w:val="18"/>
          <w:color w:val="auto"/>
        </w:rPr>
      </w:pPr>
    </w:p>
    <w:p>
      <w:pPr>
        <w:ind w:left="460" w:right="60" w:firstLine="443"/>
        <w:spacing w:after="0" w:line="259" w:lineRule="auto"/>
        <w:tabs>
          <w:tab w:leader="none" w:pos="11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such Guarantor has delivered to the Trustee a Guarantor’s Officers’ Certificate and an Opinion of Counsel, each stating that such consolidation, merger, sale,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Upon any consolidation of any Guarantor with, or merger of such Guarantor into, any other Person or any sale, conveyance, transfer or lease of all or substantially all the properties and assets of such Guarantor in accordance with this paragraph, the successor Person formed by such consolidation or into which such Guarantor is merged or to which such sale, conveyance, transfer</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00"/>
          </w:cols>
          <w:pgMar w:left="240" w:top="274" w:right="359" w:bottom="1440" w:gutter="0" w:footer="0" w:header="0"/>
        </w:sectPr>
      </w:pPr>
    </w:p>
    <w:bookmarkStart w:id="132" w:name="page133"/>
    <w:bookmarkEnd w:id="132"/>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lease is made shall succeed to, and be substituted for, and may exercise every right and power of, such Guarantor under this Indenture with the same effect as if such successor Person had been named as such Guarantor herein, and thereafter, except in the case of a lease, the predecessor Person shall be relieved of all obligations and covenants under this Indenture and any Guarantees of such Guarantor.</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Upon (i) a consolidation or merger of any Guarantor with or into, or a sale, conveyance or transfer of all or substantially all the properties and assets of any Guarantor to, any other Person or any consolidation or merger of any Person with or into any Guarantor, in each case in a transaction in which the successor Person formed by such consolidation or merger or to which such sale, conveyance or transfer is made is not an Affiliate of the Company or (ii) any sale, conveyance or transfer (including by way of merger) by the Company or any Subsidiary thereof of all or substantially all the Capital Stock of any Guarantor to any Person that is not an Affiliate of the Company, such Guarantor shall be deemed to be automatically and unconditionally released and discharged from all its obligations under its Guarantees and under this </w:t>
      </w:r>
      <w:r>
        <w:rPr>
          <w:rFonts w:ascii="Arial" w:cs="Arial" w:eastAsia="Arial" w:hAnsi="Arial"/>
          <w:sz w:val="16"/>
          <w:szCs w:val="16"/>
          <w:u w:val="single" w:color="auto"/>
          <w:color w:val="auto"/>
        </w:rPr>
        <w:t>Article XIV</w:t>
      </w:r>
      <w:r>
        <w:rPr>
          <w:rFonts w:ascii="Arial" w:cs="Arial" w:eastAsia="Arial" w:hAnsi="Arial"/>
          <w:sz w:val="16"/>
          <w:szCs w:val="16"/>
          <w:color w:val="auto"/>
        </w:rPr>
        <w:t xml:space="preserve"> with respect to Securities of all series without any further action required on the part of the Trustee or any Holder. The Trustee shall deliver an appropriate instrument evidencing such release and discharge upon receipt of a Company Request accompanied by an Officers’ Certificate certifying as to the compliance with this paragraph of </w:t>
      </w:r>
      <w:r>
        <w:rPr>
          <w:rFonts w:ascii="Arial" w:cs="Arial" w:eastAsia="Arial" w:hAnsi="Arial"/>
          <w:sz w:val="16"/>
          <w:szCs w:val="16"/>
          <w:u w:val="single" w:color="auto"/>
          <w:color w:val="auto"/>
        </w:rPr>
        <w:t>Section 14.01</w:t>
      </w:r>
      <w:r>
        <w:rPr>
          <w:rFonts w:ascii="Arial" w:cs="Arial" w:eastAsia="Arial" w:hAnsi="Arial"/>
          <w:sz w:val="16"/>
          <w:szCs w:val="16"/>
          <w:color w:val="auto"/>
        </w:rPr>
        <w:t xml:space="preserve">. The Company may, at its option, at any time and from time to time, cause any Guarantor to be automatically and unconditionally released and discharged from all its obligations under its Guarantees with respect to Securities of any series guaranteed by Guarantees of such Guarantor and under this </w:t>
      </w:r>
      <w:r>
        <w:rPr>
          <w:rFonts w:ascii="Arial" w:cs="Arial" w:eastAsia="Arial" w:hAnsi="Arial"/>
          <w:sz w:val="16"/>
          <w:szCs w:val="16"/>
          <w:u w:val="single" w:color="auto"/>
          <w:color w:val="auto"/>
        </w:rPr>
        <w:t>Article XIV</w:t>
      </w:r>
      <w:r>
        <w:rPr>
          <w:rFonts w:ascii="Arial" w:cs="Arial" w:eastAsia="Arial" w:hAnsi="Arial"/>
          <w:sz w:val="16"/>
          <w:szCs w:val="16"/>
          <w:color w:val="auto"/>
        </w:rPr>
        <w:t xml:space="preserve"> upon (i) any conditions for such release provided with respect to Securities of such series in accordance with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having been satisfied and (ii) delivery by the Company to the Trustee of a Company Order relating to such release and discharge. The Trustee shall deliver an appropriate instrument evidencing such release and discharge upon receipt of a Company Request accompanied by an Officers’ Certificate certifying as to the compliance with this paragraph of </w:t>
      </w:r>
      <w:r>
        <w:rPr>
          <w:rFonts w:ascii="Arial" w:cs="Arial" w:eastAsia="Arial" w:hAnsi="Arial"/>
          <w:sz w:val="16"/>
          <w:szCs w:val="16"/>
          <w:u w:val="single" w:color="auto"/>
          <w:color w:val="auto"/>
        </w:rPr>
        <w:t>Section 14.01</w:t>
      </w:r>
      <w:r>
        <w:rPr>
          <w:rFonts w:ascii="Arial" w:cs="Arial" w:eastAsia="Arial" w:hAnsi="Arial"/>
          <w:sz w:val="16"/>
          <w:szCs w:val="16"/>
          <w:color w:val="auto"/>
        </w:rPr>
        <w:t>.</w:t>
      </w:r>
    </w:p>
    <w:p>
      <w:pPr>
        <w:spacing w:after="0" w:line="17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Anything in this Indenture, the Securities or any Guarantee to the contrary notwithstanding, the obligations of any Guarantor under its Guarantees and this Indenture shall be limited to the maximum amount as will, after giving effect to all other contingent and fixed liabilities of such Guarantor, result in the obligations of such Guarantor under its Guarantees and this Indenture not constituting a fraudulent advance or fraudulent transfer under any Bankruptcy Law, the Uniform Fraudulent Conveyance Act, the Uniform Fraudulent Transfer Act or any similar federal, state or other law affecting the rights of creditors generally.</w:t>
      </w:r>
    </w:p>
    <w:p>
      <w:pPr>
        <w:spacing w:after="0" w:line="188"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No Guarantee by any Guarantor of any Security, whether or not such Guarantee is or is to be endorsed thereon, shall be valid and obligatory for any purpose with respect to such Security until the certificate of authentication on such Security shall have been signed by or on behalf of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This instrument may be executed in any number of counterparts, each of which so executed shall be deemed to be an original, but all such counterparts shall together constitute but one and the same instrument. Delivery of an executed counterpart of this Indenture by facsimile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133" w:name="page134"/>
    <w:bookmarkEnd w:id="133"/>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electronic transmission shall be equally as effective as delivery of an original executed counterpart of this Indenture. Any party delivering an executed counterpart of this Indenture by facsimile or electronic transmission also shall deliver an original executed counterpart of this Indenture, but failure to deliver an original executed counterpart shall not affect the validity, enforceability and binding effect of this Indenture.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20"/>
          </w:cols>
          <w:pgMar w:left="240" w:top="274" w:right="339" w:bottom="1440" w:gutter="0" w:footer="0" w:header="0"/>
        </w:sectPr>
      </w:pPr>
    </w:p>
    <w:bookmarkStart w:id="134" w:name="page135"/>
    <w:bookmarkEnd w:id="13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Indenture to be duly executed as of the day and year first above written.</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DIAMONDBACK ENERGY, INC.,</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-130810</wp:posOffset>
            </wp:positionV>
            <wp:extent cx="254698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5715</wp:posOffset>
            </wp:positionV>
            <wp:extent cx="254698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4412615</wp:posOffset>
            </wp:positionH>
            <wp:positionV relativeFrom="paragraph">
              <wp:posOffset>-130810</wp:posOffset>
            </wp:positionV>
            <wp:extent cx="254698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8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DIAMONDBACK O&amp;G LLC,</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-130810</wp:posOffset>
            </wp:positionV>
            <wp:extent cx="25469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5715</wp:posOffset>
            </wp:positionV>
            <wp:extent cx="254698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4412615</wp:posOffset>
            </wp:positionH>
            <wp:positionV relativeFrom="paragraph">
              <wp:posOffset>-130810</wp:posOffset>
            </wp:positionV>
            <wp:extent cx="25469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8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DIAMONDBACK E&amp;P LLC,</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-130810</wp:posOffset>
            </wp:positionV>
            <wp:extent cx="254698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5715</wp:posOffset>
            </wp:positionV>
            <wp:extent cx="25469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4412615</wp:posOffset>
            </wp:positionH>
            <wp:positionV relativeFrom="paragraph">
              <wp:posOffset>-130810</wp:posOffset>
            </wp:positionV>
            <wp:extent cx="25469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8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VIPER ENERGY PARTNERS LLC,</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-130810</wp:posOffset>
            </wp:positionV>
            <wp:extent cx="254698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5715</wp:posOffset>
            </wp:positionV>
            <wp:extent cx="25469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4412615</wp:posOffset>
            </wp:positionH>
            <wp:positionV relativeFrom="paragraph">
              <wp:posOffset>-130810</wp:posOffset>
            </wp:positionV>
            <wp:extent cx="254698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4" w:lineRule="exact"/>
        <w:rPr>
          <w:sz w:val="20"/>
          <w:szCs w:val="20"/>
          <w:color w:val="auto"/>
        </w:rPr>
      </w:pPr>
    </w:p>
    <w:p>
      <w:pPr>
        <w:ind w:left="4240"/>
        <w:spacing w:after="0"/>
        <w:rPr>
          <w:sz w:val="20"/>
          <w:szCs w:val="20"/>
          <w:color w:val="auto"/>
        </w:rPr>
      </w:pPr>
      <w:r>
        <w:rPr>
          <w:rFonts w:ascii="Arial" w:cs="Arial" w:eastAsia="Arial" w:hAnsi="Arial"/>
          <w:sz w:val="18"/>
          <w:szCs w:val="18"/>
          <w:i w:val="1"/>
          <w:iCs w:val="1"/>
          <w:color w:val="auto"/>
        </w:rPr>
        <w:t>Signature Page to Indenture</w:t>
      </w:r>
    </w:p>
    <w:p>
      <w:pPr>
        <w:sectPr>
          <w:pgSz w:w="11900" w:h="16838" w:orient="portrait"/>
          <w:cols w:equalWidth="0" w:num="1">
            <w:col w:w="9759"/>
          </w:cols>
          <w:pgMar w:left="700" w:top="274" w:right="1440" w:bottom="1440" w:gutter="0" w:footer="0" w:header="0"/>
        </w:sectPr>
      </w:pPr>
    </w:p>
    <w:bookmarkStart w:id="135" w:name="page136"/>
    <w:bookmarkEnd w:id="135"/>
    <w:p>
      <w:pPr>
        <w:jc w:val="both"/>
        <w:ind w:left="5660"/>
        <w:spacing w:after="0"/>
        <w:tabs>
          <w:tab w:leader="none" w:pos="6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uto"/>
        </w:rPr>
        <w:t>], Trustee</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-130810</wp:posOffset>
            </wp:positionV>
            <wp:extent cx="25469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5715</wp:posOffset>
            </wp:positionV>
            <wp:extent cx="25469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-130810</wp:posOffset>
            </wp:positionV>
            <wp:extent cx="254698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Indenture</w:t>
      </w:r>
    </w:p>
    <w:p>
      <w:pPr>
        <w:sectPr>
          <w:pgSz w:w="11900" w:h="16838" w:orient="portrait"/>
          <w:cols w:equalWidth="0" w:num="1">
            <w:col w:w="9019"/>
          </w:cols>
          <w:pgMar w:left="1440" w:top="270"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4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DIAMONDBACK ENERGY,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THE GUARANTORS PARTY HERETO</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ind w:left="3540"/>
        <w:spacing w:after="0"/>
        <w:tabs>
          <w:tab w:leader="none" w:pos="54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Trustee</w:t>
      </w:r>
    </w:p>
    <w:p>
      <w:pPr>
        <w:spacing w:after="0" w:line="200" w:lineRule="exact"/>
        <w:rPr>
          <w:sz w:val="20"/>
          <w:szCs w:val="20"/>
          <w:color w:val="auto"/>
        </w:rPr>
      </w:pPr>
    </w:p>
    <w:p>
      <w:pPr>
        <w:spacing w:after="0" w:line="24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SUBORDINATED DEBT SECURITIES</w:t>
      </w:r>
    </w:p>
    <w:p>
      <w:pPr>
        <w:sectPr>
          <w:pgSz w:w="11900" w:h="16838" w:orient="portrait"/>
          <w:cols w:equalWidth="0" w:num="1">
            <w:col w:w="10220"/>
          </w:cols>
          <w:pgMar w:left="1440" w:top="121"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9800" w:type="dxa"/>
            <w:vAlign w:val="bottom"/>
            <w:gridSpan w:val="2"/>
          </w:tcPr>
          <w:p>
            <w:pPr>
              <w:ind w:left="2760"/>
              <w:spacing w:after="0"/>
              <w:rPr>
                <w:sz w:val="20"/>
                <w:szCs w:val="20"/>
                <w:color w:val="auto"/>
              </w:rPr>
            </w:pPr>
            <w:r>
              <w:rPr>
                <w:rFonts w:ascii="Arial" w:cs="Arial" w:eastAsia="Arial" w:hAnsi="Arial"/>
                <w:sz w:val="18"/>
                <w:szCs w:val="18"/>
                <w:b w:val="1"/>
                <w:bCs w:val="1"/>
                <w:color w:val="auto"/>
              </w:rPr>
              <w:t>DIAMONDBACK ENERGY, INC.</w:t>
            </w:r>
          </w:p>
        </w:tc>
      </w:tr>
      <w:tr>
        <w:trPr>
          <w:trHeight w:val="418"/>
        </w:trPr>
        <w:tc>
          <w:tcPr>
            <w:tcW w:w="1620" w:type="dxa"/>
            <w:vAlign w:val="bottom"/>
          </w:tcPr>
          <w:p>
            <w:pPr>
              <w:spacing w:after="0"/>
              <w:rPr>
                <w:sz w:val="24"/>
                <w:szCs w:val="24"/>
                <w:color w:val="auto"/>
              </w:rPr>
            </w:pPr>
          </w:p>
        </w:tc>
        <w:tc>
          <w:tcPr>
            <w:tcW w:w="9800" w:type="dxa"/>
            <w:vAlign w:val="bottom"/>
            <w:gridSpan w:val="2"/>
          </w:tcPr>
          <w:p>
            <w:pPr>
              <w:ind w:left="2000"/>
              <w:spacing w:after="0"/>
              <w:rPr>
                <w:sz w:val="20"/>
                <w:szCs w:val="20"/>
                <w:color w:val="auto"/>
              </w:rPr>
            </w:pPr>
            <w:r>
              <w:rPr>
                <w:rFonts w:ascii="Arial" w:cs="Arial" w:eastAsia="Arial" w:hAnsi="Arial"/>
                <w:sz w:val="18"/>
                <w:szCs w:val="18"/>
                <w:color w:val="auto"/>
              </w:rPr>
              <w:t>Certain Sections of this Indenture relating to Sections 310</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2000"/>
              <w:spacing w:after="0"/>
              <w:rPr>
                <w:sz w:val="20"/>
                <w:szCs w:val="20"/>
                <w:color w:val="auto"/>
              </w:rPr>
            </w:pPr>
            <w:r>
              <w:rPr>
                <w:rFonts w:ascii="Arial" w:cs="Arial" w:eastAsia="Arial" w:hAnsi="Arial"/>
                <w:sz w:val="18"/>
                <w:szCs w:val="18"/>
                <w:color w:val="auto"/>
              </w:rPr>
              <w:t>through 318, inclusive, of the Trust Indenture Act of 1939</w:t>
            </w:r>
          </w:p>
        </w:tc>
      </w:tr>
      <w:tr>
        <w:trPr>
          <w:trHeight w:val="412"/>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Trust Indenture Act Section</w:t>
            </w:r>
          </w:p>
        </w:tc>
        <w:tc>
          <w:tcPr>
            <w:tcW w:w="8520" w:type="dxa"/>
            <w:vAlign w:val="bottom"/>
          </w:tcPr>
          <w:p>
            <w:pPr>
              <w:spacing w:after="0"/>
              <w:rPr>
                <w:sz w:val="24"/>
                <w:szCs w:val="24"/>
                <w:color w:val="auto"/>
              </w:rPr>
            </w:pPr>
          </w:p>
        </w:tc>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Indenture Section</w:t>
            </w:r>
          </w:p>
        </w:tc>
      </w:tr>
      <w:tr>
        <w:trPr>
          <w:trHeight w:val="189"/>
        </w:trPr>
        <w:tc>
          <w:tcPr>
            <w:tcW w:w="1620" w:type="dxa"/>
            <w:vAlign w:val="bottom"/>
          </w:tcPr>
          <w:p>
            <w:pPr>
              <w:spacing w:after="0" w:line="189" w:lineRule="exact"/>
              <w:rPr>
                <w:sz w:val="20"/>
                <w:szCs w:val="20"/>
                <w:color w:val="auto"/>
              </w:rPr>
            </w:pPr>
            <w:r>
              <w:rPr>
                <w:rFonts w:ascii="Arial" w:cs="Arial" w:eastAsia="Arial" w:hAnsi="Arial"/>
                <w:sz w:val="18"/>
                <w:szCs w:val="18"/>
                <w:color w:val="auto"/>
              </w:rPr>
              <w:t>Section 310(a)(1)</w:t>
            </w:r>
          </w:p>
        </w:tc>
        <w:tc>
          <w:tcPr>
            <w:tcW w:w="8520" w:type="dxa"/>
            <w:vAlign w:val="bottom"/>
          </w:tcPr>
          <w:p>
            <w:pPr>
              <w:spacing w:after="0"/>
              <w:rPr>
                <w:sz w:val="16"/>
                <w:szCs w:val="16"/>
                <w:color w:val="auto"/>
              </w:rPr>
            </w:pPr>
          </w:p>
        </w:tc>
        <w:tc>
          <w:tcPr>
            <w:tcW w:w="1280" w:type="dxa"/>
            <w:vAlign w:val="bottom"/>
          </w:tcPr>
          <w:p>
            <w:pPr>
              <w:spacing w:after="0" w:line="189" w:lineRule="exact"/>
              <w:rPr>
                <w:sz w:val="20"/>
                <w:szCs w:val="20"/>
                <w:color w:val="auto"/>
              </w:rPr>
            </w:pPr>
            <w:r>
              <w:rPr>
                <w:rFonts w:ascii="Arial" w:cs="Arial" w:eastAsia="Arial" w:hAnsi="Arial"/>
                <w:sz w:val="18"/>
                <w:szCs w:val="18"/>
                <w:color w:val="auto"/>
              </w:rPr>
              <w:t>609</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(a)(2)</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609</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(a)(3)</w:t>
            </w:r>
          </w:p>
        </w:tc>
        <w:tc>
          <w:tcPr>
            <w:tcW w:w="85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(a)(4)</w:t>
            </w:r>
          </w:p>
        </w:tc>
        <w:tc>
          <w:tcPr>
            <w:tcW w:w="85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(b)</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608</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311(a)</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613</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(b)</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613</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312(a)</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701</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702</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(b)</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702</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(c)</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702</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313(a)</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703</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(b)</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703</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(c)</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703</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(d)</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703</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314(a)</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704</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(a)(4)</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101</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(b)</w:t>
            </w:r>
          </w:p>
        </w:tc>
        <w:tc>
          <w:tcPr>
            <w:tcW w:w="85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(c)(1)</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102</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(c)(2)</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102</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(c)(3)</w:t>
            </w:r>
          </w:p>
        </w:tc>
        <w:tc>
          <w:tcPr>
            <w:tcW w:w="85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(d)</w:t>
            </w:r>
          </w:p>
        </w:tc>
        <w:tc>
          <w:tcPr>
            <w:tcW w:w="85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102</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315(a)</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601</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(b)</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602</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(c)</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601</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(d)</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601</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514</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316(a)</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101</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(a)(1)(A)</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502</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512</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(a)(1)(B)</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513</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(a)(2)</w:t>
            </w:r>
          </w:p>
        </w:tc>
        <w:tc>
          <w:tcPr>
            <w:tcW w:w="85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(b)</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508</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(c)</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104</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317(a)(1)</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503</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(a)(2)</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504</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(b)</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1003</w:t>
            </w: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Section 318(a)</w:t>
            </w:r>
          </w:p>
        </w:tc>
        <w:tc>
          <w:tcPr>
            <w:tcW w:w="9800" w:type="dxa"/>
            <w:vAlign w:val="bottom"/>
            <w:gridSpan w:val="2"/>
          </w:tcPr>
          <w:p>
            <w:pPr>
              <w:ind w:left="8520"/>
              <w:spacing w:after="0"/>
              <w:rPr>
                <w:sz w:val="20"/>
                <w:szCs w:val="20"/>
                <w:color w:val="auto"/>
              </w:rPr>
            </w:pPr>
            <w:r>
              <w:rPr>
                <w:rFonts w:ascii="Arial" w:cs="Arial" w:eastAsia="Arial" w:hAnsi="Arial"/>
                <w:sz w:val="18"/>
                <w:szCs w:val="18"/>
                <w:color w:val="auto"/>
              </w:rPr>
              <w:t>107</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0" w:right="239" w:bottom="1440" w:gutter="0" w:footer="0" w:header="0"/>
        </w:sectPr>
      </w:pPr>
    </w:p>
    <w:bookmarkStart w:id="138" w:name="page139"/>
    <w:bookmarkEnd w:id="138"/>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04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 AND OTHER PROVISIONS OF GENERAL APPLICATION</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224"/>
        </w:trPr>
        <w:tc>
          <w:tcPr>
            <w:tcW w:w="11040" w:type="dxa"/>
            <w:vAlign w:val="bottom"/>
            <w:gridSpan w:val="2"/>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56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948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9480" w:type="dxa"/>
            <w:vAlign w:val="bottom"/>
          </w:tcPr>
          <w:p>
            <w:pPr>
              <w:ind w:left="240"/>
              <w:spacing w:after="0"/>
              <w:rPr>
                <w:sz w:val="20"/>
                <w:szCs w:val="20"/>
                <w:color w:val="auto"/>
              </w:rPr>
            </w:pPr>
            <w:r>
              <w:rPr>
                <w:rFonts w:ascii="Arial" w:cs="Arial" w:eastAsia="Arial" w:hAnsi="Arial"/>
                <w:sz w:val="18"/>
                <w:szCs w:val="18"/>
                <w:color w:val="auto"/>
              </w:rPr>
              <w:t>Compliance Certificates and Opinions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9480" w:type="dxa"/>
            <w:vAlign w:val="bottom"/>
          </w:tcPr>
          <w:p>
            <w:pPr>
              <w:ind w:left="240"/>
              <w:spacing w:after="0"/>
              <w:rPr>
                <w:sz w:val="20"/>
                <w:szCs w:val="20"/>
                <w:color w:val="auto"/>
              </w:rPr>
            </w:pPr>
            <w:r>
              <w:rPr>
                <w:rFonts w:ascii="Arial" w:cs="Arial" w:eastAsia="Arial" w:hAnsi="Arial"/>
                <w:sz w:val="18"/>
                <w:szCs w:val="18"/>
                <w:color w:val="auto"/>
              </w:rPr>
              <w:t>Form of Documents Delivered to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9480" w:type="dxa"/>
            <w:vAlign w:val="bottom"/>
          </w:tcPr>
          <w:p>
            <w:pPr>
              <w:ind w:left="240"/>
              <w:spacing w:after="0"/>
              <w:rPr>
                <w:sz w:val="20"/>
                <w:szCs w:val="20"/>
                <w:color w:val="auto"/>
              </w:rPr>
            </w:pPr>
            <w:r>
              <w:rPr>
                <w:rFonts w:ascii="Arial" w:cs="Arial" w:eastAsia="Arial" w:hAnsi="Arial"/>
                <w:sz w:val="18"/>
                <w:szCs w:val="18"/>
                <w:color w:val="auto"/>
              </w:rPr>
              <w:t>Acts of Holders; Record Dates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9480" w:type="dxa"/>
            <w:vAlign w:val="bottom"/>
          </w:tcPr>
          <w:p>
            <w:pPr>
              <w:ind w:left="240"/>
              <w:spacing w:after="0"/>
              <w:rPr>
                <w:sz w:val="20"/>
                <w:szCs w:val="20"/>
                <w:color w:val="auto"/>
              </w:rPr>
            </w:pPr>
            <w:r>
              <w:rPr>
                <w:rFonts w:ascii="Arial" w:cs="Arial" w:eastAsia="Arial" w:hAnsi="Arial"/>
                <w:sz w:val="18"/>
                <w:szCs w:val="18"/>
                <w:color w:val="auto"/>
              </w:rPr>
              <w:t>Notices, Etc., to Trustee, Company and Guarantors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9480" w:type="dxa"/>
            <w:vAlign w:val="bottom"/>
          </w:tcPr>
          <w:p>
            <w:pPr>
              <w:ind w:left="240"/>
              <w:spacing w:after="0"/>
              <w:rPr>
                <w:sz w:val="20"/>
                <w:szCs w:val="20"/>
                <w:color w:val="auto"/>
              </w:rPr>
            </w:pPr>
            <w:r>
              <w:rPr>
                <w:rFonts w:ascii="Arial" w:cs="Arial" w:eastAsia="Arial" w:hAnsi="Arial"/>
                <w:sz w:val="18"/>
                <w:szCs w:val="18"/>
                <w:color w:val="auto"/>
              </w:rPr>
              <w:t>Notice to Holders; Waiver</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9480" w:type="dxa"/>
            <w:vAlign w:val="bottom"/>
          </w:tcPr>
          <w:p>
            <w:pPr>
              <w:ind w:left="240"/>
              <w:spacing w:after="0"/>
              <w:rPr>
                <w:sz w:val="20"/>
                <w:szCs w:val="20"/>
                <w:color w:val="auto"/>
              </w:rPr>
            </w:pPr>
            <w:r>
              <w:rPr>
                <w:rFonts w:ascii="Arial" w:cs="Arial" w:eastAsia="Arial" w:hAnsi="Arial"/>
                <w:sz w:val="18"/>
                <w:szCs w:val="18"/>
                <w:color w:val="auto"/>
              </w:rPr>
              <w:t>Trust Indenture Act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1.08.</w:t>
            </w:r>
          </w:p>
        </w:tc>
        <w:tc>
          <w:tcPr>
            <w:tcW w:w="9480" w:type="dxa"/>
            <w:vAlign w:val="bottom"/>
          </w:tcPr>
          <w:p>
            <w:pPr>
              <w:ind w:left="240"/>
              <w:spacing w:after="0"/>
              <w:rPr>
                <w:sz w:val="20"/>
                <w:szCs w:val="20"/>
                <w:color w:val="auto"/>
              </w:rPr>
            </w:pPr>
            <w:r>
              <w:rPr>
                <w:rFonts w:ascii="Arial" w:cs="Arial" w:eastAsia="Arial" w:hAnsi="Arial"/>
                <w:sz w:val="18"/>
                <w:szCs w:val="18"/>
                <w:color w:val="auto"/>
              </w:rPr>
              <w:t>Effect of Headings and Table of Contents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1.09.</w:t>
            </w:r>
          </w:p>
        </w:tc>
        <w:tc>
          <w:tcPr>
            <w:tcW w:w="9480" w:type="dxa"/>
            <w:vAlign w:val="bottom"/>
          </w:tcPr>
          <w:p>
            <w:pPr>
              <w:ind w:left="240"/>
              <w:spacing w:after="0"/>
              <w:rPr>
                <w:sz w:val="20"/>
                <w:szCs w:val="20"/>
                <w:color w:val="auto"/>
              </w:rPr>
            </w:pPr>
            <w:r>
              <w:rPr>
                <w:rFonts w:ascii="Arial" w:cs="Arial" w:eastAsia="Arial" w:hAnsi="Arial"/>
                <w:sz w:val="18"/>
                <w:szCs w:val="18"/>
                <w:color w:val="auto"/>
              </w:rPr>
              <w:t>Successors and Assigns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1.10.</w:t>
            </w:r>
          </w:p>
        </w:tc>
        <w:tc>
          <w:tcPr>
            <w:tcW w:w="9480" w:type="dxa"/>
            <w:vAlign w:val="bottom"/>
          </w:tcPr>
          <w:p>
            <w:pPr>
              <w:ind w:left="240"/>
              <w:spacing w:after="0"/>
              <w:rPr>
                <w:sz w:val="20"/>
                <w:szCs w:val="20"/>
                <w:color w:val="auto"/>
              </w:rPr>
            </w:pPr>
            <w:r>
              <w:rPr>
                <w:rFonts w:ascii="Arial" w:cs="Arial" w:eastAsia="Arial" w:hAnsi="Arial"/>
                <w:sz w:val="18"/>
                <w:szCs w:val="18"/>
                <w:color w:val="auto"/>
              </w:rPr>
              <w:t>Separability Clause</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9480" w:type="dxa"/>
            <w:vAlign w:val="bottom"/>
          </w:tcPr>
          <w:p>
            <w:pPr>
              <w:ind w:left="240"/>
              <w:spacing w:after="0"/>
              <w:rPr>
                <w:sz w:val="20"/>
                <w:szCs w:val="20"/>
                <w:color w:val="auto"/>
              </w:rPr>
            </w:pPr>
            <w:r>
              <w:rPr>
                <w:rFonts w:ascii="Arial" w:cs="Arial" w:eastAsia="Arial" w:hAnsi="Arial"/>
                <w:sz w:val="18"/>
                <w:szCs w:val="18"/>
                <w:color w:val="auto"/>
              </w:rPr>
              <w:t>Benefits of Indenture</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9480" w:type="dxa"/>
            <w:vAlign w:val="bottom"/>
          </w:tcPr>
          <w:p>
            <w:pPr>
              <w:ind w:left="240"/>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9480" w:type="dxa"/>
            <w:vAlign w:val="bottom"/>
          </w:tcPr>
          <w:p>
            <w:pPr>
              <w:ind w:left="240"/>
              <w:spacing w:after="0"/>
              <w:rPr>
                <w:sz w:val="20"/>
                <w:szCs w:val="20"/>
                <w:color w:val="auto"/>
              </w:rPr>
            </w:pPr>
            <w:r>
              <w:rPr>
                <w:rFonts w:ascii="Arial" w:cs="Arial" w:eastAsia="Arial" w:hAnsi="Arial"/>
                <w:sz w:val="18"/>
                <w:szCs w:val="18"/>
                <w:color w:val="auto"/>
              </w:rPr>
              <w:t>Legal Holidays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1.14.</w:t>
            </w:r>
          </w:p>
        </w:tc>
        <w:tc>
          <w:tcPr>
            <w:tcW w:w="9480" w:type="dxa"/>
            <w:vAlign w:val="bottom"/>
          </w:tcPr>
          <w:p>
            <w:pPr>
              <w:ind w:left="240"/>
              <w:spacing w:after="0"/>
              <w:rPr>
                <w:sz w:val="20"/>
                <w:szCs w:val="20"/>
                <w:color w:val="auto"/>
              </w:rPr>
            </w:pPr>
            <w:r>
              <w:rPr>
                <w:rFonts w:ascii="Arial" w:cs="Arial" w:eastAsia="Arial" w:hAnsi="Arial"/>
                <w:sz w:val="18"/>
                <w:szCs w:val="18"/>
                <w:color w:val="auto"/>
              </w:rPr>
              <w:t>No Adverse Interpretation of Other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1.15.</w:t>
            </w:r>
          </w:p>
        </w:tc>
        <w:tc>
          <w:tcPr>
            <w:tcW w:w="9480" w:type="dxa"/>
            <w:vAlign w:val="bottom"/>
          </w:tcPr>
          <w:p>
            <w:pPr>
              <w:ind w:left="240"/>
              <w:spacing w:after="0"/>
              <w:rPr>
                <w:sz w:val="20"/>
                <w:szCs w:val="20"/>
                <w:color w:val="auto"/>
              </w:rPr>
            </w:pPr>
            <w:r>
              <w:rPr>
                <w:rFonts w:ascii="Arial" w:cs="Arial" w:eastAsia="Arial" w:hAnsi="Arial"/>
                <w:sz w:val="18"/>
                <w:szCs w:val="18"/>
                <w:color w:val="auto"/>
              </w:rPr>
              <w:t>No Personal Liability of Directors, Officers, Employees and Stockholders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1.16.</w:t>
            </w:r>
          </w:p>
        </w:tc>
        <w:tc>
          <w:tcPr>
            <w:tcW w:w="9480" w:type="dxa"/>
            <w:vAlign w:val="bottom"/>
          </w:tcPr>
          <w:p>
            <w:pPr>
              <w:ind w:left="240"/>
              <w:spacing w:after="0"/>
              <w:rPr>
                <w:sz w:val="20"/>
                <w:szCs w:val="20"/>
                <w:color w:val="auto"/>
              </w:rPr>
            </w:pPr>
            <w:r>
              <w:rPr>
                <w:rFonts w:ascii="Arial" w:cs="Arial" w:eastAsia="Arial" w:hAnsi="Arial"/>
                <w:sz w:val="18"/>
                <w:szCs w:val="18"/>
                <w:color w:val="auto"/>
              </w:rPr>
              <w:t>Language of Notices, Etc</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1.17.</w:t>
            </w:r>
          </w:p>
        </w:tc>
        <w:tc>
          <w:tcPr>
            <w:tcW w:w="9480" w:type="dxa"/>
            <w:vAlign w:val="bottom"/>
          </w:tcPr>
          <w:p>
            <w:pPr>
              <w:ind w:left="240"/>
              <w:spacing w:after="0"/>
              <w:rPr>
                <w:sz w:val="20"/>
                <w:szCs w:val="20"/>
                <w:color w:val="auto"/>
              </w:rPr>
            </w:pPr>
            <w:r>
              <w:rPr>
                <w:rFonts w:ascii="Arial" w:cs="Arial" w:eastAsia="Arial" w:hAnsi="Arial"/>
                <w:sz w:val="18"/>
                <w:szCs w:val="18"/>
                <w:color w:val="auto"/>
              </w:rPr>
              <w:t>Force Majeure</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1.18.</w:t>
            </w:r>
          </w:p>
        </w:tc>
        <w:tc>
          <w:tcPr>
            <w:tcW w:w="9480" w:type="dxa"/>
            <w:vAlign w:val="bottom"/>
          </w:tcPr>
          <w:p>
            <w:pPr>
              <w:ind w:left="240"/>
              <w:spacing w:after="0"/>
              <w:rPr>
                <w:sz w:val="20"/>
                <w:szCs w:val="20"/>
                <w:color w:val="auto"/>
              </w:rPr>
            </w:pPr>
            <w:r>
              <w:rPr>
                <w:rFonts w:ascii="Arial" w:cs="Arial" w:eastAsia="Arial" w:hAnsi="Arial"/>
                <w:sz w:val="18"/>
                <w:szCs w:val="18"/>
                <w:color w:val="auto"/>
              </w:rPr>
              <w:t>Waiver of Jury Trial</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040" w:type="dxa"/>
            <w:vAlign w:val="bottom"/>
            <w:gridSpan w:val="2"/>
          </w:tcPr>
          <w:p>
            <w:pPr>
              <w:spacing w:after="0"/>
              <w:rPr>
                <w:sz w:val="20"/>
                <w:szCs w:val="20"/>
                <w:color w:val="auto"/>
              </w:rPr>
            </w:pPr>
            <w:r>
              <w:rPr>
                <w:rFonts w:ascii="Arial" w:cs="Arial" w:eastAsia="Arial" w:hAnsi="Arial"/>
                <w:sz w:val="18"/>
                <w:szCs w:val="18"/>
                <w:color w:val="auto"/>
              </w:rPr>
              <w:t>ARTICLE II SECURITY FORMS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56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9480" w:type="dxa"/>
            <w:vAlign w:val="bottom"/>
          </w:tcPr>
          <w:p>
            <w:pPr>
              <w:ind w:left="240"/>
              <w:spacing w:after="0"/>
              <w:rPr>
                <w:sz w:val="20"/>
                <w:szCs w:val="20"/>
                <w:color w:val="auto"/>
              </w:rPr>
            </w:pPr>
            <w:r>
              <w:rPr>
                <w:rFonts w:ascii="Arial" w:cs="Arial" w:eastAsia="Arial" w:hAnsi="Arial"/>
                <w:sz w:val="18"/>
                <w:szCs w:val="18"/>
                <w:color w:val="auto"/>
              </w:rPr>
              <w:t>Forms Generally</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9480" w:type="dxa"/>
            <w:vAlign w:val="bottom"/>
          </w:tcPr>
          <w:p>
            <w:pPr>
              <w:ind w:left="240"/>
              <w:spacing w:after="0"/>
              <w:rPr>
                <w:sz w:val="20"/>
                <w:szCs w:val="20"/>
                <w:color w:val="auto"/>
              </w:rPr>
            </w:pPr>
            <w:r>
              <w:rPr>
                <w:rFonts w:ascii="Arial" w:cs="Arial" w:eastAsia="Arial" w:hAnsi="Arial"/>
                <w:sz w:val="18"/>
                <w:szCs w:val="18"/>
                <w:color w:val="auto"/>
              </w:rPr>
              <w:t>Form of Face of Security</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9480" w:type="dxa"/>
            <w:vAlign w:val="bottom"/>
          </w:tcPr>
          <w:p>
            <w:pPr>
              <w:ind w:left="240"/>
              <w:spacing w:after="0"/>
              <w:rPr>
                <w:sz w:val="20"/>
                <w:szCs w:val="20"/>
                <w:color w:val="auto"/>
              </w:rPr>
            </w:pPr>
            <w:r>
              <w:rPr>
                <w:rFonts w:ascii="Arial" w:cs="Arial" w:eastAsia="Arial" w:hAnsi="Arial"/>
                <w:sz w:val="18"/>
                <w:szCs w:val="18"/>
                <w:color w:val="auto"/>
              </w:rPr>
              <w:t>Form of Reverse of Security</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9480" w:type="dxa"/>
            <w:vAlign w:val="bottom"/>
          </w:tcPr>
          <w:p>
            <w:pPr>
              <w:ind w:left="240"/>
              <w:spacing w:after="0"/>
              <w:rPr>
                <w:sz w:val="20"/>
                <w:szCs w:val="20"/>
                <w:color w:val="auto"/>
              </w:rPr>
            </w:pPr>
            <w:r>
              <w:rPr>
                <w:rFonts w:ascii="Arial" w:cs="Arial" w:eastAsia="Arial" w:hAnsi="Arial"/>
                <w:sz w:val="18"/>
                <w:szCs w:val="18"/>
                <w:color w:val="auto"/>
              </w:rPr>
              <w:t>Form of Legend for Global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9480" w:type="dxa"/>
            <w:vAlign w:val="bottom"/>
          </w:tcPr>
          <w:p>
            <w:pPr>
              <w:ind w:left="240"/>
              <w:spacing w:after="0"/>
              <w:rPr>
                <w:sz w:val="20"/>
                <w:szCs w:val="20"/>
                <w:color w:val="auto"/>
              </w:rPr>
            </w:pPr>
            <w:r>
              <w:rPr>
                <w:rFonts w:ascii="Arial" w:cs="Arial" w:eastAsia="Arial" w:hAnsi="Arial"/>
                <w:sz w:val="18"/>
                <w:szCs w:val="18"/>
                <w:color w:val="auto"/>
              </w:rPr>
              <w:t>Form of Trustee’s Certificate of Authentication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040" w:type="dxa"/>
            <w:vAlign w:val="bottom"/>
            <w:gridSpan w:val="2"/>
          </w:tcPr>
          <w:p>
            <w:pPr>
              <w:spacing w:after="0"/>
              <w:rPr>
                <w:sz w:val="20"/>
                <w:szCs w:val="20"/>
                <w:color w:val="auto"/>
              </w:rPr>
            </w:pPr>
            <w:r>
              <w:rPr>
                <w:rFonts w:ascii="Arial" w:cs="Arial" w:eastAsia="Arial" w:hAnsi="Arial"/>
                <w:sz w:val="18"/>
                <w:szCs w:val="18"/>
                <w:color w:val="auto"/>
              </w:rPr>
              <w:t>ARTICLE III THE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56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9480" w:type="dxa"/>
            <w:vAlign w:val="bottom"/>
          </w:tcPr>
          <w:p>
            <w:pPr>
              <w:ind w:left="240"/>
              <w:spacing w:after="0"/>
              <w:rPr>
                <w:sz w:val="20"/>
                <w:szCs w:val="20"/>
                <w:color w:val="auto"/>
              </w:rPr>
            </w:pPr>
            <w:r>
              <w:rPr>
                <w:rFonts w:ascii="Arial" w:cs="Arial" w:eastAsia="Arial" w:hAnsi="Arial"/>
                <w:sz w:val="18"/>
                <w:szCs w:val="18"/>
                <w:color w:val="auto"/>
              </w:rPr>
              <w:t>Amount Unlimited; Issuable in Series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9480" w:type="dxa"/>
            <w:vAlign w:val="bottom"/>
          </w:tcPr>
          <w:p>
            <w:pPr>
              <w:ind w:left="240"/>
              <w:spacing w:after="0"/>
              <w:rPr>
                <w:sz w:val="20"/>
                <w:szCs w:val="20"/>
                <w:color w:val="auto"/>
              </w:rPr>
            </w:pPr>
            <w:r>
              <w:rPr>
                <w:rFonts w:ascii="Arial" w:cs="Arial" w:eastAsia="Arial" w:hAnsi="Arial"/>
                <w:sz w:val="18"/>
                <w:szCs w:val="18"/>
                <w:color w:val="auto"/>
              </w:rPr>
              <w:t>Denominations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9480" w:type="dxa"/>
            <w:vAlign w:val="bottom"/>
          </w:tcPr>
          <w:p>
            <w:pPr>
              <w:ind w:left="240"/>
              <w:spacing w:after="0"/>
              <w:rPr>
                <w:sz w:val="20"/>
                <w:szCs w:val="20"/>
                <w:color w:val="auto"/>
              </w:rPr>
            </w:pPr>
            <w:r>
              <w:rPr>
                <w:rFonts w:ascii="Arial" w:cs="Arial" w:eastAsia="Arial" w:hAnsi="Arial"/>
                <w:sz w:val="18"/>
                <w:szCs w:val="18"/>
                <w:color w:val="auto"/>
              </w:rPr>
              <w:t>Execution, Authentication, Delivery and Dating</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9480" w:type="dxa"/>
            <w:vAlign w:val="bottom"/>
          </w:tcPr>
          <w:p>
            <w:pPr>
              <w:ind w:left="240"/>
              <w:spacing w:after="0"/>
              <w:rPr>
                <w:sz w:val="20"/>
                <w:szCs w:val="20"/>
                <w:color w:val="auto"/>
              </w:rPr>
            </w:pPr>
            <w:r>
              <w:rPr>
                <w:rFonts w:ascii="Arial" w:cs="Arial" w:eastAsia="Arial" w:hAnsi="Arial"/>
                <w:sz w:val="18"/>
                <w:szCs w:val="18"/>
                <w:color w:val="auto"/>
              </w:rPr>
              <w:t>Temporary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3.05.</w:t>
            </w:r>
          </w:p>
        </w:tc>
        <w:tc>
          <w:tcPr>
            <w:tcW w:w="9480" w:type="dxa"/>
            <w:vAlign w:val="bottom"/>
          </w:tcPr>
          <w:p>
            <w:pPr>
              <w:ind w:left="240"/>
              <w:spacing w:after="0"/>
              <w:rPr>
                <w:sz w:val="20"/>
                <w:szCs w:val="20"/>
                <w:color w:val="auto"/>
              </w:rPr>
            </w:pPr>
            <w:r>
              <w:rPr>
                <w:rFonts w:ascii="Arial" w:cs="Arial" w:eastAsia="Arial" w:hAnsi="Arial"/>
                <w:sz w:val="18"/>
                <w:szCs w:val="18"/>
                <w:color w:val="auto"/>
              </w:rPr>
              <w:t>Registration, Registration of Transfer and Exchange</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3.06.</w:t>
            </w:r>
          </w:p>
        </w:tc>
        <w:tc>
          <w:tcPr>
            <w:tcW w:w="9480" w:type="dxa"/>
            <w:vAlign w:val="bottom"/>
          </w:tcPr>
          <w:p>
            <w:pPr>
              <w:ind w:left="240"/>
              <w:spacing w:after="0"/>
              <w:rPr>
                <w:sz w:val="20"/>
                <w:szCs w:val="20"/>
                <w:color w:val="auto"/>
              </w:rPr>
            </w:pPr>
            <w:r>
              <w:rPr>
                <w:rFonts w:ascii="Arial" w:cs="Arial" w:eastAsia="Arial" w:hAnsi="Arial"/>
                <w:sz w:val="18"/>
                <w:szCs w:val="18"/>
                <w:color w:val="auto"/>
              </w:rPr>
              <w:t>Mutilated, Destroyed, Lost and Wrongfully Taken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3.07.</w:t>
            </w:r>
          </w:p>
        </w:tc>
        <w:tc>
          <w:tcPr>
            <w:tcW w:w="9480" w:type="dxa"/>
            <w:vAlign w:val="bottom"/>
          </w:tcPr>
          <w:p>
            <w:pPr>
              <w:ind w:left="240"/>
              <w:spacing w:after="0"/>
              <w:rPr>
                <w:sz w:val="20"/>
                <w:szCs w:val="20"/>
                <w:color w:val="auto"/>
              </w:rPr>
            </w:pPr>
            <w:r>
              <w:rPr>
                <w:rFonts w:ascii="Arial" w:cs="Arial" w:eastAsia="Arial" w:hAnsi="Arial"/>
                <w:sz w:val="18"/>
                <w:szCs w:val="18"/>
                <w:color w:val="auto"/>
              </w:rPr>
              <w:t>Payment of Interest; Interest Rights Preserved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3.08.</w:t>
            </w:r>
          </w:p>
        </w:tc>
        <w:tc>
          <w:tcPr>
            <w:tcW w:w="9480" w:type="dxa"/>
            <w:vAlign w:val="bottom"/>
          </w:tcPr>
          <w:p>
            <w:pPr>
              <w:ind w:left="240"/>
              <w:spacing w:after="0"/>
              <w:rPr>
                <w:sz w:val="20"/>
                <w:szCs w:val="20"/>
                <w:color w:val="auto"/>
              </w:rPr>
            </w:pPr>
            <w:r>
              <w:rPr>
                <w:rFonts w:ascii="Arial" w:cs="Arial" w:eastAsia="Arial" w:hAnsi="Arial"/>
                <w:sz w:val="18"/>
                <w:szCs w:val="18"/>
                <w:color w:val="auto"/>
              </w:rPr>
              <w:t>Persons Deemed Owners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3.09.</w:t>
            </w:r>
          </w:p>
        </w:tc>
        <w:tc>
          <w:tcPr>
            <w:tcW w:w="9480" w:type="dxa"/>
            <w:vAlign w:val="bottom"/>
          </w:tcPr>
          <w:p>
            <w:pPr>
              <w:ind w:left="240"/>
              <w:spacing w:after="0"/>
              <w:rPr>
                <w:sz w:val="20"/>
                <w:szCs w:val="20"/>
                <w:color w:val="auto"/>
              </w:rPr>
            </w:pPr>
            <w:r>
              <w:rPr>
                <w:rFonts w:ascii="Arial" w:cs="Arial" w:eastAsia="Arial" w:hAnsi="Arial"/>
                <w:sz w:val="18"/>
                <w:szCs w:val="18"/>
                <w:color w:val="auto"/>
              </w:rPr>
              <w:t>Cancellation</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9480" w:type="dxa"/>
            <w:vAlign w:val="bottom"/>
          </w:tcPr>
          <w:p>
            <w:pPr>
              <w:ind w:left="240"/>
              <w:spacing w:after="0"/>
              <w:rPr>
                <w:sz w:val="20"/>
                <w:szCs w:val="20"/>
                <w:color w:val="auto"/>
              </w:rPr>
            </w:pPr>
            <w:r>
              <w:rPr>
                <w:rFonts w:ascii="Arial" w:cs="Arial" w:eastAsia="Arial" w:hAnsi="Arial"/>
                <w:sz w:val="18"/>
                <w:szCs w:val="18"/>
                <w:color w:val="auto"/>
              </w:rPr>
              <w:t>Computation of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3.11.</w:t>
            </w:r>
          </w:p>
        </w:tc>
        <w:tc>
          <w:tcPr>
            <w:tcW w:w="9480" w:type="dxa"/>
            <w:vAlign w:val="bottom"/>
          </w:tcPr>
          <w:p>
            <w:pPr>
              <w:ind w:left="240"/>
              <w:spacing w:after="0"/>
              <w:rPr>
                <w:sz w:val="20"/>
                <w:szCs w:val="20"/>
                <w:color w:val="auto"/>
              </w:rPr>
            </w:pPr>
            <w:r>
              <w:rPr>
                <w:rFonts w:ascii="Arial" w:cs="Arial" w:eastAsia="Arial" w:hAnsi="Arial"/>
                <w:sz w:val="18"/>
                <w:szCs w:val="18"/>
                <w:color w:val="auto"/>
              </w:rPr>
              <w:t>CUSIP Numbers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0"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0"/>
        </w:trPr>
        <w:tc>
          <w:tcPr>
            <w:tcW w:w="9680" w:type="dxa"/>
            <w:vAlign w:val="bottom"/>
            <w:gridSpan w:val="2"/>
          </w:tcPr>
          <w:p>
            <w:pPr>
              <w:spacing w:after="0"/>
              <w:rPr>
                <w:sz w:val="20"/>
                <w:szCs w:val="20"/>
                <w:color w:val="auto"/>
              </w:rPr>
            </w:pPr>
            <w:r>
              <w:rPr>
                <w:rFonts w:ascii="Arial" w:cs="Arial" w:eastAsia="Arial" w:hAnsi="Arial"/>
                <w:sz w:val="18"/>
                <w:szCs w:val="18"/>
                <w:color w:val="auto"/>
              </w:rPr>
              <w:t>ARTICLE IV SATISFACTION AND DISCHARGE</w:t>
            </w:r>
          </w:p>
        </w:tc>
        <w:tc>
          <w:tcPr>
            <w:tcW w:w="1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8180" w:type="dxa"/>
            <w:vAlign w:val="bottom"/>
          </w:tcPr>
          <w:p>
            <w:pPr>
              <w:ind w:left="180"/>
              <w:spacing w:after="0"/>
              <w:rPr>
                <w:sz w:val="20"/>
                <w:szCs w:val="20"/>
                <w:color w:val="auto"/>
              </w:rPr>
            </w:pPr>
            <w:r>
              <w:rPr>
                <w:rFonts w:ascii="Arial" w:cs="Arial" w:eastAsia="Arial" w:hAnsi="Arial"/>
                <w:sz w:val="18"/>
                <w:szCs w:val="18"/>
                <w:color w:val="auto"/>
              </w:rPr>
              <w:t>Satisfaction and Discharge of Indenture</w:t>
            </w:r>
          </w:p>
        </w:tc>
        <w:tc>
          <w:tcPr>
            <w:tcW w:w="1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8180" w:type="dxa"/>
            <w:vAlign w:val="bottom"/>
          </w:tcPr>
          <w:p>
            <w:pPr>
              <w:ind w:left="180"/>
              <w:spacing w:after="0"/>
              <w:rPr>
                <w:sz w:val="20"/>
                <w:szCs w:val="20"/>
                <w:color w:val="auto"/>
              </w:rPr>
            </w:pPr>
            <w:r>
              <w:rPr>
                <w:rFonts w:ascii="Arial" w:cs="Arial" w:eastAsia="Arial" w:hAnsi="Arial"/>
                <w:sz w:val="18"/>
                <w:szCs w:val="18"/>
                <w:color w:val="auto"/>
              </w:rPr>
              <w:t>Application of Trust Money</w:t>
            </w:r>
          </w:p>
        </w:tc>
        <w:tc>
          <w:tcPr>
            <w:tcW w:w="1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9680" w:type="dxa"/>
            <w:vAlign w:val="bottom"/>
            <w:gridSpan w:val="2"/>
          </w:tcPr>
          <w:p>
            <w:pPr>
              <w:spacing w:after="0"/>
              <w:rPr>
                <w:sz w:val="20"/>
                <w:szCs w:val="20"/>
                <w:color w:val="auto"/>
              </w:rPr>
            </w:pPr>
            <w:r>
              <w:rPr>
                <w:rFonts w:ascii="Arial" w:cs="Arial" w:eastAsia="Arial" w:hAnsi="Arial"/>
                <w:sz w:val="18"/>
                <w:szCs w:val="18"/>
                <w:color w:val="auto"/>
              </w:rPr>
              <w:t>ARTICLE V REMEDIES</w:t>
            </w:r>
          </w:p>
        </w:tc>
        <w:tc>
          <w:tcPr>
            <w:tcW w:w="1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8180" w:type="dxa"/>
            <w:vAlign w:val="bottom"/>
          </w:tcPr>
          <w:p>
            <w:pPr>
              <w:ind w:left="180"/>
              <w:spacing w:after="0"/>
              <w:rPr>
                <w:sz w:val="20"/>
                <w:szCs w:val="20"/>
                <w:color w:val="auto"/>
              </w:rPr>
            </w:pPr>
            <w:r>
              <w:rPr>
                <w:rFonts w:ascii="Arial" w:cs="Arial" w:eastAsia="Arial" w:hAnsi="Arial"/>
                <w:sz w:val="18"/>
                <w:szCs w:val="18"/>
                <w:color w:val="auto"/>
              </w:rPr>
              <w:t>Events of Default</w:t>
            </w:r>
          </w:p>
        </w:tc>
        <w:tc>
          <w:tcPr>
            <w:tcW w:w="1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8180" w:type="dxa"/>
            <w:vAlign w:val="bottom"/>
          </w:tcPr>
          <w:p>
            <w:pPr>
              <w:ind w:left="180"/>
              <w:spacing w:after="0"/>
              <w:rPr>
                <w:sz w:val="20"/>
                <w:szCs w:val="20"/>
                <w:color w:val="auto"/>
              </w:rPr>
            </w:pPr>
            <w:r>
              <w:rPr>
                <w:rFonts w:ascii="Arial" w:cs="Arial" w:eastAsia="Arial" w:hAnsi="Arial"/>
                <w:sz w:val="18"/>
                <w:szCs w:val="18"/>
                <w:color w:val="auto"/>
              </w:rPr>
              <w:t>Acceleration of Maturity; Rescission and Annulment</w:t>
            </w:r>
          </w:p>
        </w:tc>
        <w:tc>
          <w:tcPr>
            <w:tcW w:w="1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8180" w:type="dxa"/>
            <w:vAlign w:val="bottom"/>
          </w:tcPr>
          <w:p>
            <w:pPr>
              <w:ind w:left="180"/>
              <w:spacing w:after="0"/>
              <w:rPr>
                <w:sz w:val="20"/>
                <w:szCs w:val="20"/>
                <w:color w:val="auto"/>
              </w:rPr>
            </w:pPr>
            <w:r>
              <w:rPr>
                <w:rFonts w:ascii="Arial" w:cs="Arial" w:eastAsia="Arial" w:hAnsi="Arial"/>
                <w:sz w:val="18"/>
                <w:szCs w:val="18"/>
                <w:color w:val="auto"/>
              </w:rPr>
              <w:t>Collection of Indebtedness and Suits for Enforcement by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8180" w:type="dxa"/>
            <w:vAlign w:val="bottom"/>
          </w:tcPr>
          <w:p>
            <w:pPr>
              <w:ind w:left="180"/>
              <w:spacing w:after="0"/>
              <w:rPr>
                <w:sz w:val="20"/>
                <w:szCs w:val="20"/>
                <w:color w:val="auto"/>
              </w:rPr>
            </w:pPr>
            <w:r>
              <w:rPr>
                <w:rFonts w:ascii="Arial" w:cs="Arial" w:eastAsia="Arial" w:hAnsi="Arial"/>
                <w:sz w:val="18"/>
                <w:szCs w:val="18"/>
                <w:color w:val="auto"/>
              </w:rPr>
              <w:t>Trustee May File Proofs of Claim</w:t>
            </w:r>
          </w:p>
        </w:tc>
        <w:tc>
          <w:tcPr>
            <w:tcW w:w="1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5.05.</w:t>
            </w:r>
          </w:p>
        </w:tc>
        <w:tc>
          <w:tcPr>
            <w:tcW w:w="8180" w:type="dxa"/>
            <w:vAlign w:val="bottom"/>
          </w:tcPr>
          <w:p>
            <w:pPr>
              <w:ind w:left="180"/>
              <w:spacing w:after="0"/>
              <w:rPr>
                <w:sz w:val="20"/>
                <w:szCs w:val="20"/>
                <w:color w:val="auto"/>
              </w:rPr>
            </w:pPr>
            <w:r>
              <w:rPr>
                <w:rFonts w:ascii="Arial" w:cs="Arial" w:eastAsia="Arial" w:hAnsi="Arial"/>
                <w:sz w:val="18"/>
                <w:szCs w:val="18"/>
                <w:color w:val="auto"/>
              </w:rPr>
              <w:t>Trustee May Enforce Claims Without Possession of Securities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5.06.</w:t>
            </w:r>
          </w:p>
        </w:tc>
        <w:tc>
          <w:tcPr>
            <w:tcW w:w="8180" w:type="dxa"/>
            <w:vAlign w:val="bottom"/>
          </w:tcPr>
          <w:p>
            <w:pPr>
              <w:ind w:left="180"/>
              <w:spacing w:after="0"/>
              <w:rPr>
                <w:sz w:val="20"/>
                <w:szCs w:val="20"/>
                <w:color w:val="auto"/>
              </w:rPr>
            </w:pPr>
            <w:r>
              <w:rPr>
                <w:rFonts w:ascii="Arial" w:cs="Arial" w:eastAsia="Arial" w:hAnsi="Arial"/>
                <w:sz w:val="18"/>
                <w:szCs w:val="18"/>
                <w:color w:val="auto"/>
              </w:rPr>
              <w:t>Application of Money Collected</w:t>
            </w:r>
          </w:p>
        </w:tc>
        <w:tc>
          <w:tcPr>
            <w:tcW w:w="1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5.07.</w:t>
            </w:r>
          </w:p>
        </w:tc>
        <w:tc>
          <w:tcPr>
            <w:tcW w:w="8180" w:type="dxa"/>
            <w:vAlign w:val="bottom"/>
          </w:tcPr>
          <w:p>
            <w:pPr>
              <w:ind w:left="180"/>
              <w:spacing w:after="0"/>
              <w:rPr>
                <w:sz w:val="20"/>
                <w:szCs w:val="20"/>
                <w:color w:val="auto"/>
              </w:rPr>
            </w:pPr>
            <w:r>
              <w:rPr>
                <w:rFonts w:ascii="Arial" w:cs="Arial" w:eastAsia="Arial" w:hAnsi="Arial"/>
                <w:sz w:val="18"/>
                <w:szCs w:val="18"/>
                <w:color w:val="auto"/>
              </w:rPr>
              <w:t>Limitation on Suits</w:t>
            </w:r>
          </w:p>
        </w:tc>
        <w:tc>
          <w:tcPr>
            <w:tcW w:w="1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5.08.</w:t>
            </w:r>
          </w:p>
        </w:tc>
        <w:tc>
          <w:tcPr>
            <w:tcW w:w="8180" w:type="dxa"/>
            <w:vAlign w:val="bottom"/>
          </w:tcPr>
          <w:p>
            <w:pPr>
              <w:ind w:left="180"/>
              <w:spacing w:after="0"/>
              <w:rPr>
                <w:sz w:val="20"/>
                <w:szCs w:val="20"/>
                <w:color w:val="auto"/>
              </w:rPr>
            </w:pPr>
            <w:r>
              <w:rPr>
                <w:rFonts w:ascii="Arial" w:cs="Arial" w:eastAsia="Arial" w:hAnsi="Arial"/>
                <w:sz w:val="18"/>
                <w:szCs w:val="18"/>
                <w:color w:val="auto"/>
              </w:rPr>
              <w:t>Unconditional Right of Holders to Receive Principal, Premium and Interest and to Convert</w:t>
            </w:r>
          </w:p>
        </w:tc>
        <w:tc>
          <w:tcPr>
            <w:tcW w:w="1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5.09.</w:t>
            </w:r>
          </w:p>
        </w:tc>
        <w:tc>
          <w:tcPr>
            <w:tcW w:w="8180" w:type="dxa"/>
            <w:vAlign w:val="bottom"/>
          </w:tcPr>
          <w:p>
            <w:pPr>
              <w:ind w:left="180"/>
              <w:spacing w:after="0"/>
              <w:rPr>
                <w:sz w:val="20"/>
                <w:szCs w:val="20"/>
                <w:color w:val="auto"/>
              </w:rPr>
            </w:pPr>
            <w:r>
              <w:rPr>
                <w:rFonts w:ascii="Arial" w:cs="Arial" w:eastAsia="Arial" w:hAnsi="Arial"/>
                <w:sz w:val="18"/>
                <w:szCs w:val="18"/>
                <w:color w:val="auto"/>
              </w:rPr>
              <w:t>Restoration of Rights and Remedies</w:t>
            </w:r>
          </w:p>
        </w:tc>
        <w:tc>
          <w:tcPr>
            <w:tcW w:w="1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8180" w:type="dxa"/>
            <w:vAlign w:val="bottom"/>
          </w:tcPr>
          <w:p>
            <w:pPr>
              <w:ind w:left="180"/>
              <w:spacing w:after="0"/>
              <w:rPr>
                <w:sz w:val="20"/>
                <w:szCs w:val="20"/>
                <w:color w:val="auto"/>
              </w:rPr>
            </w:pPr>
            <w:r>
              <w:rPr>
                <w:rFonts w:ascii="Arial" w:cs="Arial" w:eastAsia="Arial" w:hAnsi="Arial"/>
                <w:sz w:val="18"/>
                <w:szCs w:val="18"/>
                <w:color w:val="auto"/>
              </w:rPr>
              <w:t>Rights and Remedies Cumulative</w:t>
            </w:r>
          </w:p>
        </w:tc>
        <w:tc>
          <w:tcPr>
            <w:tcW w:w="1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8180" w:type="dxa"/>
            <w:vAlign w:val="bottom"/>
          </w:tcPr>
          <w:p>
            <w:pPr>
              <w:ind w:left="180"/>
              <w:spacing w:after="0"/>
              <w:rPr>
                <w:sz w:val="20"/>
                <w:szCs w:val="20"/>
                <w:color w:val="auto"/>
              </w:rPr>
            </w:pPr>
            <w:r>
              <w:rPr>
                <w:rFonts w:ascii="Arial" w:cs="Arial" w:eastAsia="Arial" w:hAnsi="Arial"/>
                <w:sz w:val="18"/>
                <w:szCs w:val="18"/>
                <w:color w:val="auto"/>
              </w:rPr>
              <w:t>Delay or Omission Not Waiver</w:t>
            </w:r>
          </w:p>
        </w:tc>
        <w:tc>
          <w:tcPr>
            <w:tcW w:w="1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8180" w:type="dxa"/>
            <w:vAlign w:val="bottom"/>
          </w:tcPr>
          <w:p>
            <w:pPr>
              <w:ind w:left="180"/>
              <w:spacing w:after="0"/>
              <w:rPr>
                <w:sz w:val="20"/>
                <w:szCs w:val="20"/>
                <w:color w:val="auto"/>
              </w:rPr>
            </w:pPr>
            <w:r>
              <w:rPr>
                <w:rFonts w:ascii="Arial" w:cs="Arial" w:eastAsia="Arial" w:hAnsi="Arial"/>
                <w:sz w:val="18"/>
                <w:szCs w:val="18"/>
                <w:color w:val="auto"/>
              </w:rPr>
              <w:t>Control by Holders</w:t>
            </w:r>
          </w:p>
        </w:tc>
        <w:tc>
          <w:tcPr>
            <w:tcW w:w="1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8180" w:type="dxa"/>
            <w:vAlign w:val="bottom"/>
          </w:tcPr>
          <w:p>
            <w:pPr>
              <w:ind w:left="180"/>
              <w:spacing w:after="0"/>
              <w:rPr>
                <w:sz w:val="20"/>
                <w:szCs w:val="20"/>
                <w:color w:val="auto"/>
              </w:rPr>
            </w:pPr>
            <w:r>
              <w:rPr>
                <w:rFonts w:ascii="Arial" w:cs="Arial" w:eastAsia="Arial" w:hAnsi="Arial"/>
                <w:sz w:val="18"/>
                <w:szCs w:val="18"/>
                <w:color w:val="auto"/>
              </w:rPr>
              <w:t>Waiver of Past Defaults</w:t>
            </w:r>
          </w:p>
        </w:tc>
        <w:tc>
          <w:tcPr>
            <w:tcW w:w="1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8180" w:type="dxa"/>
            <w:vAlign w:val="bottom"/>
          </w:tcPr>
          <w:p>
            <w:pPr>
              <w:ind w:left="180"/>
              <w:spacing w:after="0"/>
              <w:rPr>
                <w:sz w:val="20"/>
                <w:szCs w:val="20"/>
                <w:color w:val="auto"/>
              </w:rPr>
            </w:pPr>
            <w:r>
              <w:rPr>
                <w:rFonts w:ascii="Arial" w:cs="Arial" w:eastAsia="Arial" w:hAnsi="Arial"/>
                <w:sz w:val="18"/>
                <w:szCs w:val="18"/>
                <w:color w:val="auto"/>
              </w:rPr>
              <w:t>Undertaking for Costs</w:t>
            </w:r>
          </w:p>
        </w:tc>
        <w:tc>
          <w:tcPr>
            <w:tcW w:w="1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5.15.</w:t>
            </w:r>
          </w:p>
        </w:tc>
        <w:tc>
          <w:tcPr>
            <w:tcW w:w="8180" w:type="dxa"/>
            <w:vAlign w:val="bottom"/>
          </w:tcPr>
          <w:p>
            <w:pPr>
              <w:ind w:left="180"/>
              <w:spacing w:after="0"/>
              <w:rPr>
                <w:sz w:val="20"/>
                <w:szCs w:val="20"/>
                <w:color w:val="auto"/>
              </w:rPr>
            </w:pPr>
            <w:r>
              <w:rPr>
                <w:rFonts w:ascii="Arial" w:cs="Arial" w:eastAsia="Arial" w:hAnsi="Arial"/>
                <w:sz w:val="18"/>
                <w:szCs w:val="18"/>
                <w:color w:val="auto"/>
              </w:rPr>
              <w:t>Waiver of Usury, Stay or Extension Laws</w:t>
            </w:r>
          </w:p>
        </w:tc>
        <w:tc>
          <w:tcPr>
            <w:tcW w:w="1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9680" w:type="dxa"/>
            <w:vAlign w:val="bottom"/>
            <w:gridSpan w:val="2"/>
          </w:tcPr>
          <w:p>
            <w:pPr>
              <w:spacing w:after="0"/>
              <w:rPr>
                <w:sz w:val="20"/>
                <w:szCs w:val="20"/>
                <w:color w:val="auto"/>
              </w:rPr>
            </w:pPr>
            <w:r>
              <w:rPr>
                <w:rFonts w:ascii="Arial" w:cs="Arial" w:eastAsia="Arial" w:hAnsi="Arial"/>
                <w:sz w:val="18"/>
                <w:szCs w:val="18"/>
                <w:color w:val="auto"/>
              </w:rPr>
              <w:t>ARTICLE VI THE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8180" w:type="dxa"/>
            <w:vAlign w:val="bottom"/>
          </w:tcPr>
          <w:p>
            <w:pPr>
              <w:ind w:left="180"/>
              <w:spacing w:after="0"/>
              <w:rPr>
                <w:sz w:val="20"/>
                <w:szCs w:val="20"/>
                <w:color w:val="auto"/>
              </w:rPr>
            </w:pPr>
            <w:r>
              <w:rPr>
                <w:rFonts w:ascii="Arial" w:cs="Arial" w:eastAsia="Arial" w:hAnsi="Arial"/>
                <w:sz w:val="18"/>
                <w:szCs w:val="18"/>
                <w:color w:val="auto"/>
              </w:rPr>
              <w:t>Certain Duties and Responsibilities</w:t>
            </w:r>
          </w:p>
        </w:tc>
        <w:tc>
          <w:tcPr>
            <w:tcW w:w="16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8180" w:type="dxa"/>
            <w:vAlign w:val="bottom"/>
          </w:tcPr>
          <w:p>
            <w:pPr>
              <w:ind w:left="180"/>
              <w:spacing w:after="0"/>
              <w:rPr>
                <w:sz w:val="20"/>
                <w:szCs w:val="20"/>
                <w:color w:val="auto"/>
              </w:rPr>
            </w:pPr>
            <w:r>
              <w:rPr>
                <w:rFonts w:ascii="Arial" w:cs="Arial" w:eastAsia="Arial" w:hAnsi="Arial"/>
                <w:sz w:val="18"/>
                <w:szCs w:val="18"/>
                <w:color w:val="auto"/>
              </w:rPr>
              <w:t>Notice of Defaults</w:t>
            </w:r>
          </w:p>
        </w:tc>
        <w:tc>
          <w:tcPr>
            <w:tcW w:w="1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8180" w:type="dxa"/>
            <w:vAlign w:val="bottom"/>
          </w:tcPr>
          <w:p>
            <w:pPr>
              <w:ind w:left="180"/>
              <w:spacing w:after="0"/>
              <w:rPr>
                <w:sz w:val="20"/>
                <w:szCs w:val="20"/>
                <w:color w:val="auto"/>
              </w:rPr>
            </w:pPr>
            <w:r>
              <w:rPr>
                <w:rFonts w:ascii="Arial" w:cs="Arial" w:eastAsia="Arial" w:hAnsi="Arial"/>
                <w:sz w:val="18"/>
                <w:szCs w:val="18"/>
                <w:color w:val="auto"/>
              </w:rPr>
              <w:t>Certain Rights of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8180" w:type="dxa"/>
            <w:vAlign w:val="bottom"/>
          </w:tcPr>
          <w:p>
            <w:pPr>
              <w:ind w:left="180"/>
              <w:spacing w:after="0"/>
              <w:rPr>
                <w:sz w:val="20"/>
                <w:szCs w:val="20"/>
                <w:color w:val="auto"/>
              </w:rPr>
            </w:pPr>
            <w:r>
              <w:rPr>
                <w:rFonts w:ascii="Arial" w:cs="Arial" w:eastAsia="Arial" w:hAnsi="Arial"/>
                <w:sz w:val="18"/>
                <w:szCs w:val="18"/>
                <w:color w:val="auto"/>
              </w:rPr>
              <w:t>Not Responsible for Recitals or Issuance of Securities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8180" w:type="dxa"/>
            <w:vAlign w:val="bottom"/>
          </w:tcPr>
          <w:p>
            <w:pPr>
              <w:ind w:left="180"/>
              <w:spacing w:after="0"/>
              <w:rPr>
                <w:sz w:val="20"/>
                <w:szCs w:val="20"/>
                <w:color w:val="auto"/>
              </w:rPr>
            </w:pPr>
            <w:r>
              <w:rPr>
                <w:rFonts w:ascii="Arial" w:cs="Arial" w:eastAsia="Arial" w:hAnsi="Arial"/>
                <w:sz w:val="18"/>
                <w:szCs w:val="18"/>
                <w:color w:val="auto"/>
              </w:rPr>
              <w:t>May Hold Securities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8180" w:type="dxa"/>
            <w:vAlign w:val="bottom"/>
          </w:tcPr>
          <w:p>
            <w:pPr>
              <w:ind w:left="180"/>
              <w:spacing w:after="0"/>
              <w:rPr>
                <w:sz w:val="20"/>
                <w:szCs w:val="20"/>
                <w:color w:val="auto"/>
              </w:rPr>
            </w:pPr>
            <w:r>
              <w:rPr>
                <w:rFonts w:ascii="Arial" w:cs="Arial" w:eastAsia="Arial" w:hAnsi="Arial"/>
                <w:sz w:val="18"/>
                <w:szCs w:val="18"/>
                <w:color w:val="auto"/>
              </w:rPr>
              <w:t>Money Held in Trust</w:t>
            </w:r>
          </w:p>
        </w:tc>
        <w:tc>
          <w:tcPr>
            <w:tcW w:w="1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8180" w:type="dxa"/>
            <w:vAlign w:val="bottom"/>
          </w:tcPr>
          <w:p>
            <w:pPr>
              <w:ind w:left="180"/>
              <w:spacing w:after="0"/>
              <w:rPr>
                <w:sz w:val="20"/>
                <w:szCs w:val="20"/>
                <w:color w:val="auto"/>
              </w:rPr>
            </w:pPr>
            <w:r>
              <w:rPr>
                <w:rFonts w:ascii="Arial" w:cs="Arial" w:eastAsia="Arial" w:hAnsi="Arial"/>
                <w:sz w:val="18"/>
                <w:szCs w:val="18"/>
                <w:color w:val="auto"/>
              </w:rPr>
              <w:t>Compensation and Reimbursement</w:t>
            </w:r>
          </w:p>
        </w:tc>
        <w:tc>
          <w:tcPr>
            <w:tcW w:w="1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6.08.</w:t>
            </w:r>
          </w:p>
        </w:tc>
        <w:tc>
          <w:tcPr>
            <w:tcW w:w="8180" w:type="dxa"/>
            <w:vAlign w:val="bottom"/>
          </w:tcPr>
          <w:p>
            <w:pPr>
              <w:ind w:left="180"/>
              <w:spacing w:after="0"/>
              <w:rPr>
                <w:sz w:val="20"/>
                <w:szCs w:val="20"/>
                <w:color w:val="auto"/>
              </w:rPr>
            </w:pPr>
            <w:r>
              <w:rPr>
                <w:rFonts w:ascii="Arial" w:cs="Arial" w:eastAsia="Arial" w:hAnsi="Arial"/>
                <w:sz w:val="18"/>
                <w:szCs w:val="18"/>
                <w:color w:val="auto"/>
              </w:rPr>
              <w:t>Conflicting Interests</w:t>
            </w:r>
          </w:p>
        </w:tc>
        <w:tc>
          <w:tcPr>
            <w:tcW w:w="16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6.09.</w:t>
            </w:r>
          </w:p>
        </w:tc>
        <w:tc>
          <w:tcPr>
            <w:tcW w:w="8180" w:type="dxa"/>
            <w:vAlign w:val="bottom"/>
          </w:tcPr>
          <w:p>
            <w:pPr>
              <w:ind w:left="180"/>
              <w:spacing w:after="0"/>
              <w:rPr>
                <w:sz w:val="20"/>
                <w:szCs w:val="20"/>
                <w:color w:val="auto"/>
              </w:rPr>
            </w:pPr>
            <w:r>
              <w:rPr>
                <w:rFonts w:ascii="Arial" w:cs="Arial" w:eastAsia="Arial" w:hAnsi="Arial"/>
                <w:sz w:val="18"/>
                <w:szCs w:val="18"/>
                <w:color w:val="auto"/>
              </w:rPr>
              <w:t>Corporate Trustee Required; Eligibility</w:t>
            </w:r>
          </w:p>
        </w:tc>
        <w:tc>
          <w:tcPr>
            <w:tcW w:w="16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8180" w:type="dxa"/>
            <w:vAlign w:val="bottom"/>
          </w:tcPr>
          <w:p>
            <w:pPr>
              <w:ind w:left="180"/>
              <w:spacing w:after="0"/>
              <w:rPr>
                <w:sz w:val="20"/>
                <w:szCs w:val="20"/>
                <w:color w:val="auto"/>
              </w:rPr>
            </w:pPr>
            <w:r>
              <w:rPr>
                <w:rFonts w:ascii="Arial" w:cs="Arial" w:eastAsia="Arial" w:hAnsi="Arial"/>
                <w:sz w:val="18"/>
                <w:szCs w:val="18"/>
                <w:color w:val="auto"/>
              </w:rPr>
              <w:t>Resignation and Removal; Appointment of Successor</w:t>
            </w:r>
          </w:p>
        </w:tc>
        <w:tc>
          <w:tcPr>
            <w:tcW w:w="16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8180" w:type="dxa"/>
            <w:vAlign w:val="bottom"/>
          </w:tcPr>
          <w:p>
            <w:pPr>
              <w:ind w:left="180"/>
              <w:spacing w:after="0"/>
              <w:rPr>
                <w:sz w:val="20"/>
                <w:szCs w:val="20"/>
                <w:color w:val="auto"/>
              </w:rPr>
            </w:pPr>
            <w:r>
              <w:rPr>
                <w:rFonts w:ascii="Arial" w:cs="Arial" w:eastAsia="Arial" w:hAnsi="Arial"/>
                <w:sz w:val="18"/>
                <w:szCs w:val="18"/>
                <w:color w:val="auto"/>
              </w:rPr>
              <w:t>Acceptance of Appointment by Successor</w:t>
            </w:r>
          </w:p>
        </w:tc>
        <w:tc>
          <w:tcPr>
            <w:tcW w:w="16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8180" w:type="dxa"/>
            <w:vAlign w:val="bottom"/>
          </w:tcPr>
          <w:p>
            <w:pPr>
              <w:ind w:left="180"/>
              <w:spacing w:after="0"/>
              <w:rPr>
                <w:sz w:val="20"/>
                <w:szCs w:val="20"/>
                <w:color w:val="auto"/>
              </w:rPr>
            </w:pPr>
            <w:r>
              <w:rPr>
                <w:rFonts w:ascii="Arial" w:cs="Arial" w:eastAsia="Arial" w:hAnsi="Arial"/>
                <w:sz w:val="18"/>
                <w:szCs w:val="18"/>
                <w:color w:val="auto"/>
              </w:rPr>
              <w:t>Merger, Conversion, Consolidation or Succession to Business</w:t>
            </w:r>
          </w:p>
        </w:tc>
        <w:tc>
          <w:tcPr>
            <w:tcW w:w="1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6.13.</w:t>
            </w:r>
          </w:p>
        </w:tc>
        <w:tc>
          <w:tcPr>
            <w:tcW w:w="8180" w:type="dxa"/>
            <w:vAlign w:val="bottom"/>
          </w:tcPr>
          <w:p>
            <w:pPr>
              <w:ind w:left="180"/>
              <w:spacing w:after="0"/>
              <w:rPr>
                <w:sz w:val="20"/>
                <w:szCs w:val="20"/>
                <w:color w:val="auto"/>
              </w:rPr>
            </w:pPr>
            <w:r>
              <w:rPr>
                <w:rFonts w:ascii="Arial" w:cs="Arial" w:eastAsia="Arial" w:hAnsi="Arial"/>
                <w:sz w:val="18"/>
                <w:szCs w:val="18"/>
                <w:color w:val="auto"/>
              </w:rPr>
              <w:t>Preferential Collection of Claims Against Company</w:t>
            </w:r>
          </w:p>
        </w:tc>
        <w:tc>
          <w:tcPr>
            <w:tcW w:w="1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6.14.</w:t>
            </w:r>
          </w:p>
        </w:tc>
        <w:tc>
          <w:tcPr>
            <w:tcW w:w="8180" w:type="dxa"/>
            <w:vAlign w:val="bottom"/>
          </w:tcPr>
          <w:p>
            <w:pPr>
              <w:ind w:left="180"/>
              <w:spacing w:after="0"/>
              <w:rPr>
                <w:sz w:val="20"/>
                <w:szCs w:val="20"/>
                <w:color w:val="auto"/>
              </w:rPr>
            </w:pPr>
            <w:r>
              <w:rPr>
                <w:rFonts w:ascii="Arial" w:cs="Arial" w:eastAsia="Arial" w:hAnsi="Arial"/>
                <w:sz w:val="18"/>
                <w:szCs w:val="18"/>
                <w:color w:val="auto"/>
              </w:rPr>
              <w:t>Appointment of Authenticating Agent</w:t>
            </w:r>
          </w:p>
        </w:tc>
        <w:tc>
          <w:tcPr>
            <w:tcW w:w="16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9680" w:type="dxa"/>
            <w:vAlign w:val="bottom"/>
            <w:gridSpan w:val="2"/>
          </w:tcPr>
          <w:p>
            <w:pPr>
              <w:spacing w:after="0"/>
              <w:rPr>
                <w:sz w:val="20"/>
                <w:szCs w:val="20"/>
                <w:color w:val="auto"/>
              </w:rPr>
            </w:pPr>
            <w:r>
              <w:rPr>
                <w:rFonts w:ascii="Arial" w:cs="Arial" w:eastAsia="Arial" w:hAnsi="Arial"/>
                <w:sz w:val="18"/>
                <w:szCs w:val="18"/>
                <w:color w:val="auto"/>
              </w:rPr>
              <w:t>ARTICLE VII HOLDERS’ LISTS AND REPORTS BY TRUSTEE AND COMPANY</w:t>
            </w:r>
          </w:p>
        </w:tc>
        <w:tc>
          <w:tcPr>
            <w:tcW w:w="1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8180" w:type="dxa"/>
            <w:vAlign w:val="bottom"/>
          </w:tcPr>
          <w:p>
            <w:pPr>
              <w:ind w:left="180"/>
              <w:spacing w:after="0"/>
              <w:rPr>
                <w:sz w:val="20"/>
                <w:szCs w:val="20"/>
                <w:color w:val="auto"/>
              </w:rPr>
            </w:pPr>
            <w:r>
              <w:rPr>
                <w:rFonts w:ascii="Arial" w:cs="Arial" w:eastAsia="Arial" w:hAnsi="Arial"/>
                <w:sz w:val="18"/>
                <w:szCs w:val="18"/>
                <w:color w:val="auto"/>
              </w:rPr>
              <w:t>Company to Furnish Trustee Names and Addresses of Holders</w:t>
            </w:r>
          </w:p>
        </w:tc>
        <w:tc>
          <w:tcPr>
            <w:tcW w:w="1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8180" w:type="dxa"/>
            <w:vAlign w:val="bottom"/>
          </w:tcPr>
          <w:p>
            <w:pPr>
              <w:ind w:left="180"/>
              <w:spacing w:after="0"/>
              <w:rPr>
                <w:sz w:val="20"/>
                <w:szCs w:val="20"/>
                <w:color w:val="auto"/>
              </w:rPr>
            </w:pPr>
            <w:r>
              <w:rPr>
                <w:rFonts w:ascii="Arial" w:cs="Arial" w:eastAsia="Arial" w:hAnsi="Arial"/>
                <w:sz w:val="18"/>
                <w:szCs w:val="18"/>
                <w:color w:val="auto"/>
              </w:rPr>
              <w:t>Preservation of Information; Communications to Holders</w:t>
            </w:r>
          </w:p>
        </w:tc>
        <w:tc>
          <w:tcPr>
            <w:tcW w:w="1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8180" w:type="dxa"/>
            <w:vAlign w:val="bottom"/>
          </w:tcPr>
          <w:p>
            <w:pPr>
              <w:ind w:left="180"/>
              <w:spacing w:after="0"/>
              <w:rPr>
                <w:sz w:val="20"/>
                <w:szCs w:val="20"/>
                <w:color w:val="auto"/>
              </w:rPr>
            </w:pPr>
            <w:r>
              <w:rPr>
                <w:rFonts w:ascii="Arial" w:cs="Arial" w:eastAsia="Arial" w:hAnsi="Arial"/>
                <w:sz w:val="18"/>
                <w:szCs w:val="18"/>
                <w:color w:val="auto"/>
              </w:rPr>
              <w:t>Reports by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8180" w:type="dxa"/>
            <w:vAlign w:val="bottom"/>
          </w:tcPr>
          <w:p>
            <w:pPr>
              <w:ind w:left="180"/>
              <w:spacing w:after="0"/>
              <w:rPr>
                <w:sz w:val="20"/>
                <w:szCs w:val="20"/>
                <w:color w:val="auto"/>
              </w:rPr>
            </w:pPr>
            <w:r>
              <w:rPr>
                <w:rFonts w:ascii="Arial" w:cs="Arial" w:eastAsia="Arial" w:hAnsi="Arial"/>
                <w:sz w:val="18"/>
                <w:szCs w:val="18"/>
                <w:color w:val="auto"/>
              </w:rPr>
              <w:t>Reports by Company and Guarantors</w:t>
            </w:r>
          </w:p>
        </w:tc>
        <w:tc>
          <w:tcPr>
            <w:tcW w:w="164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4"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ARTICLE VIII CONSOLIDATION, MERGER, CONVEYANCE, TRANSFER OR LEASE</w:t>
            </w:r>
          </w:p>
        </w:tc>
        <w:tc>
          <w:tcPr>
            <w:tcW w:w="24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10"/>
        </w:trPr>
        <w:tc>
          <w:tcPr>
            <w:tcW w:w="154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360" w:type="dxa"/>
            <w:vAlign w:val="bottom"/>
          </w:tcPr>
          <w:p>
            <w:pPr>
              <w:ind w:left="160"/>
              <w:spacing w:after="0"/>
              <w:rPr>
                <w:sz w:val="20"/>
                <w:szCs w:val="20"/>
                <w:color w:val="auto"/>
              </w:rPr>
            </w:pPr>
            <w:r>
              <w:rPr>
                <w:rFonts w:ascii="Arial" w:cs="Arial" w:eastAsia="Arial" w:hAnsi="Arial"/>
                <w:sz w:val="18"/>
                <w:szCs w:val="18"/>
                <w:color w:val="auto"/>
              </w:rPr>
              <w:t>Company May Consolidate, Etc., Only on Certain Terms</w:t>
            </w:r>
          </w:p>
        </w:tc>
        <w:tc>
          <w:tcPr>
            <w:tcW w:w="24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360" w:type="dxa"/>
            <w:vAlign w:val="bottom"/>
          </w:tcPr>
          <w:p>
            <w:pPr>
              <w:ind w:left="160"/>
              <w:spacing w:after="0"/>
              <w:rPr>
                <w:sz w:val="20"/>
                <w:szCs w:val="20"/>
                <w:color w:val="auto"/>
              </w:rPr>
            </w:pPr>
            <w:r>
              <w:rPr>
                <w:rFonts w:ascii="Arial" w:cs="Arial" w:eastAsia="Arial" w:hAnsi="Arial"/>
                <w:sz w:val="18"/>
                <w:szCs w:val="18"/>
                <w:color w:val="auto"/>
              </w:rPr>
              <w:t>Successor Substituted</w:t>
            </w:r>
          </w:p>
        </w:tc>
        <w:tc>
          <w:tcPr>
            <w:tcW w:w="24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8900" w:type="dxa"/>
            <w:vAlign w:val="bottom"/>
            <w:gridSpan w:val="2"/>
          </w:tcPr>
          <w:p>
            <w:pPr>
              <w:spacing w:after="0"/>
              <w:rPr>
                <w:sz w:val="20"/>
                <w:szCs w:val="20"/>
                <w:color w:val="auto"/>
              </w:rPr>
            </w:pPr>
            <w:r>
              <w:rPr>
                <w:rFonts w:ascii="Arial" w:cs="Arial" w:eastAsia="Arial" w:hAnsi="Arial"/>
                <w:sz w:val="18"/>
                <w:szCs w:val="18"/>
                <w:color w:val="auto"/>
              </w:rPr>
              <w:t>ARTICLE IX SUPPLEMENTAL INDENTURES</w:t>
            </w:r>
          </w:p>
        </w:tc>
        <w:tc>
          <w:tcPr>
            <w:tcW w:w="24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0"/>
        </w:trPr>
        <w:tc>
          <w:tcPr>
            <w:tcW w:w="154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7360" w:type="dxa"/>
            <w:vAlign w:val="bottom"/>
          </w:tcPr>
          <w:p>
            <w:pPr>
              <w:ind w:left="160"/>
              <w:spacing w:after="0"/>
              <w:rPr>
                <w:sz w:val="20"/>
                <w:szCs w:val="20"/>
                <w:color w:val="auto"/>
              </w:rPr>
            </w:pPr>
            <w:r>
              <w:rPr>
                <w:rFonts w:ascii="Arial" w:cs="Arial" w:eastAsia="Arial" w:hAnsi="Arial"/>
                <w:sz w:val="18"/>
                <w:szCs w:val="18"/>
                <w:color w:val="auto"/>
              </w:rPr>
              <w:t>Supplemental Indentures Without Consent of Holders</w:t>
            </w:r>
          </w:p>
        </w:tc>
        <w:tc>
          <w:tcPr>
            <w:tcW w:w="24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7360" w:type="dxa"/>
            <w:vAlign w:val="bottom"/>
          </w:tcPr>
          <w:p>
            <w:pPr>
              <w:ind w:left="160"/>
              <w:spacing w:after="0"/>
              <w:rPr>
                <w:sz w:val="20"/>
                <w:szCs w:val="20"/>
                <w:color w:val="auto"/>
              </w:rPr>
            </w:pPr>
            <w:r>
              <w:rPr>
                <w:rFonts w:ascii="Arial" w:cs="Arial" w:eastAsia="Arial" w:hAnsi="Arial"/>
                <w:sz w:val="18"/>
                <w:szCs w:val="18"/>
                <w:color w:val="auto"/>
              </w:rPr>
              <w:t>Supplemental Indentures With Consent of Holders</w:t>
            </w:r>
          </w:p>
        </w:tc>
        <w:tc>
          <w:tcPr>
            <w:tcW w:w="2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7360" w:type="dxa"/>
            <w:vAlign w:val="bottom"/>
          </w:tcPr>
          <w:p>
            <w:pPr>
              <w:ind w:left="160"/>
              <w:spacing w:after="0"/>
              <w:rPr>
                <w:sz w:val="20"/>
                <w:szCs w:val="20"/>
                <w:color w:val="auto"/>
              </w:rPr>
            </w:pPr>
            <w:r>
              <w:rPr>
                <w:rFonts w:ascii="Arial" w:cs="Arial" w:eastAsia="Arial" w:hAnsi="Arial"/>
                <w:sz w:val="18"/>
                <w:szCs w:val="18"/>
                <w:color w:val="auto"/>
              </w:rPr>
              <w:t>Execution of Supplemental Indentures</w:t>
            </w:r>
          </w:p>
        </w:tc>
        <w:tc>
          <w:tcPr>
            <w:tcW w:w="2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7360" w:type="dxa"/>
            <w:vAlign w:val="bottom"/>
          </w:tcPr>
          <w:p>
            <w:pPr>
              <w:ind w:left="160"/>
              <w:spacing w:after="0"/>
              <w:rPr>
                <w:sz w:val="20"/>
                <w:szCs w:val="20"/>
                <w:color w:val="auto"/>
              </w:rPr>
            </w:pPr>
            <w:r>
              <w:rPr>
                <w:rFonts w:ascii="Arial" w:cs="Arial" w:eastAsia="Arial" w:hAnsi="Arial"/>
                <w:sz w:val="18"/>
                <w:szCs w:val="18"/>
                <w:color w:val="auto"/>
              </w:rPr>
              <w:t>Effect of Supplemental Indentures</w:t>
            </w:r>
          </w:p>
        </w:tc>
        <w:tc>
          <w:tcPr>
            <w:tcW w:w="2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7360" w:type="dxa"/>
            <w:vAlign w:val="bottom"/>
          </w:tcPr>
          <w:p>
            <w:pPr>
              <w:ind w:left="160"/>
              <w:spacing w:after="0"/>
              <w:rPr>
                <w:sz w:val="20"/>
                <w:szCs w:val="20"/>
                <w:color w:val="auto"/>
              </w:rPr>
            </w:pPr>
            <w:r>
              <w:rPr>
                <w:rFonts w:ascii="Arial" w:cs="Arial" w:eastAsia="Arial" w:hAnsi="Arial"/>
                <w:sz w:val="18"/>
                <w:szCs w:val="18"/>
                <w:color w:val="auto"/>
              </w:rPr>
              <w:t>Conformity with Trust Indenture Act</w:t>
            </w:r>
          </w:p>
        </w:tc>
        <w:tc>
          <w:tcPr>
            <w:tcW w:w="2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9.06.</w:t>
            </w:r>
          </w:p>
        </w:tc>
        <w:tc>
          <w:tcPr>
            <w:tcW w:w="7360" w:type="dxa"/>
            <w:vAlign w:val="bottom"/>
          </w:tcPr>
          <w:p>
            <w:pPr>
              <w:ind w:left="160"/>
              <w:spacing w:after="0"/>
              <w:rPr>
                <w:sz w:val="20"/>
                <w:szCs w:val="20"/>
                <w:color w:val="auto"/>
              </w:rPr>
            </w:pPr>
            <w:r>
              <w:rPr>
                <w:rFonts w:ascii="Arial" w:cs="Arial" w:eastAsia="Arial" w:hAnsi="Arial"/>
                <w:sz w:val="18"/>
                <w:szCs w:val="18"/>
                <w:color w:val="auto"/>
              </w:rPr>
              <w:t>Reference in Securities to Supplemental Indentures</w:t>
            </w:r>
          </w:p>
        </w:tc>
        <w:tc>
          <w:tcPr>
            <w:tcW w:w="2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9.07.</w:t>
            </w:r>
          </w:p>
        </w:tc>
        <w:tc>
          <w:tcPr>
            <w:tcW w:w="7360" w:type="dxa"/>
            <w:vAlign w:val="bottom"/>
          </w:tcPr>
          <w:p>
            <w:pPr>
              <w:ind w:left="160"/>
              <w:spacing w:after="0"/>
              <w:rPr>
                <w:sz w:val="20"/>
                <w:szCs w:val="20"/>
                <w:color w:val="auto"/>
              </w:rPr>
            </w:pPr>
            <w:r>
              <w:rPr>
                <w:rFonts w:ascii="Arial" w:cs="Arial" w:eastAsia="Arial" w:hAnsi="Arial"/>
                <w:sz w:val="18"/>
                <w:szCs w:val="18"/>
                <w:color w:val="auto"/>
              </w:rPr>
              <w:t>Subordination Unimpaired</w:t>
            </w:r>
          </w:p>
        </w:tc>
        <w:tc>
          <w:tcPr>
            <w:tcW w:w="2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8900" w:type="dxa"/>
            <w:vAlign w:val="bottom"/>
            <w:gridSpan w:val="2"/>
          </w:tcPr>
          <w:p>
            <w:pPr>
              <w:spacing w:after="0"/>
              <w:rPr>
                <w:sz w:val="20"/>
                <w:szCs w:val="20"/>
                <w:color w:val="auto"/>
              </w:rPr>
            </w:pPr>
            <w:r>
              <w:rPr>
                <w:rFonts w:ascii="Arial" w:cs="Arial" w:eastAsia="Arial" w:hAnsi="Arial"/>
                <w:sz w:val="18"/>
                <w:szCs w:val="18"/>
                <w:color w:val="auto"/>
              </w:rPr>
              <w:t>ARTICLE X COVENANTS</w:t>
            </w:r>
          </w:p>
        </w:tc>
        <w:tc>
          <w:tcPr>
            <w:tcW w:w="2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0"/>
        </w:trPr>
        <w:tc>
          <w:tcPr>
            <w:tcW w:w="154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7360" w:type="dxa"/>
            <w:vAlign w:val="bottom"/>
          </w:tcPr>
          <w:p>
            <w:pPr>
              <w:ind w:left="160"/>
              <w:spacing w:after="0"/>
              <w:rPr>
                <w:sz w:val="20"/>
                <w:szCs w:val="20"/>
                <w:color w:val="auto"/>
              </w:rPr>
            </w:pPr>
            <w:r>
              <w:rPr>
                <w:rFonts w:ascii="Arial" w:cs="Arial" w:eastAsia="Arial" w:hAnsi="Arial"/>
                <w:sz w:val="18"/>
                <w:szCs w:val="18"/>
                <w:color w:val="auto"/>
              </w:rPr>
              <w:t>Payment of Principal, Premium and Interest</w:t>
            </w:r>
          </w:p>
        </w:tc>
        <w:tc>
          <w:tcPr>
            <w:tcW w:w="2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7360" w:type="dxa"/>
            <w:vAlign w:val="bottom"/>
          </w:tcPr>
          <w:p>
            <w:pPr>
              <w:ind w:left="160"/>
              <w:spacing w:after="0"/>
              <w:rPr>
                <w:sz w:val="20"/>
                <w:szCs w:val="20"/>
                <w:color w:val="auto"/>
              </w:rPr>
            </w:pPr>
            <w:r>
              <w:rPr>
                <w:rFonts w:ascii="Arial" w:cs="Arial" w:eastAsia="Arial" w:hAnsi="Arial"/>
                <w:sz w:val="18"/>
                <w:szCs w:val="18"/>
                <w:color w:val="auto"/>
              </w:rPr>
              <w:t>Maintenance of Office or Agency</w:t>
            </w:r>
          </w:p>
        </w:tc>
        <w:tc>
          <w:tcPr>
            <w:tcW w:w="24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10.03.</w:t>
            </w:r>
          </w:p>
        </w:tc>
        <w:tc>
          <w:tcPr>
            <w:tcW w:w="7360" w:type="dxa"/>
            <w:vAlign w:val="bottom"/>
          </w:tcPr>
          <w:p>
            <w:pPr>
              <w:ind w:left="160"/>
              <w:spacing w:after="0"/>
              <w:rPr>
                <w:sz w:val="20"/>
                <w:szCs w:val="20"/>
                <w:color w:val="auto"/>
              </w:rPr>
            </w:pPr>
            <w:r>
              <w:rPr>
                <w:rFonts w:ascii="Arial" w:cs="Arial" w:eastAsia="Arial" w:hAnsi="Arial"/>
                <w:sz w:val="18"/>
                <w:szCs w:val="18"/>
                <w:color w:val="auto"/>
              </w:rPr>
              <w:t>Money for Securities Payments to Be Held in Trust</w:t>
            </w:r>
          </w:p>
        </w:tc>
        <w:tc>
          <w:tcPr>
            <w:tcW w:w="24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10.04.</w:t>
            </w:r>
          </w:p>
        </w:tc>
        <w:tc>
          <w:tcPr>
            <w:tcW w:w="7360" w:type="dxa"/>
            <w:vAlign w:val="bottom"/>
          </w:tcPr>
          <w:p>
            <w:pPr>
              <w:ind w:left="160"/>
              <w:spacing w:after="0"/>
              <w:rPr>
                <w:sz w:val="20"/>
                <w:szCs w:val="20"/>
                <w:color w:val="auto"/>
              </w:rPr>
            </w:pPr>
            <w:r>
              <w:rPr>
                <w:rFonts w:ascii="Arial" w:cs="Arial" w:eastAsia="Arial" w:hAnsi="Arial"/>
                <w:sz w:val="18"/>
                <w:szCs w:val="18"/>
                <w:color w:val="auto"/>
              </w:rPr>
              <w:t>Statement by Officers as to Default</w:t>
            </w:r>
          </w:p>
        </w:tc>
        <w:tc>
          <w:tcPr>
            <w:tcW w:w="24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10.05.</w:t>
            </w:r>
          </w:p>
        </w:tc>
        <w:tc>
          <w:tcPr>
            <w:tcW w:w="7360" w:type="dxa"/>
            <w:vAlign w:val="bottom"/>
          </w:tcPr>
          <w:p>
            <w:pPr>
              <w:ind w:left="160"/>
              <w:spacing w:after="0"/>
              <w:rPr>
                <w:sz w:val="20"/>
                <w:szCs w:val="20"/>
                <w:color w:val="auto"/>
              </w:rPr>
            </w:pPr>
            <w:r>
              <w:rPr>
                <w:rFonts w:ascii="Arial" w:cs="Arial" w:eastAsia="Arial" w:hAnsi="Arial"/>
                <w:sz w:val="18"/>
                <w:szCs w:val="18"/>
                <w:color w:val="auto"/>
              </w:rPr>
              <w:t>Waiver of Certain Covenants</w:t>
            </w:r>
          </w:p>
        </w:tc>
        <w:tc>
          <w:tcPr>
            <w:tcW w:w="24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8900" w:type="dxa"/>
            <w:vAlign w:val="bottom"/>
            <w:gridSpan w:val="2"/>
          </w:tcPr>
          <w:p>
            <w:pPr>
              <w:spacing w:after="0"/>
              <w:rPr>
                <w:sz w:val="20"/>
                <w:szCs w:val="20"/>
                <w:color w:val="auto"/>
              </w:rPr>
            </w:pPr>
            <w:r>
              <w:rPr>
                <w:rFonts w:ascii="Arial" w:cs="Arial" w:eastAsia="Arial" w:hAnsi="Arial"/>
                <w:sz w:val="18"/>
                <w:szCs w:val="18"/>
                <w:color w:val="auto"/>
              </w:rPr>
              <w:t>ARTICLE XI REDEMPTION OF SECURITIES</w:t>
            </w:r>
          </w:p>
        </w:tc>
        <w:tc>
          <w:tcPr>
            <w:tcW w:w="24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10"/>
        </w:trPr>
        <w:tc>
          <w:tcPr>
            <w:tcW w:w="1540" w:type="dxa"/>
            <w:vAlign w:val="bottom"/>
          </w:tcPr>
          <w:p>
            <w:pPr>
              <w:ind w:left="360"/>
              <w:spacing w:after="0"/>
              <w:rPr>
                <w:sz w:val="20"/>
                <w:szCs w:val="20"/>
                <w:color w:val="auto"/>
              </w:rPr>
            </w:pPr>
            <w:r>
              <w:rPr>
                <w:rFonts w:ascii="Arial" w:cs="Arial" w:eastAsia="Arial" w:hAnsi="Arial"/>
                <w:sz w:val="18"/>
                <w:szCs w:val="18"/>
                <w:color w:val="auto"/>
              </w:rPr>
              <w:t>Section 11.01.</w:t>
            </w:r>
          </w:p>
        </w:tc>
        <w:tc>
          <w:tcPr>
            <w:tcW w:w="7360" w:type="dxa"/>
            <w:vAlign w:val="bottom"/>
          </w:tcPr>
          <w:p>
            <w:pPr>
              <w:ind w:left="160"/>
              <w:spacing w:after="0"/>
              <w:rPr>
                <w:sz w:val="20"/>
                <w:szCs w:val="20"/>
                <w:color w:val="auto"/>
              </w:rPr>
            </w:pPr>
            <w:r>
              <w:rPr>
                <w:rFonts w:ascii="Arial" w:cs="Arial" w:eastAsia="Arial" w:hAnsi="Arial"/>
                <w:sz w:val="18"/>
                <w:szCs w:val="18"/>
                <w:color w:val="auto"/>
              </w:rPr>
              <w:t>Applicability of Article</w:t>
            </w:r>
          </w:p>
        </w:tc>
        <w:tc>
          <w:tcPr>
            <w:tcW w:w="24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11.02.</w:t>
            </w:r>
          </w:p>
        </w:tc>
        <w:tc>
          <w:tcPr>
            <w:tcW w:w="7360" w:type="dxa"/>
            <w:vAlign w:val="bottom"/>
          </w:tcPr>
          <w:p>
            <w:pPr>
              <w:ind w:left="160"/>
              <w:spacing w:after="0"/>
              <w:rPr>
                <w:sz w:val="20"/>
                <w:szCs w:val="20"/>
                <w:color w:val="auto"/>
              </w:rPr>
            </w:pPr>
            <w:r>
              <w:rPr>
                <w:rFonts w:ascii="Arial" w:cs="Arial" w:eastAsia="Arial" w:hAnsi="Arial"/>
                <w:sz w:val="18"/>
                <w:szCs w:val="18"/>
                <w:color w:val="auto"/>
              </w:rPr>
              <w:t>Election to Redeem; Notice to Trustee</w:t>
            </w:r>
          </w:p>
        </w:tc>
        <w:tc>
          <w:tcPr>
            <w:tcW w:w="24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11.03.</w:t>
            </w:r>
          </w:p>
        </w:tc>
        <w:tc>
          <w:tcPr>
            <w:tcW w:w="7360" w:type="dxa"/>
            <w:vAlign w:val="bottom"/>
          </w:tcPr>
          <w:p>
            <w:pPr>
              <w:ind w:left="160"/>
              <w:spacing w:after="0"/>
              <w:rPr>
                <w:sz w:val="20"/>
                <w:szCs w:val="20"/>
                <w:color w:val="auto"/>
              </w:rPr>
            </w:pPr>
            <w:r>
              <w:rPr>
                <w:rFonts w:ascii="Arial" w:cs="Arial" w:eastAsia="Arial" w:hAnsi="Arial"/>
                <w:sz w:val="18"/>
                <w:szCs w:val="18"/>
                <w:color w:val="auto"/>
              </w:rPr>
              <w:t>Selection by Trustee of Securities to Be Redeemed</w:t>
            </w:r>
          </w:p>
        </w:tc>
        <w:tc>
          <w:tcPr>
            <w:tcW w:w="24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11.04.</w:t>
            </w:r>
          </w:p>
        </w:tc>
        <w:tc>
          <w:tcPr>
            <w:tcW w:w="7360" w:type="dxa"/>
            <w:vAlign w:val="bottom"/>
          </w:tcPr>
          <w:p>
            <w:pPr>
              <w:ind w:left="160"/>
              <w:spacing w:after="0"/>
              <w:rPr>
                <w:sz w:val="20"/>
                <w:szCs w:val="20"/>
                <w:color w:val="auto"/>
              </w:rPr>
            </w:pPr>
            <w:r>
              <w:rPr>
                <w:rFonts w:ascii="Arial" w:cs="Arial" w:eastAsia="Arial" w:hAnsi="Arial"/>
                <w:sz w:val="18"/>
                <w:szCs w:val="18"/>
                <w:color w:val="auto"/>
              </w:rPr>
              <w:t>Notice of Redemption</w:t>
            </w:r>
          </w:p>
        </w:tc>
        <w:tc>
          <w:tcPr>
            <w:tcW w:w="24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11.05.</w:t>
            </w:r>
          </w:p>
        </w:tc>
        <w:tc>
          <w:tcPr>
            <w:tcW w:w="7360" w:type="dxa"/>
            <w:vAlign w:val="bottom"/>
          </w:tcPr>
          <w:p>
            <w:pPr>
              <w:ind w:left="160"/>
              <w:spacing w:after="0"/>
              <w:rPr>
                <w:sz w:val="20"/>
                <w:szCs w:val="20"/>
                <w:color w:val="auto"/>
              </w:rPr>
            </w:pPr>
            <w:r>
              <w:rPr>
                <w:rFonts w:ascii="Arial" w:cs="Arial" w:eastAsia="Arial" w:hAnsi="Arial"/>
                <w:sz w:val="18"/>
                <w:szCs w:val="18"/>
                <w:color w:val="auto"/>
              </w:rPr>
              <w:t>Deposit of Redemption Price</w:t>
            </w:r>
          </w:p>
        </w:tc>
        <w:tc>
          <w:tcPr>
            <w:tcW w:w="24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11.06.</w:t>
            </w:r>
          </w:p>
        </w:tc>
        <w:tc>
          <w:tcPr>
            <w:tcW w:w="7360" w:type="dxa"/>
            <w:vAlign w:val="bottom"/>
          </w:tcPr>
          <w:p>
            <w:pPr>
              <w:ind w:left="160"/>
              <w:spacing w:after="0"/>
              <w:rPr>
                <w:sz w:val="20"/>
                <w:szCs w:val="20"/>
                <w:color w:val="auto"/>
              </w:rPr>
            </w:pPr>
            <w:r>
              <w:rPr>
                <w:rFonts w:ascii="Arial" w:cs="Arial" w:eastAsia="Arial" w:hAnsi="Arial"/>
                <w:sz w:val="18"/>
                <w:szCs w:val="18"/>
                <w:color w:val="auto"/>
              </w:rPr>
              <w:t>Securities Payable on Redemption Date</w:t>
            </w:r>
          </w:p>
        </w:tc>
        <w:tc>
          <w:tcPr>
            <w:tcW w:w="24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11.07.</w:t>
            </w:r>
          </w:p>
        </w:tc>
        <w:tc>
          <w:tcPr>
            <w:tcW w:w="7360" w:type="dxa"/>
            <w:vAlign w:val="bottom"/>
          </w:tcPr>
          <w:p>
            <w:pPr>
              <w:ind w:left="160"/>
              <w:spacing w:after="0"/>
              <w:rPr>
                <w:sz w:val="20"/>
                <w:szCs w:val="20"/>
                <w:color w:val="auto"/>
              </w:rPr>
            </w:pPr>
            <w:r>
              <w:rPr>
                <w:rFonts w:ascii="Arial" w:cs="Arial" w:eastAsia="Arial" w:hAnsi="Arial"/>
                <w:sz w:val="18"/>
                <w:szCs w:val="18"/>
                <w:color w:val="auto"/>
              </w:rPr>
              <w:t>Securities Redeemed in Part</w:t>
            </w:r>
          </w:p>
        </w:tc>
        <w:tc>
          <w:tcPr>
            <w:tcW w:w="24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11.08.</w:t>
            </w:r>
          </w:p>
        </w:tc>
        <w:tc>
          <w:tcPr>
            <w:tcW w:w="7360" w:type="dxa"/>
            <w:vAlign w:val="bottom"/>
          </w:tcPr>
          <w:p>
            <w:pPr>
              <w:ind w:left="160"/>
              <w:spacing w:after="0"/>
              <w:rPr>
                <w:sz w:val="20"/>
                <w:szCs w:val="20"/>
                <w:color w:val="auto"/>
              </w:rPr>
            </w:pPr>
            <w:r>
              <w:rPr>
                <w:rFonts w:ascii="Arial" w:cs="Arial" w:eastAsia="Arial" w:hAnsi="Arial"/>
                <w:sz w:val="18"/>
                <w:szCs w:val="18"/>
                <w:color w:val="auto"/>
              </w:rPr>
              <w:t>No Limit on Repurchases</w:t>
            </w:r>
          </w:p>
        </w:tc>
        <w:tc>
          <w:tcPr>
            <w:tcW w:w="24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8900" w:type="dxa"/>
            <w:vAlign w:val="bottom"/>
            <w:gridSpan w:val="2"/>
          </w:tcPr>
          <w:p>
            <w:pPr>
              <w:spacing w:after="0"/>
              <w:rPr>
                <w:sz w:val="20"/>
                <w:szCs w:val="20"/>
                <w:color w:val="auto"/>
              </w:rPr>
            </w:pPr>
            <w:r>
              <w:rPr>
                <w:rFonts w:ascii="Arial" w:cs="Arial" w:eastAsia="Arial" w:hAnsi="Arial"/>
                <w:sz w:val="18"/>
                <w:szCs w:val="18"/>
                <w:color w:val="auto"/>
              </w:rPr>
              <w:t>ARTICLE XII SINKING FUNDS</w:t>
            </w:r>
          </w:p>
        </w:tc>
        <w:tc>
          <w:tcPr>
            <w:tcW w:w="24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10"/>
        </w:trPr>
        <w:tc>
          <w:tcPr>
            <w:tcW w:w="1540" w:type="dxa"/>
            <w:vAlign w:val="bottom"/>
          </w:tcPr>
          <w:p>
            <w:pPr>
              <w:ind w:left="360"/>
              <w:spacing w:after="0"/>
              <w:rPr>
                <w:sz w:val="20"/>
                <w:szCs w:val="20"/>
                <w:color w:val="auto"/>
              </w:rPr>
            </w:pPr>
            <w:r>
              <w:rPr>
                <w:rFonts w:ascii="Arial" w:cs="Arial" w:eastAsia="Arial" w:hAnsi="Arial"/>
                <w:sz w:val="18"/>
                <w:szCs w:val="18"/>
                <w:color w:val="auto"/>
              </w:rPr>
              <w:t>Section 12.01.</w:t>
            </w:r>
          </w:p>
        </w:tc>
        <w:tc>
          <w:tcPr>
            <w:tcW w:w="7360" w:type="dxa"/>
            <w:vAlign w:val="bottom"/>
          </w:tcPr>
          <w:p>
            <w:pPr>
              <w:ind w:left="160"/>
              <w:spacing w:after="0"/>
              <w:rPr>
                <w:sz w:val="20"/>
                <w:szCs w:val="20"/>
                <w:color w:val="auto"/>
              </w:rPr>
            </w:pPr>
            <w:r>
              <w:rPr>
                <w:rFonts w:ascii="Arial" w:cs="Arial" w:eastAsia="Arial" w:hAnsi="Arial"/>
                <w:sz w:val="18"/>
                <w:szCs w:val="18"/>
                <w:color w:val="auto"/>
              </w:rPr>
              <w:t>Applicability of Article</w:t>
            </w:r>
          </w:p>
        </w:tc>
        <w:tc>
          <w:tcPr>
            <w:tcW w:w="24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12.02.</w:t>
            </w:r>
          </w:p>
        </w:tc>
        <w:tc>
          <w:tcPr>
            <w:tcW w:w="7360" w:type="dxa"/>
            <w:vAlign w:val="bottom"/>
          </w:tcPr>
          <w:p>
            <w:pPr>
              <w:ind w:left="160"/>
              <w:spacing w:after="0"/>
              <w:rPr>
                <w:sz w:val="20"/>
                <w:szCs w:val="20"/>
                <w:color w:val="auto"/>
              </w:rPr>
            </w:pPr>
            <w:r>
              <w:rPr>
                <w:rFonts w:ascii="Arial" w:cs="Arial" w:eastAsia="Arial" w:hAnsi="Arial"/>
                <w:sz w:val="18"/>
                <w:szCs w:val="18"/>
                <w:color w:val="auto"/>
              </w:rPr>
              <w:t>Satisfaction of Sinking Fund Payments with Securities</w:t>
            </w:r>
          </w:p>
        </w:tc>
        <w:tc>
          <w:tcPr>
            <w:tcW w:w="24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12.03.</w:t>
            </w:r>
          </w:p>
        </w:tc>
        <w:tc>
          <w:tcPr>
            <w:tcW w:w="7360" w:type="dxa"/>
            <w:vAlign w:val="bottom"/>
          </w:tcPr>
          <w:p>
            <w:pPr>
              <w:ind w:left="160"/>
              <w:spacing w:after="0"/>
              <w:rPr>
                <w:sz w:val="20"/>
                <w:szCs w:val="20"/>
                <w:color w:val="auto"/>
              </w:rPr>
            </w:pPr>
            <w:r>
              <w:rPr>
                <w:rFonts w:ascii="Arial" w:cs="Arial" w:eastAsia="Arial" w:hAnsi="Arial"/>
                <w:sz w:val="18"/>
                <w:szCs w:val="18"/>
                <w:color w:val="auto"/>
              </w:rPr>
              <w:t>Redemption of Securities for Sinking Fund</w:t>
            </w:r>
          </w:p>
        </w:tc>
        <w:tc>
          <w:tcPr>
            <w:tcW w:w="24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8900" w:type="dxa"/>
            <w:vAlign w:val="bottom"/>
            <w:gridSpan w:val="2"/>
          </w:tcPr>
          <w:p>
            <w:pPr>
              <w:spacing w:after="0"/>
              <w:rPr>
                <w:sz w:val="20"/>
                <w:szCs w:val="20"/>
                <w:color w:val="auto"/>
              </w:rPr>
            </w:pPr>
            <w:r>
              <w:rPr>
                <w:rFonts w:ascii="Arial" w:cs="Arial" w:eastAsia="Arial" w:hAnsi="Arial"/>
                <w:sz w:val="18"/>
                <w:szCs w:val="18"/>
                <w:color w:val="auto"/>
              </w:rPr>
              <w:t>ARTICLE XIII DEFEASANCE AND COVENANT DEFEASANCE</w:t>
            </w:r>
          </w:p>
        </w:tc>
        <w:tc>
          <w:tcPr>
            <w:tcW w:w="24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0"/>
        </w:trPr>
        <w:tc>
          <w:tcPr>
            <w:tcW w:w="1540" w:type="dxa"/>
            <w:vAlign w:val="bottom"/>
          </w:tcPr>
          <w:p>
            <w:pPr>
              <w:ind w:left="360"/>
              <w:spacing w:after="0"/>
              <w:rPr>
                <w:sz w:val="20"/>
                <w:szCs w:val="20"/>
                <w:color w:val="auto"/>
              </w:rPr>
            </w:pPr>
            <w:r>
              <w:rPr>
                <w:rFonts w:ascii="Arial" w:cs="Arial" w:eastAsia="Arial" w:hAnsi="Arial"/>
                <w:sz w:val="18"/>
                <w:szCs w:val="18"/>
                <w:color w:val="auto"/>
              </w:rPr>
              <w:t>Section 13.01.</w:t>
            </w:r>
          </w:p>
        </w:tc>
        <w:tc>
          <w:tcPr>
            <w:tcW w:w="7360" w:type="dxa"/>
            <w:vAlign w:val="bottom"/>
          </w:tcPr>
          <w:p>
            <w:pPr>
              <w:ind w:left="160"/>
              <w:spacing w:after="0"/>
              <w:rPr>
                <w:sz w:val="20"/>
                <w:szCs w:val="20"/>
                <w:color w:val="auto"/>
              </w:rPr>
            </w:pPr>
            <w:r>
              <w:rPr>
                <w:rFonts w:ascii="Arial" w:cs="Arial" w:eastAsia="Arial" w:hAnsi="Arial"/>
                <w:sz w:val="18"/>
                <w:szCs w:val="18"/>
                <w:color w:val="auto"/>
              </w:rPr>
              <w:t>Company’s Option to Effect Defeasance or Covenant Defeasance</w:t>
            </w:r>
          </w:p>
        </w:tc>
        <w:tc>
          <w:tcPr>
            <w:tcW w:w="24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13.02.</w:t>
            </w:r>
          </w:p>
        </w:tc>
        <w:tc>
          <w:tcPr>
            <w:tcW w:w="7360" w:type="dxa"/>
            <w:vAlign w:val="bottom"/>
          </w:tcPr>
          <w:p>
            <w:pPr>
              <w:ind w:left="160"/>
              <w:spacing w:after="0"/>
              <w:rPr>
                <w:sz w:val="20"/>
                <w:szCs w:val="20"/>
                <w:color w:val="auto"/>
              </w:rPr>
            </w:pPr>
            <w:r>
              <w:rPr>
                <w:rFonts w:ascii="Arial" w:cs="Arial" w:eastAsia="Arial" w:hAnsi="Arial"/>
                <w:sz w:val="18"/>
                <w:szCs w:val="18"/>
                <w:color w:val="auto"/>
              </w:rPr>
              <w:t>Defeasance and Discharge</w:t>
            </w:r>
          </w:p>
        </w:tc>
        <w:tc>
          <w:tcPr>
            <w:tcW w:w="24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13.03.</w:t>
            </w:r>
          </w:p>
        </w:tc>
        <w:tc>
          <w:tcPr>
            <w:tcW w:w="7360" w:type="dxa"/>
            <w:vAlign w:val="bottom"/>
          </w:tcPr>
          <w:p>
            <w:pPr>
              <w:ind w:left="160"/>
              <w:spacing w:after="0"/>
              <w:rPr>
                <w:sz w:val="20"/>
                <w:szCs w:val="20"/>
                <w:color w:val="auto"/>
              </w:rPr>
            </w:pPr>
            <w:r>
              <w:rPr>
                <w:rFonts w:ascii="Arial" w:cs="Arial" w:eastAsia="Arial" w:hAnsi="Arial"/>
                <w:sz w:val="18"/>
                <w:szCs w:val="18"/>
                <w:color w:val="auto"/>
              </w:rPr>
              <w:t>Covenant Defeasance</w:t>
            </w:r>
          </w:p>
        </w:tc>
        <w:tc>
          <w:tcPr>
            <w:tcW w:w="242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74" w:right="3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13.04.</w:t>
            </w:r>
          </w:p>
        </w:tc>
        <w:tc>
          <w:tcPr>
            <w:tcW w:w="8460" w:type="dxa"/>
            <w:vAlign w:val="bottom"/>
          </w:tcPr>
          <w:p>
            <w:pPr>
              <w:ind w:left="160"/>
              <w:spacing w:after="0"/>
              <w:rPr>
                <w:sz w:val="20"/>
                <w:szCs w:val="20"/>
                <w:color w:val="auto"/>
              </w:rPr>
            </w:pPr>
            <w:r>
              <w:rPr>
                <w:rFonts w:ascii="Arial" w:cs="Arial" w:eastAsia="Arial" w:hAnsi="Arial"/>
                <w:sz w:val="18"/>
                <w:szCs w:val="18"/>
                <w:color w:val="auto"/>
              </w:rPr>
              <w:t>Conditions to Defeasance or Covenant Defeasance</w:t>
            </w:r>
          </w:p>
        </w:tc>
        <w:tc>
          <w:tcPr>
            <w:tcW w:w="1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13.05.</w:t>
            </w:r>
          </w:p>
        </w:tc>
        <w:tc>
          <w:tcPr>
            <w:tcW w:w="8460" w:type="dxa"/>
            <w:vAlign w:val="bottom"/>
          </w:tcPr>
          <w:p>
            <w:pPr>
              <w:ind w:left="160"/>
              <w:spacing w:after="0"/>
              <w:rPr>
                <w:sz w:val="20"/>
                <w:szCs w:val="20"/>
                <w:color w:val="auto"/>
              </w:rPr>
            </w:pPr>
            <w:r>
              <w:rPr>
                <w:rFonts w:ascii="Arial" w:cs="Arial" w:eastAsia="Arial" w:hAnsi="Arial"/>
                <w:sz w:val="18"/>
                <w:szCs w:val="18"/>
                <w:color w:val="auto"/>
              </w:rPr>
              <w:t>Deposited Money and U.S. Government Obligations to Be Held in Trust; Miscellaneous Provisions</w:t>
            </w:r>
          </w:p>
        </w:tc>
        <w:tc>
          <w:tcPr>
            <w:tcW w:w="13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13.06.</w:t>
            </w:r>
          </w:p>
        </w:tc>
        <w:tc>
          <w:tcPr>
            <w:tcW w:w="8460" w:type="dxa"/>
            <w:vAlign w:val="bottom"/>
          </w:tcPr>
          <w:p>
            <w:pPr>
              <w:ind w:left="160"/>
              <w:spacing w:after="0"/>
              <w:rPr>
                <w:sz w:val="20"/>
                <w:szCs w:val="20"/>
                <w:color w:val="auto"/>
              </w:rPr>
            </w:pPr>
            <w:r>
              <w:rPr>
                <w:rFonts w:ascii="Arial" w:cs="Arial" w:eastAsia="Arial" w:hAnsi="Arial"/>
                <w:sz w:val="18"/>
                <w:szCs w:val="18"/>
                <w:color w:val="auto"/>
              </w:rPr>
              <w:t>Reinstatement</w:t>
            </w:r>
          </w:p>
        </w:tc>
        <w:tc>
          <w:tcPr>
            <w:tcW w:w="13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0000" w:type="dxa"/>
            <w:vAlign w:val="bottom"/>
            <w:gridSpan w:val="2"/>
          </w:tcPr>
          <w:p>
            <w:pPr>
              <w:spacing w:after="0"/>
              <w:rPr>
                <w:sz w:val="20"/>
                <w:szCs w:val="20"/>
                <w:color w:val="auto"/>
              </w:rPr>
            </w:pPr>
            <w:r>
              <w:rPr>
                <w:rFonts w:ascii="Arial" w:cs="Arial" w:eastAsia="Arial" w:hAnsi="Arial"/>
                <w:sz w:val="18"/>
                <w:szCs w:val="18"/>
                <w:color w:val="auto"/>
              </w:rPr>
              <w:t>ARTICLE XIV GUARANTEES</w:t>
            </w:r>
          </w:p>
        </w:tc>
        <w:tc>
          <w:tcPr>
            <w:tcW w:w="13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1540" w:type="dxa"/>
            <w:vAlign w:val="bottom"/>
          </w:tcPr>
          <w:p>
            <w:pPr>
              <w:ind w:left="360"/>
              <w:spacing w:after="0"/>
              <w:rPr>
                <w:sz w:val="20"/>
                <w:szCs w:val="20"/>
                <w:color w:val="auto"/>
              </w:rPr>
            </w:pPr>
            <w:r>
              <w:rPr>
                <w:rFonts w:ascii="Arial" w:cs="Arial" w:eastAsia="Arial" w:hAnsi="Arial"/>
                <w:sz w:val="18"/>
                <w:szCs w:val="18"/>
                <w:color w:val="auto"/>
              </w:rPr>
              <w:t>Section 14.01.</w:t>
            </w:r>
          </w:p>
        </w:tc>
        <w:tc>
          <w:tcPr>
            <w:tcW w:w="8460" w:type="dxa"/>
            <w:vAlign w:val="bottom"/>
          </w:tcPr>
          <w:p>
            <w:pPr>
              <w:ind w:left="160"/>
              <w:spacing w:after="0"/>
              <w:rPr>
                <w:sz w:val="20"/>
                <w:szCs w:val="20"/>
                <w:color w:val="auto"/>
              </w:rPr>
            </w:pPr>
            <w:r>
              <w:rPr>
                <w:rFonts w:ascii="Arial" w:cs="Arial" w:eastAsia="Arial" w:hAnsi="Arial"/>
                <w:sz w:val="18"/>
                <w:szCs w:val="18"/>
                <w:color w:val="auto"/>
              </w:rPr>
              <w:t>Guarantees</w:t>
            </w:r>
          </w:p>
        </w:tc>
        <w:tc>
          <w:tcPr>
            <w:tcW w:w="13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10000" w:type="dxa"/>
            <w:vAlign w:val="bottom"/>
            <w:gridSpan w:val="2"/>
          </w:tcPr>
          <w:p>
            <w:pPr>
              <w:spacing w:after="0"/>
              <w:rPr>
                <w:sz w:val="20"/>
                <w:szCs w:val="20"/>
                <w:color w:val="auto"/>
              </w:rPr>
            </w:pPr>
            <w:r>
              <w:rPr>
                <w:rFonts w:ascii="Arial" w:cs="Arial" w:eastAsia="Arial" w:hAnsi="Arial"/>
                <w:sz w:val="18"/>
                <w:szCs w:val="18"/>
                <w:color w:val="auto"/>
              </w:rPr>
              <w:t>ARTICLE XV SUBORDINATION OF SECURITIES</w:t>
            </w:r>
          </w:p>
        </w:tc>
        <w:tc>
          <w:tcPr>
            <w:tcW w:w="13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10"/>
        </w:trPr>
        <w:tc>
          <w:tcPr>
            <w:tcW w:w="1540" w:type="dxa"/>
            <w:vAlign w:val="bottom"/>
          </w:tcPr>
          <w:p>
            <w:pPr>
              <w:ind w:left="360"/>
              <w:spacing w:after="0"/>
              <w:rPr>
                <w:sz w:val="20"/>
                <w:szCs w:val="20"/>
                <w:color w:val="auto"/>
              </w:rPr>
            </w:pPr>
            <w:r>
              <w:rPr>
                <w:rFonts w:ascii="Arial" w:cs="Arial" w:eastAsia="Arial" w:hAnsi="Arial"/>
                <w:sz w:val="18"/>
                <w:szCs w:val="18"/>
                <w:color w:val="auto"/>
              </w:rPr>
              <w:t>Section 15.01.</w:t>
            </w:r>
          </w:p>
        </w:tc>
        <w:tc>
          <w:tcPr>
            <w:tcW w:w="8460" w:type="dxa"/>
            <w:vAlign w:val="bottom"/>
          </w:tcPr>
          <w:p>
            <w:pPr>
              <w:ind w:left="160"/>
              <w:spacing w:after="0"/>
              <w:rPr>
                <w:sz w:val="20"/>
                <w:szCs w:val="20"/>
                <w:color w:val="auto"/>
              </w:rPr>
            </w:pPr>
            <w:r>
              <w:rPr>
                <w:rFonts w:ascii="Arial" w:cs="Arial" w:eastAsia="Arial" w:hAnsi="Arial"/>
                <w:sz w:val="18"/>
                <w:szCs w:val="18"/>
                <w:color w:val="auto"/>
              </w:rPr>
              <w:t>Securities Subordinate to Senior Debt</w:t>
            </w:r>
          </w:p>
        </w:tc>
        <w:tc>
          <w:tcPr>
            <w:tcW w:w="13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15.02.</w:t>
            </w:r>
          </w:p>
        </w:tc>
        <w:tc>
          <w:tcPr>
            <w:tcW w:w="8460" w:type="dxa"/>
            <w:vAlign w:val="bottom"/>
          </w:tcPr>
          <w:p>
            <w:pPr>
              <w:ind w:left="160"/>
              <w:spacing w:after="0"/>
              <w:rPr>
                <w:sz w:val="20"/>
                <w:szCs w:val="20"/>
                <w:color w:val="auto"/>
              </w:rPr>
            </w:pPr>
            <w:r>
              <w:rPr>
                <w:rFonts w:ascii="Arial" w:cs="Arial" w:eastAsia="Arial" w:hAnsi="Arial"/>
                <w:sz w:val="18"/>
                <w:szCs w:val="18"/>
                <w:color w:val="auto"/>
              </w:rPr>
              <w:t>Payment Over of Proceeds Upon Dissolution, Etc</w:t>
            </w:r>
          </w:p>
        </w:tc>
        <w:tc>
          <w:tcPr>
            <w:tcW w:w="13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15.03.</w:t>
            </w:r>
          </w:p>
        </w:tc>
        <w:tc>
          <w:tcPr>
            <w:tcW w:w="8460" w:type="dxa"/>
            <w:vAlign w:val="bottom"/>
          </w:tcPr>
          <w:p>
            <w:pPr>
              <w:ind w:left="160"/>
              <w:spacing w:after="0"/>
              <w:rPr>
                <w:sz w:val="20"/>
                <w:szCs w:val="20"/>
                <w:color w:val="auto"/>
              </w:rPr>
            </w:pPr>
            <w:r>
              <w:rPr>
                <w:rFonts w:ascii="Arial" w:cs="Arial" w:eastAsia="Arial" w:hAnsi="Arial"/>
                <w:sz w:val="18"/>
                <w:szCs w:val="18"/>
                <w:color w:val="auto"/>
              </w:rPr>
              <w:t>Prior Payment to Senior Debt Upon Acceleration of Securities</w:t>
            </w:r>
          </w:p>
        </w:tc>
        <w:tc>
          <w:tcPr>
            <w:tcW w:w="13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15.04.</w:t>
            </w:r>
          </w:p>
        </w:tc>
        <w:tc>
          <w:tcPr>
            <w:tcW w:w="8460" w:type="dxa"/>
            <w:vAlign w:val="bottom"/>
          </w:tcPr>
          <w:p>
            <w:pPr>
              <w:ind w:left="160"/>
              <w:spacing w:after="0"/>
              <w:rPr>
                <w:sz w:val="20"/>
                <w:szCs w:val="20"/>
                <w:color w:val="auto"/>
              </w:rPr>
            </w:pPr>
            <w:r>
              <w:rPr>
                <w:rFonts w:ascii="Arial" w:cs="Arial" w:eastAsia="Arial" w:hAnsi="Arial"/>
                <w:sz w:val="18"/>
                <w:szCs w:val="18"/>
                <w:color w:val="auto"/>
              </w:rPr>
              <w:t>No Payment When Senior Debt in Default</w:t>
            </w:r>
          </w:p>
        </w:tc>
        <w:tc>
          <w:tcPr>
            <w:tcW w:w="13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15.05.</w:t>
            </w:r>
          </w:p>
        </w:tc>
        <w:tc>
          <w:tcPr>
            <w:tcW w:w="8460" w:type="dxa"/>
            <w:vAlign w:val="bottom"/>
          </w:tcPr>
          <w:p>
            <w:pPr>
              <w:ind w:left="160"/>
              <w:spacing w:after="0"/>
              <w:rPr>
                <w:sz w:val="20"/>
                <w:szCs w:val="20"/>
                <w:color w:val="auto"/>
              </w:rPr>
            </w:pPr>
            <w:r>
              <w:rPr>
                <w:rFonts w:ascii="Arial" w:cs="Arial" w:eastAsia="Arial" w:hAnsi="Arial"/>
                <w:sz w:val="18"/>
                <w:szCs w:val="18"/>
                <w:color w:val="auto"/>
              </w:rPr>
              <w:t>Payment Permitted in Certain Situations</w:t>
            </w:r>
          </w:p>
        </w:tc>
        <w:tc>
          <w:tcPr>
            <w:tcW w:w="13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15.06.</w:t>
            </w:r>
          </w:p>
        </w:tc>
        <w:tc>
          <w:tcPr>
            <w:tcW w:w="8460" w:type="dxa"/>
            <w:vAlign w:val="bottom"/>
          </w:tcPr>
          <w:p>
            <w:pPr>
              <w:ind w:left="160"/>
              <w:spacing w:after="0"/>
              <w:rPr>
                <w:sz w:val="20"/>
                <w:szCs w:val="20"/>
                <w:color w:val="auto"/>
              </w:rPr>
            </w:pPr>
            <w:r>
              <w:rPr>
                <w:rFonts w:ascii="Arial" w:cs="Arial" w:eastAsia="Arial" w:hAnsi="Arial"/>
                <w:sz w:val="18"/>
                <w:szCs w:val="18"/>
                <w:color w:val="auto"/>
              </w:rPr>
              <w:t>Subrogation to Rights of Holders of Senior Debt</w:t>
            </w:r>
          </w:p>
        </w:tc>
        <w:tc>
          <w:tcPr>
            <w:tcW w:w="13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15.07.</w:t>
            </w:r>
          </w:p>
        </w:tc>
        <w:tc>
          <w:tcPr>
            <w:tcW w:w="8460" w:type="dxa"/>
            <w:vAlign w:val="bottom"/>
          </w:tcPr>
          <w:p>
            <w:pPr>
              <w:ind w:left="160"/>
              <w:spacing w:after="0"/>
              <w:rPr>
                <w:sz w:val="20"/>
                <w:szCs w:val="20"/>
                <w:color w:val="auto"/>
              </w:rPr>
            </w:pPr>
            <w:r>
              <w:rPr>
                <w:rFonts w:ascii="Arial" w:cs="Arial" w:eastAsia="Arial" w:hAnsi="Arial"/>
                <w:sz w:val="18"/>
                <w:szCs w:val="18"/>
                <w:color w:val="auto"/>
              </w:rPr>
              <w:t>Provisions Solely to Define Relative Rights</w:t>
            </w:r>
          </w:p>
        </w:tc>
        <w:tc>
          <w:tcPr>
            <w:tcW w:w="13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15.08.</w:t>
            </w:r>
          </w:p>
        </w:tc>
        <w:tc>
          <w:tcPr>
            <w:tcW w:w="8460" w:type="dxa"/>
            <w:vAlign w:val="bottom"/>
          </w:tcPr>
          <w:p>
            <w:pPr>
              <w:ind w:left="160"/>
              <w:spacing w:after="0"/>
              <w:rPr>
                <w:sz w:val="20"/>
                <w:szCs w:val="20"/>
                <w:color w:val="auto"/>
              </w:rPr>
            </w:pPr>
            <w:r>
              <w:rPr>
                <w:rFonts w:ascii="Arial" w:cs="Arial" w:eastAsia="Arial" w:hAnsi="Arial"/>
                <w:sz w:val="18"/>
                <w:szCs w:val="18"/>
                <w:color w:val="auto"/>
              </w:rPr>
              <w:t>Trustee to Effectuate Subordination</w:t>
            </w:r>
          </w:p>
        </w:tc>
        <w:tc>
          <w:tcPr>
            <w:tcW w:w="13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15.09.</w:t>
            </w:r>
          </w:p>
        </w:tc>
        <w:tc>
          <w:tcPr>
            <w:tcW w:w="8460" w:type="dxa"/>
            <w:vAlign w:val="bottom"/>
          </w:tcPr>
          <w:p>
            <w:pPr>
              <w:ind w:left="160"/>
              <w:spacing w:after="0"/>
              <w:rPr>
                <w:sz w:val="20"/>
                <w:szCs w:val="20"/>
                <w:color w:val="auto"/>
              </w:rPr>
            </w:pPr>
            <w:r>
              <w:rPr>
                <w:rFonts w:ascii="Arial" w:cs="Arial" w:eastAsia="Arial" w:hAnsi="Arial"/>
                <w:sz w:val="18"/>
                <w:szCs w:val="18"/>
                <w:color w:val="auto"/>
              </w:rPr>
              <w:t>No Waiver of Subordination Provisions</w:t>
            </w:r>
          </w:p>
        </w:tc>
        <w:tc>
          <w:tcPr>
            <w:tcW w:w="13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15.10.</w:t>
            </w:r>
          </w:p>
        </w:tc>
        <w:tc>
          <w:tcPr>
            <w:tcW w:w="8460" w:type="dxa"/>
            <w:vAlign w:val="bottom"/>
          </w:tcPr>
          <w:p>
            <w:pPr>
              <w:ind w:left="160"/>
              <w:spacing w:after="0"/>
              <w:rPr>
                <w:sz w:val="20"/>
                <w:szCs w:val="20"/>
                <w:color w:val="auto"/>
              </w:rPr>
            </w:pPr>
            <w:r>
              <w:rPr>
                <w:rFonts w:ascii="Arial" w:cs="Arial" w:eastAsia="Arial" w:hAnsi="Arial"/>
                <w:sz w:val="18"/>
                <w:szCs w:val="18"/>
                <w:color w:val="auto"/>
              </w:rPr>
              <w:t>Notice to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15.11.</w:t>
            </w:r>
          </w:p>
        </w:tc>
        <w:tc>
          <w:tcPr>
            <w:tcW w:w="8460" w:type="dxa"/>
            <w:vAlign w:val="bottom"/>
          </w:tcPr>
          <w:p>
            <w:pPr>
              <w:ind w:left="160"/>
              <w:spacing w:after="0"/>
              <w:rPr>
                <w:sz w:val="20"/>
                <w:szCs w:val="20"/>
                <w:color w:val="auto"/>
              </w:rPr>
            </w:pPr>
            <w:r>
              <w:rPr>
                <w:rFonts w:ascii="Arial" w:cs="Arial" w:eastAsia="Arial" w:hAnsi="Arial"/>
                <w:sz w:val="18"/>
                <w:szCs w:val="18"/>
                <w:color w:val="auto"/>
              </w:rPr>
              <w:t>Reliance on Judicial Order or Certificate of Liquidating Agent</w:t>
            </w:r>
          </w:p>
        </w:tc>
        <w:tc>
          <w:tcPr>
            <w:tcW w:w="13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15.12.</w:t>
            </w:r>
          </w:p>
        </w:tc>
        <w:tc>
          <w:tcPr>
            <w:tcW w:w="8460" w:type="dxa"/>
            <w:vAlign w:val="bottom"/>
          </w:tcPr>
          <w:p>
            <w:pPr>
              <w:ind w:left="160"/>
              <w:spacing w:after="0"/>
              <w:rPr>
                <w:sz w:val="20"/>
                <w:szCs w:val="20"/>
                <w:color w:val="auto"/>
              </w:rPr>
            </w:pPr>
            <w:r>
              <w:rPr>
                <w:rFonts w:ascii="Arial" w:cs="Arial" w:eastAsia="Arial" w:hAnsi="Arial"/>
                <w:sz w:val="18"/>
                <w:szCs w:val="18"/>
                <w:color w:val="auto"/>
              </w:rPr>
              <w:t>Trustee Not Fiduciary For Holders of Senior Debt</w:t>
            </w:r>
          </w:p>
        </w:tc>
        <w:tc>
          <w:tcPr>
            <w:tcW w:w="13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15.13.</w:t>
            </w:r>
          </w:p>
        </w:tc>
        <w:tc>
          <w:tcPr>
            <w:tcW w:w="8460" w:type="dxa"/>
            <w:vAlign w:val="bottom"/>
          </w:tcPr>
          <w:p>
            <w:pPr>
              <w:ind w:left="160"/>
              <w:spacing w:after="0"/>
              <w:rPr>
                <w:sz w:val="20"/>
                <w:szCs w:val="20"/>
                <w:color w:val="auto"/>
              </w:rPr>
            </w:pPr>
            <w:r>
              <w:rPr>
                <w:rFonts w:ascii="Arial" w:cs="Arial" w:eastAsia="Arial" w:hAnsi="Arial"/>
                <w:sz w:val="18"/>
                <w:szCs w:val="18"/>
                <w:color w:val="auto"/>
              </w:rPr>
              <w:t>Rights of Trustee as Holder of Senior Debt; Preservation of Trustees Rights</w:t>
            </w:r>
          </w:p>
        </w:tc>
        <w:tc>
          <w:tcPr>
            <w:tcW w:w="13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15.14.</w:t>
            </w:r>
          </w:p>
        </w:tc>
        <w:tc>
          <w:tcPr>
            <w:tcW w:w="8460" w:type="dxa"/>
            <w:vAlign w:val="bottom"/>
          </w:tcPr>
          <w:p>
            <w:pPr>
              <w:ind w:left="160"/>
              <w:spacing w:after="0"/>
              <w:rPr>
                <w:sz w:val="20"/>
                <w:szCs w:val="20"/>
                <w:color w:val="auto"/>
              </w:rPr>
            </w:pPr>
            <w:r>
              <w:rPr>
                <w:rFonts w:ascii="Arial" w:cs="Arial" w:eastAsia="Arial" w:hAnsi="Arial"/>
                <w:sz w:val="18"/>
                <w:szCs w:val="18"/>
                <w:color w:val="auto"/>
              </w:rPr>
              <w:t>Article Applicable to Paying Agents</w:t>
            </w:r>
          </w:p>
        </w:tc>
        <w:tc>
          <w:tcPr>
            <w:tcW w:w="1320" w:type="dxa"/>
            <w:vAlign w:val="bottom"/>
          </w:tcPr>
          <w:p>
            <w:pPr>
              <w:jc w:val="right"/>
              <w:spacing w:after="0"/>
              <w:rPr>
                <w:sz w:val="20"/>
                <w:szCs w:val="20"/>
                <w:color w:val="auto"/>
              </w:rPr>
            </w:pPr>
            <w:r>
              <w:rPr>
                <w:rFonts w:ascii="Arial" w:cs="Arial" w:eastAsia="Arial" w:hAnsi="Arial"/>
                <w:sz w:val="18"/>
                <w:szCs w:val="18"/>
                <w:color w:val="auto"/>
              </w:rPr>
              <w:t>81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20"/>
          </w:cols>
          <w:pgMar w:left="240" w:top="274" w:right="339" w:bottom="1440" w:gutter="0" w:footer="0" w:header="0"/>
        </w:sectPr>
      </w:pPr>
    </w:p>
    <w:bookmarkStart w:id="142" w:name="page143"/>
    <w:bookmarkEnd w:id="142"/>
    <w:p>
      <w:pPr>
        <w:ind w:firstLine="456"/>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INDENTURE, dated as of [ ], [ ], among DIAMONDBACK ENERGY, INC., a corporation duly organized and existing under the laws of the State of Delaware (herein called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having its principal office at 500 West Texas, Suite 1225, Midland, Texas 79701, the Guarantors (as</w:t>
      </w:r>
    </w:p>
    <w:p>
      <w:pPr>
        <w:ind w:right="540"/>
        <w:spacing w:after="0" w:line="261" w:lineRule="auto"/>
        <w:rPr>
          <w:sz w:val="20"/>
          <w:szCs w:val="20"/>
          <w:color w:val="auto"/>
        </w:rPr>
      </w:pPr>
      <w:r>
        <w:rPr>
          <w:rFonts w:ascii="Arial" w:cs="Arial" w:eastAsia="Arial" w:hAnsi="Arial"/>
          <w:sz w:val="18"/>
          <w:szCs w:val="18"/>
          <w:color w:val="auto"/>
        </w:rPr>
        <w:t>defined hereinafter), each having its principal office at 500 West Texas, Suite 1225, Midland, Texas 79701, and [ ], as Trustee (herein called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ind w:right="700" w:firstLine="456"/>
        <w:spacing w:after="0" w:line="342" w:lineRule="auto"/>
        <w:rPr>
          <w:sz w:val="20"/>
          <w:szCs w:val="20"/>
          <w:color w:val="auto"/>
        </w:rPr>
      </w:pPr>
      <w:r>
        <w:rPr>
          <w:rFonts w:ascii="Arial" w:cs="Arial" w:eastAsia="Arial" w:hAnsi="Arial"/>
          <w:sz w:val="16"/>
          <w:szCs w:val="16"/>
          <w:color w:val="auto"/>
        </w:rPr>
        <w:t>The Company has duly authorized the execution and delivery of this Indenture to provide for the issuance from time to time of its unsecured debentures, notes or other evidences of indebtedness (herein called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to be issued in one or more series as in this Indenture provided.</w:t>
      </w:r>
    </w:p>
    <w:p>
      <w:pPr>
        <w:spacing w:after="0" w:line="12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Each of the Initial Guarantors has duly authorized the execution and delivery of this Indenture to provide for the guarantee by such Initial Guarantor of such series of Securities as to which such guarantee has been made applicable as provided herein.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things necessary to make this Indenture a valid agreement of the Company and of the Initial Guarantors in accordance with its terms have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done.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NOW, THEREFORE, THIS INDENTURE WITNESSETH:</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agreed, for the equal and proportionate benefit of all Holders of the Securities or of series thereof, as follows: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 AND OTHER PROVISIONS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GENERAL APPLICATION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r>
        <w:rPr>
          <w:rFonts w:ascii="Arial" w:cs="Arial" w:eastAsia="Arial" w:hAnsi="Arial"/>
          <w:sz w:val="17"/>
          <w:szCs w:val="17"/>
          <w:color w:val="auto"/>
        </w:rPr>
        <w:t>. For all purposes of this Indenture, except as otherwise expressly provided or unless the context otherwise requires:</w:t>
      </w:r>
    </w:p>
    <w:p>
      <w:pPr>
        <w:spacing w:after="0" w:line="129" w:lineRule="exact"/>
        <w:rPr>
          <w:sz w:val="20"/>
          <w:szCs w:val="20"/>
          <w:color w:val="auto"/>
        </w:rPr>
      </w:pPr>
    </w:p>
    <w:p>
      <w:pPr>
        <w:ind w:left="1160" w:hanging="257"/>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terms defined in this Article have the meanings assigned to them in this Article and include the plural as well as the singular;</w:t>
      </w:r>
    </w:p>
    <w:p>
      <w:pPr>
        <w:spacing w:after="0" w:line="117" w:lineRule="exact"/>
        <w:rPr>
          <w:rFonts w:ascii="Arial" w:cs="Arial" w:eastAsia="Arial" w:hAnsi="Arial"/>
          <w:sz w:val="18"/>
          <w:szCs w:val="18"/>
          <w:color w:val="auto"/>
        </w:rPr>
      </w:pPr>
    </w:p>
    <w:p>
      <w:pPr>
        <w:ind w:left="460" w:right="20" w:firstLine="443"/>
        <w:spacing w:after="0" w:line="277" w:lineRule="auto"/>
        <w:tabs>
          <w:tab w:leader="none" w:pos="1153"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either directly or by reference therein, have the meanings assigned to them therein;</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GAAP;</w:t>
      </w:r>
    </w:p>
    <w:p>
      <w:pPr>
        <w:spacing w:after="0" w:line="117" w:lineRule="exact"/>
        <w:rPr>
          <w:rFonts w:ascii="Arial" w:cs="Arial" w:eastAsia="Arial" w:hAnsi="Arial"/>
          <w:sz w:val="18"/>
          <w:szCs w:val="18"/>
          <w:color w:val="auto"/>
        </w:rPr>
      </w:pPr>
    </w:p>
    <w:p>
      <w:pPr>
        <w:ind w:left="460" w:right="60" w:firstLine="443"/>
        <w:spacing w:after="0" w:line="277" w:lineRule="auto"/>
        <w:tabs>
          <w:tab w:leader="none" w:pos="1153" w:val="left"/>
        </w:tabs>
        <w:numPr>
          <w:ilvl w:val="0"/>
          <w:numId w:val="99"/>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“Article” or a “Section” refers to an Article or a Section, as the case may be, of this Indenture;</w:t>
      </w:r>
    </w:p>
    <w:p>
      <w:pPr>
        <w:sectPr>
          <w:pgSz w:w="11900" w:h="16838" w:orient="portrait"/>
          <w:cols w:equalWidth="0" w:num="1">
            <w:col w:w="11380"/>
          </w:cols>
          <w:pgMar w:left="240" w:top="274" w:right="279" w:bottom="1440" w:gutter="0" w:footer="0" w:header="0"/>
        </w:sectPr>
      </w:pPr>
    </w:p>
    <w:bookmarkStart w:id="143" w:name="page144"/>
    <w:bookmarkEnd w:id="143"/>
    <w:p>
      <w:pPr>
        <w:ind w:left="460" w:right="200" w:firstLine="443"/>
        <w:spacing w:after="0" w:line="277" w:lineRule="auto"/>
        <w:tabs>
          <w:tab w:leader="none" w:pos="1153" w:val="left"/>
        </w:tabs>
        <w:numPr>
          <w:ilvl w:val="0"/>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words “herein,” “hereof” and “hereunder” and other words of similar import refer to this Indenture as a whole and not to any particular Article, Section or other subdivision;</w:t>
      </w:r>
    </w:p>
    <w:p>
      <w:pPr>
        <w:spacing w:after="0" w:line="62" w:lineRule="exact"/>
        <w:rPr>
          <w:rFonts w:ascii="Arial" w:cs="Arial" w:eastAsia="Arial" w:hAnsi="Arial"/>
          <w:sz w:val="18"/>
          <w:szCs w:val="18"/>
          <w:color w:val="auto"/>
        </w:rPr>
      </w:pPr>
    </w:p>
    <w:p>
      <w:pPr>
        <w:ind w:left="460" w:right="40" w:firstLine="443"/>
        <w:spacing w:after="0" w:line="273" w:lineRule="auto"/>
        <w:tabs>
          <w:tab w:leader="none" w:pos="115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when used with respect to any Security, the words “convert,” “converted” and “conversion” are intended to refer to the right of the Holder or the Company to convert or exchange such Security into or for securities or other property in accordance with such terms, if any, as may hereafter be specified for such Security as contemplated by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and these words are not intended to refer to any right of the Holder or the Company to exchange such Security for other Securities of the same series and like tenor pursuant to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w:t>
      </w:r>
      <w:r>
        <w:rPr>
          <w:rFonts w:ascii="Arial" w:cs="Arial" w:eastAsia="Arial" w:hAnsi="Arial"/>
          <w:sz w:val="17"/>
          <w:szCs w:val="17"/>
          <w:u w:val="single" w:color="auto"/>
          <w:color w:val="auto"/>
        </w:rPr>
        <w:t>3.06</w:t>
      </w:r>
      <w:r>
        <w:rPr>
          <w:rFonts w:ascii="Arial" w:cs="Arial" w:eastAsia="Arial" w:hAnsi="Arial"/>
          <w:sz w:val="17"/>
          <w:szCs w:val="17"/>
          <w:color w:val="auto"/>
        </w:rPr>
        <w:t xml:space="preserve">, </w:t>
      </w:r>
      <w:r>
        <w:rPr>
          <w:rFonts w:ascii="Arial" w:cs="Arial" w:eastAsia="Arial" w:hAnsi="Arial"/>
          <w:sz w:val="17"/>
          <w:szCs w:val="17"/>
          <w:u w:val="single" w:color="auto"/>
          <w:color w:val="auto"/>
        </w:rPr>
        <w:t>9.06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11.07</w:t>
      </w:r>
      <w:r>
        <w:rPr>
          <w:rFonts w:ascii="Arial" w:cs="Arial" w:eastAsia="Arial" w:hAnsi="Arial"/>
          <w:sz w:val="17"/>
          <w:szCs w:val="17"/>
          <w:color w:val="auto"/>
        </w:rPr>
        <w:t xml:space="preserve"> or another similar provision of this Indenture, unless the context otherwise requires; and references herein to the terms of any Security that may be converted mean such terms as may be specified for such Security as contemplated in </w:t>
      </w:r>
      <w:r>
        <w:rPr>
          <w:rFonts w:ascii="Arial" w:cs="Arial" w:eastAsia="Arial" w:hAnsi="Arial"/>
          <w:sz w:val="17"/>
          <w:szCs w:val="17"/>
          <w:u w:val="single" w:color="auto"/>
          <w:color w:val="auto"/>
        </w:rPr>
        <w:t>Section 3.01</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jc w:val="both"/>
        <w:ind w:left="460" w:right="100" w:firstLine="443"/>
        <w:spacing w:after="0" w:line="264" w:lineRule="auto"/>
        <w:tabs>
          <w:tab w:leader="none" w:pos="115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“duly provided for” and other words of similar import with respect to any amount or property required to be paid or delivered, as applicable, shall include, without limitation, having made such amount or property available for payment or delivery;</w:t>
      </w:r>
    </w:p>
    <w:p>
      <w:pPr>
        <w:spacing w:after="0" w:line="73" w:lineRule="exact"/>
        <w:rPr>
          <w:rFonts w:ascii="Arial" w:cs="Arial" w:eastAsia="Arial" w:hAnsi="Arial"/>
          <w:sz w:val="18"/>
          <w:szCs w:val="18"/>
          <w:color w:val="auto"/>
        </w:rPr>
      </w:pPr>
    </w:p>
    <w:p>
      <w:pPr>
        <w:ind w:left="460" w:right="260" w:firstLine="443"/>
        <w:spacing w:after="0" w:line="277" w:lineRule="auto"/>
        <w:tabs>
          <w:tab w:leader="none" w:pos="115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shall be deemed to include substitute, replacement of successor sections or rules adopted by the Commission from time to time;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when the words “includes” or “including” are used herein, they shall be deemed to be followed by the words “without limitation;” and</w:t>
      </w:r>
    </w:p>
    <w:p>
      <w:pPr>
        <w:spacing w:after="0" w:line="128" w:lineRule="exact"/>
        <w:rPr>
          <w:rFonts w:ascii="Arial" w:cs="Arial" w:eastAsia="Arial" w:hAnsi="Arial"/>
          <w:sz w:val="17"/>
          <w:szCs w:val="17"/>
          <w:color w:val="auto"/>
        </w:rPr>
      </w:pPr>
    </w:p>
    <w:p>
      <w:pPr>
        <w:ind w:left="1240" w:hanging="337"/>
        <w:spacing w:after="0"/>
        <w:tabs>
          <w:tab w:leader="none" w:pos="12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w:t>
      </w:r>
      <w:r>
        <w:rPr>
          <w:rFonts w:ascii="Arial" w:cs="Arial" w:eastAsia="Arial" w:hAnsi="Arial"/>
          <w:sz w:val="18"/>
          <w:szCs w:val="18"/>
          <w:color w:val="auto"/>
        </w:rPr>
        <w:t xml:space="preserve">,” when used with respect to any Holder, has the meaning specified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Procedures</w:t>
      </w:r>
      <w:r>
        <w:rPr>
          <w:rFonts w:ascii="Arial" w:cs="Arial" w:eastAsia="Arial" w:hAnsi="Arial"/>
          <w:sz w:val="18"/>
          <w:szCs w:val="18"/>
          <w:color w:val="auto"/>
        </w:rPr>
        <w:t>” of a Depositary means, with respect to any matter at any time, the policies and procedures of such Depositary, if any, that are applicable to such matter at such time.</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Authenticating Agent</w:t>
      </w:r>
      <w:r>
        <w:rPr>
          <w:rFonts w:ascii="Arial" w:cs="Arial" w:eastAsia="Arial" w:hAnsi="Arial"/>
          <w:sz w:val="18"/>
          <w:szCs w:val="18"/>
          <w:color w:val="auto"/>
        </w:rPr>
        <w:t>” means, when used with respect to Securities of any series, any Person authorized by the Trustee to act on behalf of the Trustee to authenticate the Securities of such series.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means either the board of directors of the Company or any duly authorized committee of that board.</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144" w:name="page145"/>
    <w:bookmarkEnd w:id="144"/>
    <w:p>
      <w:pPr>
        <w:ind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Board Resolution</w:t>
      </w:r>
      <w:r>
        <w:rPr>
          <w:rFonts w:ascii="Arial" w:cs="Arial" w:eastAsia="Arial" w:hAnsi="Arial"/>
          <w:sz w:val="16"/>
          <w:szCs w:val="16"/>
          <w:color w:val="auto"/>
        </w:rPr>
        <w:t>” means a copy of a resolution certified by the Secretary or an Assistant Secretary of the Company to have been duly adopted by the Board of Directors and to be in full force and effect on the date of such certification, and delivered to the Trustee. Where any provision of this Indenture refers to action to be taken pursuant to a Board Resolution (including the establishment of any series of the Securities and the forms and terms thereof), such action may be taken by any officer or employee of the Company authorized to take such action by the Board of Directors as evidenced by a Board Resolution.</w:t>
      </w:r>
    </w:p>
    <w:p>
      <w:pPr>
        <w:spacing w:after="0" w:line="15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xml:space="preserve">,” when used with respect to any Place of Payment, means each Monday, Tuesday, Wednesday, Thursday and Friday which is not a day on which banking institutions in that Place of Payment are authorized or obligated by law or executive order to close;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when used with respect to any Security, “Business Day” may have such other meaning, if any, as may be specified for such Security as contemplated by </w:t>
      </w:r>
      <w:r>
        <w:rPr>
          <w:rFonts w:ascii="Arial" w:cs="Arial" w:eastAsia="Arial" w:hAnsi="Arial"/>
          <w:sz w:val="16"/>
          <w:szCs w:val="16"/>
          <w:u w:val="single" w:color="auto"/>
          <w:color w:val="auto"/>
        </w:rPr>
        <w:t>Section 3.01</w:t>
      </w:r>
      <w:r>
        <w:rPr>
          <w:rFonts w:ascii="Arial" w:cs="Arial" w:eastAsia="Arial" w:hAnsi="Arial"/>
          <w:sz w:val="16"/>
          <w:szCs w:val="16"/>
          <w:color w:val="auto"/>
        </w:rPr>
        <w: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Stock</w:t>
      </w:r>
      <w:r>
        <w:rPr>
          <w:rFonts w:ascii="Arial" w:cs="Arial" w:eastAsia="Arial" w:hAnsi="Arial"/>
          <w:sz w:val="18"/>
          <w:szCs w:val="18"/>
          <w:color w:val="auto"/>
        </w:rPr>
        <w:t>” means:</w:t>
      </w:r>
    </w:p>
    <w:p>
      <w:pPr>
        <w:spacing w:after="0" w:line="117" w:lineRule="exact"/>
        <w:rPr>
          <w:sz w:val="20"/>
          <w:szCs w:val="20"/>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the case of a limited liability company or similar entity, any membership or similar interests therein;</w:t>
      </w:r>
    </w:p>
    <w:p>
      <w:pPr>
        <w:spacing w:after="0" w:line="117" w:lineRule="exact"/>
        <w:rPr>
          <w:rFonts w:ascii="Arial" w:cs="Arial" w:eastAsia="Arial" w:hAnsi="Arial"/>
          <w:sz w:val="18"/>
          <w:szCs w:val="18"/>
          <w:color w:val="auto"/>
        </w:rPr>
      </w:pPr>
    </w:p>
    <w:p>
      <w:pPr>
        <w:ind w:left="460" w:right="60" w:firstLine="443"/>
        <w:spacing w:after="0" w:line="277" w:lineRule="auto"/>
        <w:tabs>
          <w:tab w:leader="none" w:pos="115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the case of a partnership, partnership interests (whether general or limited); and</w:t>
      </w:r>
    </w:p>
    <w:p>
      <w:pPr>
        <w:spacing w:after="0" w:line="117" w:lineRule="exact"/>
        <w:rPr>
          <w:rFonts w:ascii="Arial" w:cs="Arial" w:eastAsia="Arial" w:hAnsi="Arial"/>
          <w:sz w:val="18"/>
          <w:szCs w:val="18"/>
          <w:color w:val="auto"/>
        </w:rPr>
      </w:pPr>
    </w:p>
    <w:p>
      <w:pPr>
        <w:ind w:left="460" w:right="100" w:firstLine="443"/>
        <w:spacing w:after="0" w:line="277" w:lineRule="auto"/>
        <w:tabs>
          <w:tab w:leader="none" w:pos="115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w:t>
      </w:r>
    </w:p>
    <w:p>
      <w:pPr>
        <w:spacing w:after="0" w:line="170"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8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the Person named as the “Company” in the first paragraph of this instrument until a successor Person shall have become such pursuant to the applicable provisions of this Indenture, and thereafter “Company” shall mean such successor Person.</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Request</w:t>
      </w:r>
      <w:r>
        <w:rPr>
          <w:rFonts w:ascii="Arial" w:cs="Arial" w:eastAsia="Arial" w:hAnsi="Arial"/>
          <w:sz w:val="18"/>
          <w:szCs w:val="18"/>
          <w:color w:val="auto"/>
        </w:rPr>
        <w:t>” or “</w:t>
      </w:r>
      <w:r>
        <w:rPr>
          <w:rFonts w:ascii="Arial" w:cs="Arial" w:eastAsia="Arial" w:hAnsi="Arial"/>
          <w:sz w:val="18"/>
          <w:szCs w:val="18"/>
          <w:b w:val="1"/>
          <w:bCs w:val="1"/>
          <w:i w:val="1"/>
          <w:iCs w:val="1"/>
          <w:color w:val="auto"/>
        </w:rPr>
        <w:t>Company Order</w:t>
      </w:r>
      <w:r>
        <w:rPr>
          <w:rFonts w:ascii="Arial" w:cs="Arial" w:eastAsia="Arial" w:hAnsi="Arial"/>
          <w:sz w:val="18"/>
          <w:szCs w:val="18"/>
          <w:color w:val="auto"/>
        </w:rPr>
        <w:t>” means a written request or order signed in the name of the Company by any two of the following: a Chairman of the Board, a Chief Executive Officer, a President, a Vice President, a Treasurer, an Assistant Treasurer, its Secretary or an Assistant Secretary of the Company, or any other officer or officers of the Company designated in writing by or pursuant to authority of the Board of Directors and delivered to the Trustee from time to time.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Trust Office</w:t>
      </w:r>
      <w:r>
        <w:rPr>
          <w:rFonts w:ascii="Arial" w:cs="Arial" w:eastAsia="Arial" w:hAnsi="Arial"/>
          <w:sz w:val="16"/>
          <w:szCs w:val="16"/>
          <w:color w:val="auto"/>
        </w:rPr>
        <w:t>” means the designated office of the Trustee at which at any particular time its corporate trust business shall be administered</w:t>
      </w:r>
    </w:p>
    <w:p>
      <w:pPr>
        <w:spacing w:after="0" w:line="4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and which, at the date hereof, is located at , attention , or at such other address as the Trustee may designate from time to time by notice to the Holders and the Company, or the principal corporate trust office of any successor Trustee.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45" w:name="page146"/>
    <w:bookmarkEnd w:id="145"/>
    <w:p>
      <w:pPr>
        <w:ind w:right="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means a corporation, association, company (including a limited liability company), joint-stock company, business trust or other business entity (other than a partnership).</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Covenant Defeasance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13.03</w:t>
      </w:r>
      <w:r>
        <w:rPr>
          <w:rFonts w:ascii="Arial" w:cs="Arial" w:eastAsia="Arial" w:hAnsi="Arial"/>
          <w:sz w:val="18"/>
          <w:szCs w:val="18"/>
          <w:color w:val="auto"/>
        </w:rPr>
        <w:t>.</w:t>
      </w:r>
    </w:p>
    <w:p>
      <w:pPr>
        <w:spacing w:after="0" w:line="225" w:lineRule="exact"/>
        <w:rPr>
          <w:sz w:val="20"/>
          <w:szCs w:val="20"/>
          <w:color w:val="auto"/>
        </w:rPr>
      </w:pPr>
    </w:p>
    <w:p>
      <w:pPr>
        <w:jc w:val="both"/>
        <w:ind w:right="260" w:firstLine="45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Credit Agreement</w:t>
      </w:r>
      <w:r>
        <w:rPr>
          <w:rFonts w:ascii="Arial" w:cs="Arial" w:eastAsia="Arial" w:hAnsi="Arial"/>
          <w:sz w:val="17"/>
          <w:szCs w:val="17"/>
          <w:color w:val="auto"/>
        </w:rPr>
        <w:t>” means the credit agreement dated as of , , among the Company, the financial institutions party thereto as lenders, and , as administrative agent, together with related documents thereto including any guarantee agreements and security documents, as amended,</w:t>
      </w:r>
    </w:p>
    <w:p>
      <w:pPr>
        <w:jc w:val="both"/>
        <w:ind w:right="240"/>
        <w:spacing w:after="0" w:line="302" w:lineRule="auto"/>
        <w:rPr>
          <w:sz w:val="20"/>
          <w:szCs w:val="20"/>
          <w:color w:val="auto"/>
        </w:rPr>
      </w:pPr>
      <w:r>
        <w:rPr>
          <w:rFonts w:ascii="Arial" w:cs="Arial" w:eastAsia="Arial" w:hAnsi="Arial"/>
          <w:sz w:val="16"/>
          <w:szCs w:val="16"/>
          <w:color w:val="auto"/>
        </w:rPr>
        <w:t>modified supplemented, restated, renewed, refunded, replaced, restructured repaid or refinanced from time to time (including any agreement extending the maturity thereof or increasing the amount of available borrowings thereunder or adding entities as additional borrowers or guarantors thereunder) whether with the original agents and lenders or otherwise and whether provided under the original credit agreement or other credit agreements or otherwise.</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Defaulted Interest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3.07</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Defeasance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13.02</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Depositary</w:t>
      </w:r>
      <w:r>
        <w:rPr>
          <w:rFonts w:ascii="Arial" w:cs="Arial" w:eastAsia="Arial" w:hAnsi="Arial"/>
          <w:sz w:val="17"/>
          <w:szCs w:val="17"/>
          <w:color w:val="auto"/>
        </w:rPr>
        <w:t xml:space="preserve">” means, with respect to Securities of any series issuable in whole or in part in the form of one or more Global Securities, a clearing agency registered under the Exchange Act that is designated to act as depositary for such Securities as contemplated by </w:t>
      </w:r>
      <w:r>
        <w:rPr>
          <w:rFonts w:ascii="Arial" w:cs="Arial" w:eastAsia="Arial" w:hAnsi="Arial"/>
          <w:sz w:val="17"/>
          <w:szCs w:val="17"/>
          <w:u w:val="single" w:color="auto"/>
          <w:color w:val="auto"/>
        </w:rPr>
        <w:t>Section 3.01</w:t>
      </w:r>
      <w:r>
        <w:rPr>
          <w:rFonts w:ascii="Arial" w:cs="Arial" w:eastAsia="Arial" w:hAnsi="Arial"/>
          <w:sz w:val="17"/>
          <w:szCs w:val="17"/>
          <w:color w:val="auto"/>
        </w:rPr>
        <w: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DTC</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225"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and any statute successor thereto, in each case as amended from time to time.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the Public Company Accounting Oversight Board or in such other statements by such other entity as have been approved by a significant segment of the accounting profession, which are in effect from time to time. All ratio computations based on GAAP contained in this Indenture will be computed in conformity with GAAP.</w:t>
      </w:r>
    </w:p>
    <w:p>
      <w:pPr>
        <w:spacing w:after="0" w:line="154"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Security</w:t>
      </w:r>
      <w:r>
        <w:rPr>
          <w:rFonts w:ascii="Arial" w:cs="Arial" w:eastAsia="Arial" w:hAnsi="Arial"/>
          <w:sz w:val="18"/>
          <w:szCs w:val="18"/>
          <w:color w:val="auto"/>
        </w:rPr>
        <w:t xml:space="preserve">” means a Security that evidences all or part of the Securities of any series and bears the legend set forth in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(or such legend as may be specified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for such Securities).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146" w:name="page147"/>
    <w:bookmarkEnd w:id="146"/>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Guarantee</w:t>
      </w:r>
      <w:r>
        <w:rPr>
          <w:rFonts w:ascii="Arial" w:cs="Arial" w:eastAsia="Arial" w:hAnsi="Arial"/>
          <w:sz w:val="18"/>
          <w:szCs w:val="18"/>
          <w:color w:val="auto"/>
        </w:rPr>
        <w:t xml:space="preserve">” means a guarantee of any Securities by a Guarantor as contemplated by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“Guarantee,” when used with respect to any Security or with respect to the Securities of any series, means a guarantee of such Security or of the Securities of such series, respectively, by a Guarantor of such Security or of the Securities of such series, respectively, as contemplated by </w:t>
      </w:r>
      <w:r>
        <w:rPr>
          <w:rFonts w:ascii="Arial" w:cs="Arial" w:eastAsia="Arial" w:hAnsi="Arial"/>
          <w:sz w:val="18"/>
          <w:szCs w:val="18"/>
          <w:u w:val="single" w:color="auto"/>
          <w:color w:val="auto"/>
        </w:rPr>
        <w:t>Article XIV</w:t>
      </w:r>
      <w:r>
        <w:rPr>
          <w:rFonts w:ascii="Arial" w:cs="Arial" w:eastAsia="Arial" w:hAnsi="Arial"/>
          <w:sz w:val="18"/>
          <w:szCs w:val="18"/>
          <w:color w:val="auto"/>
        </w:rPr>
        <w:t>.</w:t>
      </w:r>
    </w:p>
    <w:p>
      <w:pPr>
        <w:spacing w:after="0" w:line="18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Guarantor</w:t>
      </w:r>
      <w:r>
        <w:rPr>
          <w:rFonts w:ascii="Arial" w:cs="Arial" w:eastAsia="Arial" w:hAnsi="Arial"/>
          <w:sz w:val="16"/>
          <w:szCs w:val="16"/>
          <w:color w:val="auto"/>
        </w:rPr>
        <w:t xml:space="preserve">” means each of the Initial Guarantors and any other Person who shall have become a Guarantor under this Indenture pursuant to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hereof, in each case unless and until a successor Person shall have become a successor thereto pursuant to the applicable provisions of this Indenture in place thereof, and thereafter references to such Guarantor shall mean such successor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term “Guarantor,” when used, with respect to the Securities of any series, means the Persons who shall from time to time be the Guarantors of Securities of such series as contemplated by </w:t>
      </w:r>
      <w:r>
        <w:rPr>
          <w:rFonts w:ascii="Arial" w:cs="Arial" w:eastAsia="Arial" w:hAnsi="Arial"/>
          <w:sz w:val="16"/>
          <w:szCs w:val="16"/>
          <w:u w:val="single" w:color="auto"/>
          <w:color w:val="auto"/>
        </w:rPr>
        <w:t>Article XIV</w:t>
      </w:r>
      <w:r>
        <w:rPr>
          <w:rFonts w:ascii="Arial" w:cs="Arial" w:eastAsia="Arial" w:hAnsi="Arial"/>
          <w:sz w:val="16"/>
          <w:szCs w:val="16"/>
          <w:color w:val="auto"/>
        </w:rPr>
        <w:t>; and (ii) any Person constituting a Guarantor with respect to the Securities of a series shall cease to constitute a Guarantor with respect to Securities of such series when its Guarantee is released with respect to Securities of such series in accordance with the terms of this Indenture.</w:t>
      </w:r>
    </w:p>
    <w:p>
      <w:pPr>
        <w:spacing w:after="0" w:line="16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Guarantor’s Board of Directors</w:t>
      </w:r>
      <w:r>
        <w:rPr>
          <w:rFonts w:ascii="Arial" w:cs="Arial" w:eastAsia="Arial" w:hAnsi="Arial"/>
          <w:sz w:val="18"/>
          <w:szCs w:val="18"/>
          <w:color w:val="auto"/>
        </w:rPr>
        <w:t>” means, with respect to any Guarantor, either the board of directors (or other governing body) of such Guarantor or any duly authorized committee of such board (or other governing body).</w:t>
      </w:r>
    </w:p>
    <w:p>
      <w:pPr>
        <w:spacing w:after="0" w:line="170"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Guarantor’s Board Resolution</w:t>
      </w:r>
      <w:r>
        <w:rPr>
          <w:rFonts w:ascii="Arial" w:cs="Arial" w:eastAsia="Arial" w:hAnsi="Arial"/>
          <w:sz w:val="18"/>
          <w:szCs w:val="18"/>
          <w:color w:val="auto"/>
        </w:rPr>
        <w:t>” means, with respect to any Guarantor, a copy of a resolution certified by the Secretary or an Assistant Secretary of such Guarantor to have been duly adopted by such Guarantor’s Board of Directors and to be in full force and effect on the date of such certification, and delivered to the Trustee. Where any provision of this Indenture refers to action to be taken pursuant to a Guarantor’s Board Resolution, such action may be taken by any officer or employee of such Guarantor authorized to take such action by such Guarantor’s Board of Directors as evidenced by a Guarantor’s Board Resolution.</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Guarantor’s Officers’ Certificate</w:t>
      </w:r>
      <w:r>
        <w:rPr>
          <w:rFonts w:ascii="Arial" w:cs="Arial" w:eastAsia="Arial" w:hAnsi="Arial"/>
          <w:sz w:val="18"/>
          <w:szCs w:val="18"/>
          <w:color w:val="auto"/>
        </w:rPr>
        <w:t>” means, with respect to any Guarantor, a certificate signed by any two of the following: a Chairman of the Board, a Chief Executive Officer, a President, a Vice President, a Treasurer, an Assistant Treasurer, a Secretary or an Assistant Secretary of such Guarantor, or any other officer or officers of such Guarantor designated in a writing by or pursuant to authority of such Guarantor’s Board of Directors and delivered to the Trustee from time to time.</w:t>
      </w:r>
    </w:p>
    <w:p>
      <w:pPr>
        <w:spacing w:after="0" w:line="18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Guarantor Request</w:t>
      </w:r>
      <w:r>
        <w:rPr>
          <w:rFonts w:ascii="Arial" w:cs="Arial" w:eastAsia="Arial" w:hAnsi="Arial"/>
          <w:sz w:val="17"/>
          <w:szCs w:val="17"/>
          <w:color w:val="auto"/>
        </w:rPr>
        <w:t>” or “</w:t>
      </w:r>
      <w:r>
        <w:rPr>
          <w:rFonts w:ascii="Arial" w:cs="Arial" w:eastAsia="Arial" w:hAnsi="Arial"/>
          <w:sz w:val="17"/>
          <w:szCs w:val="17"/>
          <w:b w:val="1"/>
          <w:bCs w:val="1"/>
          <w:i w:val="1"/>
          <w:iCs w:val="1"/>
          <w:color w:val="auto"/>
        </w:rPr>
        <w:t>Guarantor Order</w:t>
      </w:r>
      <w:r>
        <w:rPr>
          <w:rFonts w:ascii="Arial" w:cs="Arial" w:eastAsia="Arial" w:hAnsi="Arial"/>
          <w:sz w:val="17"/>
          <w:szCs w:val="17"/>
          <w:color w:val="auto"/>
        </w:rPr>
        <w:t>” means, with respect to any Guarantor, a written request or order signed in the name of such Guarantor by any two of the following: a Chairman of the Board, a Chief Executive Officer, a President, a Vice President, a Treasurer, an Assistant Treasurer, its Secretary or an Assistant Secretary of such Guarantor, or any other officer or officers of such Guarantor designated in writing by or pursuant to authority of such Guarantor’s Board of Directors and delivered to the Trustee from time to time. In the event that Guarantor’s Requests relating to the same matter shall be delivered by two or more Guarantors on the same date, such requests may be combined into a single document, provided that the requests made by each Guarantor therein shall be several and not joint requests of each such Guarantor.</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147" w:name="page148"/>
    <w:bookmarkEnd w:id="14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a Person in whose name a Security is, at the time of determination, registered in the Security Register.</w:t>
      </w:r>
    </w:p>
    <w:p>
      <w:pPr>
        <w:spacing w:after="0" w:line="225"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Indebtedness</w:t>
      </w:r>
      <w:r>
        <w:rPr>
          <w:rFonts w:ascii="Arial" w:cs="Arial" w:eastAsia="Arial" w:hAnsi="Arial"/>
          <w:sz w:val="16"/>
          <w:szCs w:val="16"/>
          <w:color w:val="auto"/>
        </w:rPr>
        <w:t>” means, with respect to any Person, without duplication, any indebtedness of such Person, whether or not contingent: (i) in respect of borrowed money; (ii) evidenced by bonds, notes, debentures or similar instruments or letters of credit (or reimbursement agreements in respect thereof);</w:t>
      </w:r>
    </w:p>
    <w:p>
      <w:pPr>
        <w:ind w:firstLine="8"/>
        <w:spacing w:after="0" w:line="290" w:lineRule="auto"/>
        <w:tabs>
          <w:tab w:leader="none" w:pos="31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respect of banker’s acceptances; (iv) representing capital lease obligations; (v) representing the balance deferred and unpaid of the purchase price of any property, except any such balance that constitutes an accrued expense or trade payable; or (vi) representing any hedging obligation, if and to the extent any of the foregoing indebtedness (other than letters of credit and hedging obligations) would appear as a liability upon a balance sheet of such Person prepared in accordance with GAAP. In addition, the term “Indebtedness” includes (x) all indebtedness of any other Person, of the types described above in clauses (i) through (vi), secured by a lien on any asset of such Person (whether or not such indebtedness is assumed by such Person), and (y) to the extent not otherwise included, the guarantee by such Person of any indebtedness of any other Person of the types described above in clauses (i) through (vi).</w:t>
      </w:r>
    </w:p>
    <w:p>
      <w:pPr>
        <w:spacing w:after="0" w:line="164"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xml:space="preserve">” shall also include the terms of any particular series or specific Securities within a series and of any Guarantees thereof established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w:t>
      </w:r>
    </w:p>
    <w:p>
      <w:pPr>
        <w:spacing w:after="0" w:line="18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Guarantor</w:t>
      </w:r>
      <w:r>
        <w:rPr>
          <w:rFonts w:ascii="Arial" w:cs="Arial" w:eastAsia="Arial" w:hAnsi="Arial"/>
          <w:sz w:val="18"/>
          <w:szCs w:val="18"/>
          <w:color w:val="auto"/>
        </w:rPr>
        <w:t>” or “</w:t>
      </w:r>
      <w:r>
        <w:rPr>
          <w:rFonts w:ascii="Arial" w:cs="Arial" w:eastAsia="Arial" w:hAnsi="Arial"/>
          <w:sz w:val="18"/>
          <w:szCs w:val="18"/>
          <w:b w:val="1"/>
          <w:bCs w:val="1"/>
          <w:i w:val="1"/>
          <w:iCs w:val="1"/>
          <w:color w:val="auto"/>
        </w:rPr>
        <w:t>Initial Guarantors</w:t>
      </w:r>
      <w:r>
        <w:rPr>
          <w:rFonts w:ascii="Arial" w:cs="Arial" w:eastAsia="Arial" w:hAnsi="Arial"/>
          <w:sz w:val="18"/>
          <w:szCs w:val="18"/>
          <w:color w:val="auto"/>
        </w:rPr>
        <w:t>” means Diamondback O&amp;G LLC, a Delaware limited liability company, Diamondback E&amp;P LLC, a Delaware limited liability company, and Viper Energy Partners LLC, a Delaware limited liability company.</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w:t>
      </w:r>
      <w:r>
        <w:rPr>
          <w:rFonts w:ascii="Arial" w:cs="Arial" w:eastAsia="Arial" w:hAnsi="Arial"/>
          <w:sz w:val="18"/>
          <w:szCs w:val="18"/>
          <w:color w:val="auto"/>
        </w:rPr>
        <w:t>,” when used with respect to an Original Issue Discount Security which by its terms bears interest only after Maturity, means interest payable after Maturity.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Interest Payment Date</w:t>
      </w:r>
      <w:r>
        <w:rPr>
          <w:rFonts w:ascii="Arial" w:cs="Arial" w:eastAsia="Arial" w:hAnsi="Arial"/>
          <w:sz w:val="17"/>
          <w:szCs w:val="17"/>
          <w:color w:val="auto"/>
        </w:rPr>
        <w:t>,” when used with respect to any Security, means the Stated Maturity of an installment of interest on such Security.</w:t>
      </w:r>
    </w:p>
    <w:p>
      <w:pPr>
        <w:spacing w:after="0" w:line="237"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Maturity</w:t>
      </w:r>
      <w:r>
        <w:rPr>
          <w:rFonts w:ascii="Arial" w:cs="Arial" w:eastAsia="Arial" w:hAnsi="Arial"/>
          <w:sz w:val="16"/>
          <w:szCs w:val="16"/>
          <w:color w:val="auto"/>
        </w:rPr>
        <w:t>,”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of Default</w:t>
      </w:r>
      <w:r>
        <w:rPr>
          <w:rFonts w:ascii="Arial" w:cs="Arial" w:eastAsia="Arial" w:hAnsi="Arial"/>
          <w:sz w:val="18"/>
          <w:szCs w:val="18"/>
          <w:color w:val="auto"/>
        </w:rPr>
        <w:t xml:space="preserve">” means a written notice of the kind specified in </w:t>
      </w:r>
      <w:r>
        <w:rPr>
          <w:rFonts w:ascii="Arial" w:cs="Arial" w:eastAsia="Arial" w:hAnsi="Arial"/>
          <w:sz w:val="18"/>
          <w:szCs w:val="18"/>
          <w:u w:val="single" w:color="auto"/>
          <w:color w:val="auto"/>
        </w:rPr>
        <w:t>Section 5.01(4)</w:t>
      </w:r>
      <w:r>
        <w:rPr>
          <w:rFonts w:ascii="Arial" w:cs="Arial" w:eastAsia="Arial" w:hAnsi="Arial"/>
          <w:sz w:val="18"/>
          <w:szCs w:val="18"/>
          <w:color w:val="auto"/>
        </w:rPr>
        <w:t>.</w:t>
      </w:r>
    </w:p>
    <w:p>
      <w:pPr>
        <w:spacing w:after="0" w:line="225"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with respect to any Person, the Chairman of the Board, the Chief Executive Officer, the President, the Chief Operating Officer, the Chief Financial Officer, the Treasurer, any Assistant Treasurer, the Controller, the Secretary or any Vice-President of such Person or in the case of a Person that is a partnership that has no such officers, any such officer of a general partner of such Person.</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4" w:right="319" w:bottom="1440" w:gutter="0" w:footer="0" w:header="0"/>
        </w:sectPr>
      </w:pPr>
    </w:p>
    <w:bookmarkStart w:id="148" w:name="page149"/>
    <w:bookmarkEnd w:id="148"/>
    <w:p>
      <w:pPr>
        <w:ind w:right="3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xml:space="preserve">” means a certificate signed on behalf of the Company by at least two Officers of the Company, one of whom shall be the principal executive officer, the principal financial officer, the treasurer or the principal accounting officer of the Company, that meets the requirements of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Opinion of Counsel</w:t>
      </w:r>
      <w:r>
        <w:rPr>
          <w:rFonts w:ascii="Arial" w:cs="Arial" w:eastAsia="Arial" w:hAnsi="Arial"/>
          <w:sz w:val="18"/>
          <w:szCs w:val="18"/>
          <w:color w:val="auto"/>
        </w:rPr>
        <w:t xml:space="preserve">” means a written opinion from legal counsel (who may be an employee of or counsel for the Company or any Affiliate thereof) who is reasonably acceptable to the Trustee that meets the requirements of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Issue Discount Security</w:t>
      </w:r>
      <w:r>
        <w:rPr>
          <w:rFonts w:ascii="Arial" w:cs="Arial" w:eastAsia="Arial" w:hAnsi="Arial"/>
          <w:sz w:val="18"/>
          <w:szCs w:val="18"/>
          <w:color w:val="auto"/>
        </w:rPr>
        <w:t xml:space="preserve">” means any Security which provides for an amount less than the principal amount thereof to be due and payable upon a declaration of acceleration of the Maturity thereof pursuant to </w:t>
      </w:r>
      <w:r>
        <w:rPr>
          <w:rFonts w:ascii="Arial" w:cs="Arial" w:eastAsia="Arial" w:hAnsi="Arial"/>
          <w:sz w:val="18"/>
          <w:szCs w:val="18"/>
          <w:u w:val="single" w:color="auto"/>
          <w:color w:val="auto"/>
        </w:rPr>
        <w:t>Section 5.02</w:t>
      </w:r>
      <w:r>
        <w:rPr>
          <w:rFonts w:ascii="Arial" w:cs="Arial" w:eastAsia="Arial" w:hAnsi="Arial"/>
          <w:sz w:val="18"/>
          <w:szCs w:val="18"/>
          <w:color w:val="auto"/>
        </w:rPr>
        <w:t>.</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Outstanding</w:t>
      </w:r>
      <w:r>
        <w:rPr>
          <w:rFonts w:ascii="Arial" w:cs="Arial" w:eastAsia="Arial" w:hAnsi="Arial"/>
          <w:sz w:val="18"/>
          <w:szCs w:val="18"/>
          <w:color w:val="auto"/>
        </w:rPr>
        <w:t>,” when used with respect to Securities, means, as of the date of determination, all Securities theretofore authenticated and delivered under this Indenture, except:</w:t>
      </w:r>
    </w:p>
    <w:p>
      <w:pPr>
        <w:spacing w:after="0" w:line="62" w:lineRule="exact"/>
        <w:rPr>
          <w:sz w:val="20"/>
          <w:szCs w:val="20"/>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117" w:lineRule="exact"/>
        <w:rPr>
          <w:rFonts w:ascii="Arial" w:cs="Arial" w:eastAsia="Arial" w:hAnsi="Arial"/>
          <w:sz w:val="18"/>
          <w:szCs w:val="18"/>
          <w:color w:val="auto"/>
        </w:rPr>
      </w:pPr>
    </w:p>
    <w:p>
      <w:pPr>
        <w:ind w:left="460" w:right="40" w:firstLine="443"/>
        <w:spacing w:after="0" w:line="259" w:lineRule="auto"/>
        <w:tabs>
          <w:tab w:leader="none" w:pos="115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Securities are to be redeemed, notice of such redemption has been duly given pursuant to this Indenture or provision therefor satisfactory to the Trustee has been made;</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Securities as to which Defeasance has been effected pursuant to </w:t>
      </w:r>
      <w:r>
        <w:rPr>
          <w:rFonts w:ascii="Arial" w:cs="Arial" w:eastAsia="Arial" w:hAnsi="Arial"/>
          <w:sz w:val="18"/>
          <w:szCs w:val="18"/>
          <w:u w:val="single" w:color="auto"/>
          <w:color w:val="auto"/>
        </w:rPr>
        <w:t>Section 13.02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80" w:firstLine="443"/>
        <w:spacing w:after="0" w:line="312" w:lineRule="auto"/>
        <w:tabs>
          <w:tab w:leader="none" w:pos="115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Securities which have been paid pursuant to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protected purchaser in whose hands such Securities are valid obligations of the Company; and</w:t>
      </w:r>
    </w:p>
    <w:p>
      <w:pPr>
        <w:spacing w:after="0" w:line="38" w:lineRule="exact"/>
        <w:rPr>
          <w:rFonts w:ascii="Arial" w:cs="Arial" w:eastAsia="Arial" w:hAnsi="Arial"/>
          <w:sz w:val="16"/>
          <w:szCs w:val="16"/>
          <w:color w:val="auto"/>
        </w:rPr>
      </w:pPr>
    </w:p>
    <w:p>
      <w:pPr>
        <w:ind w:left="460" w:right="140" w:firstLine="443"/>
        <w:spacing w:after="0" w:line="342" w:lineRule="auto"/>
        <w:tabs>
          <w:tab w:leader="none" w:pos="115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Securities as to which any property deliverable upon conversion thereof has been delivered (or such delivery has been duly provided for), or as to which any other particular conditions have been satisfied, in each case as may be provided for such Securities as contemplated in </w:t>
      </w:r>
      <w:r>
        <w:rPr>
          <w:rFonts w:ascii="Arial" w:cs="Arial" w:eastAsia="Arial" w:hAnsi="Arial"/>
          <w:sz w:val="16"/>
          <w:szCs w:val="16"/>
          <w:u w:val="single" w:color="auto"/>
          <w:color w:val="auto"/>
        </w:rPr>
        <w:t>Section 3.01</w:t>
      </w:r>
      <w:r>
        <w:rPr>
          <w:rFonts w:ascii="Arial" w:cs="Arial" w:eastAsia="Arial" w:hAnsi="Arial"/>
          <w:sz w:val="16"/>
          <w:szCs w:val="16"/>
          <w:color w:val="auto"/>
        </w:rPr>
        <w:t>;</w:t>
      </w:r>
    </w:p>
    <w:p>
      <w:pPr>
        <w:spacing w:after="0" w:line="16"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 determining whether the Holders of the requisite principal amount of the Outstanding Securities have given, made or taken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w:t>
      </w:r>
      <w:r>
        <w:rPr>
          <w:rFonts w:ascii="Arial" w:cs="Arial" w:eastAsia="Arial" w:hAnsi="Arial"/>
          <w:sz w:val="18"/>
          <w:szCs w:val="18"/>
          <w:u w:val="single" w:color="auto"/>
          <w:color w:val="auto"/>
        </w:rPr>
        <w:t>Section 5.02</w:t>
      </w:r>
      <w:r>
        <w:rPr>
          <w:rFonts w:ascii="Arial" w:cs="Arial" w:eastAsia="Arial" w:hAnsi="Arial"/>
          <w:sz w:val="18"/>
          <w:szCs w:val="18"/>
          <w:color w:val="auto"/>
        </w:rPr>
        <w:t>, (B) if, as of such date, the principal amount payable at the Stated Maturity of a Security is not determinable, the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49" w:name="page150"/>
    <w:bookmarkEnd w:id="14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principal amount of such Security which shall be deemed to be Outstanding shall be the amount as specified or determined as contemplated by </w:t>
      </w:r>
      <w:r>
        <w:rPr>
          <w:rFonts w:ascii="Arial" w:cs="Arial" w:eastAsia="Arial" w:hAnsi="Arial"/>
          <w:sz w:val="16"/>
          <w:szCs w:val="16"/>
          <w:u w:val="single" w:color="auto"/>
          <w:color w:val="auto"/>
        </w:rPr>
        <w:t>Section 3.01</w:t>
      </w:r>
      <w:r>
        <w:rPr>
          <w:rFonts w:ascii="Arial" w:cs="Arial" w:eastAsia="Arial" w:hAnsi="Arial"/>
          <w:sz w:val="16"/>
          <w:szCs w:val="16"/>
          <w:color w:val="auto"/>
        </w:rPr>
        <w:t>,</w:t>
      </w:r>
    </w:p>
    <w:p>
      <w:pPr>
        <w:spacing w:after="0" w:line="46" w:lineRule="exact"/>
        <w:rPr>
          <w:sz w:val="20"/>
          <w:szCs w:val="20"/>
          <w:color w:val="auto"/>
        </w:rPr>
      </w:pPr>
    </w:p>
    <w:p>
      <w:pPr>
        <w:ind w:firstLine="8"/>
        <w:spacing w:after="0" w:line="287" w:lineRule="auto"/>
        <w:tabs>
          <w:tab w:leader="none" w:pos="28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the principal amount of a Security denominated in one or more foreign currencies, composite currencies or currency units which shall be deemed to be Outstanding shall be the U.S. dollar equivalent, determined as of such date in the manner provided as contemplated by </w:t>
      </w:r>
      <w:r>
        <w:rPr>
          <w:rFonts w:ascii="Arial" w:cs="Arial" w:eastAsia="Arial" w:hAnsi="Arial"/>
          <w:sz w:val="16"/>
          <w:szCs w:val="16"/>
          <w:u w:val="single" w:color="auto"/>
          <w:color w:val="auto"/>
        </w:rPr>
        <w:t>Section 3.01</w:t>
      </w:r>
      <w:r>
        <w:rPr>
          <w:rFonts w:ascii="Arial" w:cs="Arial" w:eastAsia="Arial" w:hAnsi="Arial"/>
          <w:sz w:val="16"/>
          <w:szCs w:val="16"/>
          <w:color w:val="auto"/>
        </w:rPr>
        <w:t>, of the principal amount of such Security (or, in the case of a Security described in Clause (A) or (B) above, of the amount determined as provided in such Clause), and (D) Securities owned by the Company, any Guarantor of the Securities or any other obligor upon the Securities or any Affiliate of the Company or any such Guarantor or of such other obligor shall be disregarded and deemed not to be Outstanding, except that, in determining whether the Trustee shall be protected in relying upon any such request, demand, authorization, direction, notice, consent, waiver or other action, only Securities which a Responsible Officer of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Guarantor of such Securities or any other obligor upon the Securities or any Affiliate of the Company or a Guarantor of the Securities or such other obligor.</w:t>
      </w:r>
    </w:p>
    <w:p>
      <w:pPr>
        <w:spacing w:after="0" w:line="166"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Paying Agent</w:t>
      </w:r>
      <w:r>
        <w:rPr>
          <w:rFonts w:ascii="Arial" w:cs="Arial" w:eastAsia="Arial" w:hAnsi="Arial"/>
          <w:sz w:val="18"/>
          <w:szCs w:val="18"/>
          <w:color w:val="auto"/>
        </w:rPr>
        <w:t>” means any Person authorized by the Company to pay the principal of or any premium or interest on any Securities on behalf of the Company.</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partnership, joint venture, trust, unincorporated organization or government or any agency or political subdivision thereof.</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Place of Payment</w:t>
      </w:r>
      <w:r>
        <w:rPr>
          <w:rFonts w:ascii="Arial" w:cs="Arial" w:eastAsia="Arial" w:hAnsi="Arial"/>
          <w:sz w:val="18"/>
          <w:szCs w:val="18"/>
          <w:color w:val="auto"/>
        </w:rPr>
        <w:t xml:space="preserve">,” when used with respect to the Securities of any series and subject to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means the place or places where the principal of and any premium and interest on the Securities of that series are payable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Predecessor Security</w:t>
      </w:r>
      <w:r>
        <w:rPr>
          <w:rFonts w:ascii="Arial" w:cs="Arial" w:eastAsia="Arial" w:hAnsi="Arial"/>
          <w:sz w:val="18"/>
          <w:szCs w:val="18"/>
          <w:color w:val="auto"/>
        </w:rPr>
        <w:t xml:space="preserve">” of any particular Security means every previous Security evidencing all or a portion of the same debt as that evidenced by such particular Security; and, for the purposes of this definition, any Security authenticated and delivered under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in exchange for or in lieu of a mutilated, destroyed, lost or wrongfully taken Security shall be deemed to evidence the same debt as the mutilated, destroyed, lost or wrongfully taken Security.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Redemption Date</w:t>
      </w:r>
      <w:r>
        <w:rPr>
          <w:rFonts w:ascii="Arial" w:cs="Arial" w:eastAsia="Arial" w:hAnsi="Arial"/>
          <w:sz w:val="16"/>
          <w:szCs w:val="16"/>
          <w:color w:val="auto"/>
        </w:rPr>
        <w:t>,” when used with respect to any Security to be redeemed, means the date fixed for such redemption by or pursuant to this Indenture.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Redemption Price</w:t>
      </w:r>
      <w:r>
        <w:rPr>
          <w:rFonts w:ascii="Arial" w:cs="Arial" w:eastAsia="Arial" w:hAnsi="Arial"/>
          <w:sz w:val="16"/>
          <w:szCs w:val="16"/>
          <w:color w:val="auto"/>
        </w:rPr>
        <w:t>,” when used with respect to any Security to be redeemed, means the price at which it is to be redeemed pursuant to this Indenture.</w:t>
      </w:r>
    </w:p>
    <w:p>
      <w:pPr>
        <w:spacing w:after="0" w:line="24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Regular Record Date</w:t>
      </w:r>
      <w:r>
        <w:rPr>
          <w:rFonts w:ascii="Arial" w:cs="Arial" w:eastAsia="Arial" w:hAnsi="Arial"/>
          <w:sz w:val="18"/>
          <w:szCs w:val="18"/>
          <w:color w:val="auto"/>
        </w:rPr>
        <w:t xml:space="preserve">” for the interest payable on any Interest Payment Date on the Securities of any series, means the date specified for that purpose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Responsible Officer</w:t>
      </w:r>
      <w:r>
        <w:rPr>
          <w:rFonts w:ascii="Arial" w:cs="Arial" w:eastAsia="Arial" w:hAnsi="Arial"/>
          <w:sz w:val="18"/>
          <w:szCs w:val="18"/>
          <w:color w:val="auto"/>
        </w:rPr>
        <w:t>,” when used with respect to the Trustee, means any officer within the corporate trust department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50" w:name="page151"/>
    <w:bookmarkEnd w:id="150"/>
    <w:p>
      <w:pPr>
        <w:ind w:right="1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has the meaning stated in the first recital of this Indenture and more particularly means any Securities authenticated and delivered under this Indenture.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and any statute successor thereto, in each case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Register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Security Registrar</w:t>
      </w:r>
      <w:r>
        <w:rPr>
          <w:rFonts w:ascii="Arial" w:cs="Arial" w:eastAsia="Arial" w:hAnsi="Arial"/>
          <w:sz w:val="18"/>
          <w:szCs w:val="18"/>
          <w:color w:val="auto"/>
        </w:rPr>
        <w:t xml:space="preserve">” have the respective meanings specified in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Senior Debt</w:t>
      </w:r>
      <w:r>
        <w:rPr>
          <w:rFonts w:ascii="Arial" w:cs="Arial" w:eastAsia="Arial" w:hAnsi="Arial"/>
          <w:sz w:val="16"/>
          <w:szCs w:val="16"/>
          <w:color w:val="auto"/>
        </w:rPr>
        <w:t>” means, with respect to an Issuer: (a) Indebtedness of such Issuer under or in respect of the Credit Agreement, whether for principal, interest (including interest accruing after the filing of a petition initiating any proceeding pursuant to any bankruptcy law, whether or not the claim for such interest is allowed as a claim in such proceeding), reimbursement obligations, fees, commissions, expenses, indemnities or other amounts; and (b) any other Indebtedness of such Issuer permitted under the terms of this Indenture, unless the instrument under which such Indebtedness is incurred expressly provides that it is on a parity in right of payment with or subordinated in right of payment to the Securities. Notwithstanding the foregoing, “Senior Debt” will not include: (i) Equity Interests; (ii) any liability for federal, state, local or other taxes due or owed by such Issuer; (iii) any Indebtedness of such Issuer to any Subsidiaries or Affiliates of the Company; (iv) any trade payables; or (v) any Indebtedness that is incurred in violation of this Indenture.</w:t>
      </w:r>
    </w:p>
    <w:p>
      <w:pPr>
        <w:spacing w:after="0" w:line="16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Guarantor Debt</w:t>
      </w:r>
      <w:r>
        <w:rPr>
          <w:rFonts w:ascii="Arial" w:cs="Arial" w:eastAsia="Arial" w:hAnsi="Arial"/>
          <w:sz w:val="18"/>
          <w:szCs w:val="18"/>
          <w:color w:val="auto"/>
        </w:rPr>
        <w:t>” means, with respect to any Guarantor: (a) Indebtedness of such Guarantor under or in respect of the Credit Agreement, whether for principal, interest (including interest accruing after the filing of a petition initiating any proceeding pursuant to any bankruptcy law, whether or not the claim for such interest is allowed as a claim in such proceeding), reimbursement obligations, fees, commissions, expenses, indemnities or other amounts; and (b) any other Indebtedness permitted under the terms of this Indenture, unless the instrument under which such Indebtedness is incurred expressly provides that it is on a parity in right of payment with or subordinated in right of payment to such Guarantor’s Guarantee of the Securities. Notwithstanding the foregoing, “Senior Guarantor Debt” will not include: (i) Equity Interests; (ii) any liability for federal, state, local or other taxes due or owed by such Guarantor; (iii) any Indebtedness of such Guarantor to any of its Subsidiaries or Affiliates; (iv) any trade payables; or (v) any Indebtedness that is incurred in violation of this Indenture.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Record Date</w:t>
      </w:r>
      <w:r>
        <w:rPr>
          <w:rFonts w:ascii="Arial" w:cs="Arial" w:eastAsia="Arial" w:hAnsi="Arial"/>
          <w:sz w:val="18"/>
          <w:szCs w:val="18"/>
          <w:color w:val="auto"/>
        </w:rPr>
        <w:t xml:space="preserve">” for the payment of any Defaulted Interest, means a date fixed by the Trustee pursuant to </w:t>
      </w:r>
      <w:r>
        <w:rPr>
          <w:rFonts w:ascii="Arial" w:cs="Arial" w:eastAsia="Arial" w:hAnsi="Arial"/>
          <w:sz w:val="18"/>
          <w:szCs w:val="18"/>
          <w:u w:val="single" w:color="auto"/>
          <w:color w:val="auto"/>
        </w:rPr>
        <w:t>Section 3.07</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Stated Maturity</w:t>
      </w:r>
      <w:r>
        <w:rPr>
          <w:rFonts w:ascii="Arial" w:cs="Arial" w:eastAsia="Arial" w:hAnsi="Arial"/>
          <w:sz w:val="17"/>
          <w:szCs w:val="17"/>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4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with respect to any Person, means any (i) corporation (other than a partnership) of which the outstanding capital stock having a majority of the votes entitled to be cast in the election of directors, managers or trustees of such corporation under ordinary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51" w:name="page152"/>
    <w:bookmarkEnd w:id="15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circumstances shall at the time be owned, directly or indirectly, by such Person or any other Person of which a majority of the voting interests under ordinary circumstances is at the time, directly or indirectly, owned by such Person or (ii) 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 Indenture Act</w:t>
      </w:r>
      <w:r>
        <w:rPr>
          <w:rFonts w:ascii="Arial" w:cs="Arial" w:eastAsia="Arial" w:hAnsi="Arial"/>
          <w:sz w:val="18"/>
          <w:szCs w:val="18"/>
          <w:color w:val="auto"/>
        </w:rPr>
        <w:t xml:space="preserve">” means the Trust Indenture Act of 1939 as in force at the date as of which this Indenture was executed;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the Trust Indenture Act of 1939 is amended after such date, “Trust Indenture Act” means, to the extent required by any such amendment, the Trust Indenture Act of 1939 as so amended.</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Uniform Commercial Code</w:t>
      </w:r>
      <w:r>
        <w:rPr>
          <w:rFonts w:ascii="Arial" w:cs="Arial" w:eastAsia="Arial" w:hAnsi="Arial"/>
          <w:sz w:val="18"/>
          <w:szCs w:val="18"/>
          <w:color w:val="auto"/>
        </w:rPr>
        <w:t>” means the Uniform Commercial Code in effect in the State of Delaware or the State of New York, as applicable, in each case as amended from time to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 Government Obligation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13.04</w:t>
      </w:r>
      <w:r>
        <w:rPr>
          <w:rFonts w:ascii="Arial" w:cs="Arial" w:eastAsia="Arial" w:hAnsi="Arial"/>
          <w:sz w:val="18"/>
          <w:szCs w:val="18"/>
          <w:color w:val="auto"/>
        </w:rPr>
        <w:t>.</w:t>
      </w:r>
    </w:p>
    <w:p>
      <w:pPr>
        <w:spacing w:after="0" w:line="225"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Vice President</w:t>
      </w:r>
      <w:r>
        <w:rPr>
          <w:rFonts w:ascii="Arial" w:cs="Arial" w:eastAsia="Arial" w:hAnsi="Arial"/>
          <w:sz w:val="16"/>
          <w:szCs w:val="16"/>
          <w:color w:val="auto"/>
        </w:rPr>
        <w:t>,” when used with respect to the Company, any Guarantor or the Trustee, means any executive vice president and any senior vice president, whether or not designated by a number or a word or words added before or after the title “executive vice president” or “senior vice president.”</w:t>
      </w:r>
    </w:p>
    <w:p>
      <w:pPr>
        <w:spacing w:after="0" w:line="124"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Compliance Certificates and Opinions</w:t>
      </w:r>
      <w:r>
        <w:rPr>
          <w:rFonts w:ascii="Arial" w:cs="Arial" w:eastAsia="Arial" w:hAnsi="Arial"/>
          <w:sz w:val="17"/>
          <w:szCs w:val="17"/>
          <w:color w:val="auto"/>
        </w:rPr>
        <w:t>. Upon any application or request by the Company or a Guarantor to the Trustee to take any action under any provision of this Indenture, the Company or such Guarantor, as the case may be, shall furnish to the Trustee such certificates and opinions as may be required under the Trust Indenture Act. Each such certificate or opinion shall be given in the form of an Officers’ Certificate, if to be given by an officer of the Company, or a Guarantor’s Officers’ Certificate, if to be given by an officer of any Guarantor, or an Opinion of Counsel, if to be given by counsel, and shall comply with the requirements of the Trust Indenture Act and any other requirements set forth in this Indenture.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shall include:</w:t>
      </w:r>
    </w:p>
    <w:p>
      <w:pPr>
        <w:spacing w:after="0" w:line="117" w:lineRule="exact"/>
        <w:rPr>
          <w:sz w:val="20"/>
          <w:szCs w:val="20"/>
          <w:color w:val="auto"/>
        </w:rPr>
      </w:pPr>
    </w:p>
    <w:p>
      <w:pPr>
        <w:ind w:left="1160" w:hanging="257"/>
        <w:spacing w:after="0"/>
        <w:tabs>
          <w:tab w:leader="none" w:pos="11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covenant or condition and the definitions herein relating</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102" w:lineRule="exact"/>
        <w:rPr>
          <w:rFonts w:ascii="Arial" w:cs="Arial" w:eastAsia="Arial" w:hAnsi="Arial"/>
          <w:sz w:val="16"/>
          <w:szCs w:val="16"/>
          <w:color w:val="auto"/>
        </w:rPr>
      </w:pPr>
    </w:p>
    <w:p>
      <w:pPr>
        <w:ind w:left="460" w:right="460" w:firstLine="443"/>
        <w:spacing w:after="0" w:line="277" w:lineRule="auto"/>
        <w:tabs>
          <w:tab w:leader="none" w:pos="115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52" w:name="page153"/>
    <w:bookmarkEnd w:id="152"/>
    <w:p>
      <w:pPr>
        <w:ind w:left="460" w:right="520" w:firstLine="443"/>
        <w:spacing w:after="0" w:line="277" w:lineRule="auto"/>
        <w:tabs>
          <w:tab w:leader="none" w:pos="1153" w:val="left"/>
        </w:tabs>
        <w:numPr>
          <w:ilvl w:val="0"/>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statement that, in the opinion of each such individual, he has made such examination or investigation as is necessary to enable him to express an informed opinion as to whether or not such covenant or condition has been complied with;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Form of Documents Delivered to Trustee</w:t>
      </w:r>
      <w:r>
        <w:rPr>
          <w:rFonts w:ascii="Arial" w:cs="Arial" w:eastAsia="Arial" w:hAnsi="Arial"/>
          <w:sz w:val="17"/>
          <w:szCs w:val="17"/>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Any certificate or opinion of an officer of the Company or a Guarantor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or representation by, counsel may be based, insofar as it relates to factual matters, upon a certificate or opinion of, or representations by, an officer or officers of the Company or such Guarantor, as the case may be, stating that the information with respect to such factual matters is in the possession of the Company or such Guarantor, as the case may be, unless such counsel knows that the certificate or opinion or representations with respect to such matters are erroneous.</w:t>
      </w:r>
    </w:p>
    <w:p>
      <w:pPr>
        <w:spacing w:after="0" w:line="165"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7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Acts of Holders; Record Dates</w:t>
      </w:r>
      <w:r>
        <w:rPr>
          <w:rFonts w:ascii="Arial" w:cs="Arial" w:eastAsia="Arial" w:hAnsi="Arial"/>
          <w:sz w:val="18"/>
          <w:szCs w:val="18"/>
          <w:color w:val="auto"/>
        </w:rPr>
        <w:t xml:space="preserve">. 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an agent or agents duly appointed in writing; and, except as herein otherwise expressly provided, such action shall become effective when such instrument or instruments are delivered to the Trustee and, where it is hereby expressly required, to the Company and any Guarantor.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w:t>
      </w:r>
      <w:r>
        <w:rPr>
          <w:rFonts w:ascii="Arial" w:cs="Arial" w:eastAsia="Arial" w:hAnsi="Arial"/>
          <w:sz w:val="18"/>
          <w:szCs w:val="18"/>
          <w:u w:val="single" w:color="auto"/>
          <w:color w:val="auto"/>
        </w:rPr>
        <w:t>Section 6.01</w:t>
      </w:r>
      <w:r>
        <w:rPr>
          <w:rFonts w:ascii="Arial" w:cs="Arial" w:eastAsia="Arial" w:hAnsi="Arial"/>
          <w:sz w:val="18"/>
          <w:szCs w:val="18"/>
          <w:color w:val="auto"/>
        </w:rPr>
        <w:t>) conclusive in favor of the Trustee, the Company and any Guarantor, if made in the manner provided in this Section.</w:t>
      </w:r>
    </w:p>
    <w:p>
      <w:pPr>
        <w:spacing w:after="0" w:line="192"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Without limiting the generality of this Section, unless otherwise provided in or pursuant to this Indenture, (i) a Holder, including a Depositary or its nominee that is a Holder of a Global Security, may give, make or take, by an agent or agents duly appointed in writing, any request, demand, authorization, direction, notice, consent, waiver or other action provided or permitted in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53" w:name="page154"/>
    <w:bookmarkEnd w:id="153"/>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pursuant to this Indenture to be given, made or taken by Holders, and a Depositary or its nominee that is a Holder of a Global Security may duly appoint in writing as its agent or agents members of, or participants in, such Depositary holding interests in such Global Security in the records of such Depositary; and</w:t>
      </w:r>
    </w:p>
    <w:p>
      <w:pPr>
        <w:ind w:right="80" w:firstLine="8"/>
        <w:spacing w:after="0" w:line="271" w:lineRule="auto"/>
        <w:tabs>
          <w:tab w:leader="none" w:pos="26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with respect to any Global Security the Depositary for which is The Depository Trust Company (“</w:t>
      </w:r>
      <w:r>
        <w:rPr>
          <w:rFonts w:ascii="Arial" w:cs="Arial" w:eastAsia="Arial" w:hAnsi="Arial"/>
          <w:sz w:val="17"/>
          <w:szCs w:val="17"/>
          <w:b w:val="1"/>
          <w:bCs w:val="1"/>
          <w:i w:val="1"/>
          <w:iCs w:val="1"/>
          <w:color w:val="auto"/>
        </w:rPr>
        <w:t>DTC</w:t>
      </w:r>
      <w:r>
        <w:rPr>
          <w:rFonts w:ascii="Arial" w:cs="Arial" w:eastAsia="Arial" w:hAnsi="Arial"/>
          <w:sz w:val="17"/>
          <w:szCs w:val="17"/>
          <w:color w:val="auto"/>
        </w:rPr>
        <w:t xml:space="preserve">”), any consent or other action given, made or taken by an “agent member” of DTC by electronic means in accordance with the Automated Tender Offer Procedures system or other Applicable Procedures of, and pursuant to authorization by, DTC shall be deemed to constitute the “Act” of the Holder of such Global Security, and such Act shall be deemed to have been delivered to the Company, any Guarantor and the Trustee upon the delivery by DTC of an </w:t>
      </w:r>
      <w:r>
        <w:rPr>
          <w:rFonts w:ascii="Arial" w:cs="Arial" w:eastAsia="Arial" w:hAnsi="Arial"/>
          <w:sz w:val="17"/>
          <w:szCs w:val="17"/>
          <w:i w:val="1"/>
          <w:iCs w:val="1"/>
          <w:color w:val="auto"/>
        </w:rPr>
        <w:t>“</w:t>
      </w:r>
      <w:r>
        <w:rPr>
          <w:rFonts w:ascii="Arial" w:cs="Arial" w:eastAsia="Arial" w:hAnsi="Arial"/>
          <w:sz w:val="17"/>
          <w:szCs w:val="17"/>
          <w:color w:val="auto"/>
        </w:rPr>
        <w:t>agent’s message” or other notice of such consent or other action having been so given, made or taken in accordance with the Applicable Procedures of DTC.</w:t>
      </w:r>
    </w:p>
    <w:p>
      <w:pPr>
        <w:spacing w:after="0" w:line="179"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The fact and date of the execution by any Person of any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ownership of Securities shall be proved by the Security Register.</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or any Guarantor in reliance thereon, whether or not notation of such action is made upon such Security.</w:t>
      </w:r>
    </w:p>
    <w:p>
      <w:pPr>
        <w:spacing w:after="0" w:line="18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With respect to Securities of any series, the Company and, if provided in the terms of any Guarantees of any Guarantor of Securities of such series, any such Guarantor may set any day as a record date for the purpose of determining the Holders of Outstanding Securities of such series entitled to give, make or take any request, demand, authorization, direction, notice, consent, waiver or other action provided or permitted by this Indenture to be given, made or taken by Holders of Securities of such series, provided that neither the Company nor such Guarantor may set a record date for, and the provisions of this paragraph shall not apply with respect to, the giving, making or taking of any notice, declaration, request or direction referred to in the next paragraph. If any record date is set pursuant to this paragraph, the Holders of Outstanding Securities of the relevant series on such record date, and no other Holders, shall be entitled to give, make or take the relevant action, whether or not such Holders remain Holders after such record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action shall be effective hereunder unless given, made or taken on or prior to the applicable Expiration Date by Holders of the requisite principal amount of Outstanding Securities of such series on such record date. Nothing in this paragraph shall be construed to prevent the Company or any such Guarantor from setting a new record date for any action for which a record date has previously been set pursuant to this paragraph (whereupon the record date previously set shall automatically and with no action by any Person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54" w:name="page155"/>
    <w:bookmarkEnd w:id="154"/>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be cancelled and of no effect), and nothing in this paragraph shall be construed to render ineffective any action given, made or taken by Holders of the requisite principal amount of Outstanding Securities of the relevant series on the date such action is given, made or taken. Promptly after any record date is set pursuant to this paragraph, the Company or such Guarantor, as the case may be, at its own expense, shall cause notice of such record date, the proposed action by Holders and the applicable Expiration Date to be given to the Trustee in writing and to each Holder of Securities of the relevant series in the manner set forth in </w:t>
      </w:r>
      <w:r>
        <w:rPr>
          <w:rFonts w:ascii="Arial" w:cs="Arial" w:eastAsia="Arial" w:hAnsi="Arial"/>
          <w:sz w:val="18"/>
          <w:szCs w:val="18"/>
          <w:u w:val="single" w:color="auto"/>
          <w:color w:val="auto"/>
        </w:rPr>
        <w:t>Sections 1.05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1.06</w:t>
      </w:r>
      <w:r>
        <w:rPr>
          <w:rFonts w:ascii="Arial" w:cs="Arial" w:eastAsia="Arial" w:hAnsi="Arial"/>
          <w:sz w:val="18"/>
          <w:szCs w:val="18"/>
          <w:color w:val="auto"/>
        </w:rPr>
        <w:t>.</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The Trustee may set any day as a record date for the purpose of determining the Holders of Outstanding Securities of any series entitled to join in the giving, making or taking of (i) any Notice of Default, (ii) any declaration of acceleration referred to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(iii) any request to institute proceedings referred to in </w:t>
      </w:r>
      <w:r>
        <w:rPr>
          <w:rFonts w:ascii="Arial" w:cs="Arial" w:eastAsia="Arial" w:hAnsi="Arial"/>
          <w:sz w:val="16"/>
          <w:szCs w:val="16"/>
          <w:u w:val="single" w:color="auto"/>
          <w:color w:val="auto"/>
        </w:rPr>
        <w:t>Section 5.07(2)</w:t>
      </w:r>
      <w:r>
        <w:rPr>
          <w:rFonts w:ascii="Arial" w:cs="Arial" w:eastAsia="Arial" w:hAnsi="Arial"/>
          <w:sz w:val="16"/>
          <w:szCs w:val="16"/>
          <w:color w:val="auto"/>
        </w:rPr>
        <w:t xml:space="preserve"> or (iv) any direction referred to in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in each case with respect to Securities of such series. If any record date is set pursuant to this paragraph, the Holders of Outstanding Securities of such series on such record date, and no other Holders, shall be entitled to give, make or take such notice, declaration, request or direction, whether or not such Holders remain Holders after such record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 such action shall be effective hereunder unless given, made or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given, made or taken by Holders of the requisite principal amount of Outstanding Securities of the relevant series on the date such action is given, made or taken. Promptly after any record date is set pursuant to this paragraph, the Trustee, at the Company’s expense, shall cause notice of such record date, the proposed action by Holders and the applicable Expiration Date to be given to the Company and any Guarantor in writing and to each Holder of Securities of the relevant series in the manner set forth in </w:t>
      </w:r>
      <w:r>
        <w:rPr>
          <w:rFonts w:ascii="Arial" w:cs="Arial" w:eastAsia="Arial" w:hAnsi="Arial"/>
          <w:sz w:val="16"/>
          <w:szCs w:val="16"/>
          <w:u w:val="single" w:color="auto"/>
          <w:color w:val="auto"/>
        </w:rPr>
        <w:t>Sections 1.05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1.06</w:t>
      </w:r>
      <w:r>
        <w:rPr>
          <w:rFonts w:ascii="Arial" w:cs="Arial" w:eastAsia="Arial" w:hAnsi="Arial"/>
          <w:sz w:val="16"/>
          <w:szCs w:val="16"/>
          <w:color w:val="auto"/>
        </w:rPr>
        <w:t>.</w:t>
      </w:r>
    </w:p>
    <w:p>
      <w:pPr>
        <w:spacing w:after="0" w:line="175"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With respect to any record date set pursuant to this Section, the party hereto which sets such record date may designate any day as the “</w:t>
      </w:r>
      <w:r>
        <w:rPr>
          <w:rFonts w:ascii="Arial" w:cs="Arial" w:eastAsia="Arial" w:hAnsi="Arial"/>
          <w:sz w:val="17"/>
          <w:szCs w:val="17"/>
          <w:b w:val="1"/>
          <w:bCs w:val="1"/>
          <w:i w:val="1"/>
          <w:iCs w:val="1"/>
          <w:color w:val="auto"/>
        </w:rPr>
        <w:t>Expiration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Date</w:t>
      </w:r>
      <w:r>
        <w:rPr>
          <w:rFonts w:ascii="Arial" w:cs="Arial" w:eastAsia="Arial" w:hAnsi="Arial"/>
          <w:sz w:val="17"/>
          <w:szCs w:val="17"/>
          <w:color w:val="auto"/>
        </w:rPr>
        <w:t>” and from time to time may change the Expiration Date to any earlier or later day;</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no such change shall be effective unless notice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proposed new Expiration Date is given to the other party hereto in writing, and to each Holder of Securities of the relevant series in the manner set forth in </w:t>
      </w:r>
      <w:r>
        <w:rPr>
          <w:rFonts w:ascii="Arial" w:cs="Arial" w:eastAsia="Arial" w:hAnsi="Arial"/>
          <w:sz w:val="17"/>
          <w:szCs w:val="17"/>
          <w:u w:val="single" w:color="auto"/>
          <w:color w:val="auto"/>
        </w:rPr>
        <w:t>Section 1.06</w:t>
      </w:r>
      <w:r>
        <w:rPr>
          <w:rFonts w:ascii="Arial" w:cs="Arial" w:eastAsia="Arial" w:hAnsi="Arial"/>
          <w:sz w:val="17"/>
          <w:szCs w:val="17"/>
          <w:color w:val="auto"/>
        </w:rPr>
        <w:t>,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to an earlier day as provided in this paragraph. Notwithstanding the foregoing, no Expiration Date shall be later than the 180th day after the applicable record date.</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Without limiting the foregoing, a Holder entitled hereunder to give, make or take any action hereunder with regard to any particular Security may do so, in person or by an agent duly appointed in writing, with regard to all or any part of the principal amount of such Security.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55" w:name="page156"/>
    <w:bookmarkEnd w:id="155"/>
    <w:p>
      <w:pPr>
        <w:ind w:right="80"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1.05. </w:t>
      </w:r>
      <w:r>
        <w:rPr>
          <w:rFonts w:ascii="Arial" w:cs="Arial" w:eastAsia="Arial" w:hAnsi="Arial"/>
          <w:sz w:val="17"/>
          <w:szCs w:val="17"/>
          <w:u w:val="single" w:color="auto"/>
          <w:color w:val="auto"/>
        </w:rPr>
        <w:t>Notices, Etc., to Trustee, Company and Guarantors</w:t>
      </w:r>
      <w:r>
        <w:rPr>
          <w:rFonts w:ascii="Arial" w:cs="Arial" w:eastAsia="Arial" w:hAnsi="Arial"/>
          <w:sz w:val="17"/>
          <w:szCs w:val="17"/>
          <w:color w:val="auto"/>
        </w:rPr>
        <w:t>. Any request, demand, authorization, direction, notice, consent, waiver or Act of Holders or other document provided or permitted by this Indenture to be made upon, given or furnished to, or filed with, (1) the Trustee by any Holder or by the Company or any Guarantor shall be sufficient for every purpose hereunder (unless otherwise herein expressly provided) if made, given, furnished or filed in writing and delivered in Person, mailed by first class mail (registered or certified, return receipt requested), transmitted by facsimile or sent by overnight courier guaranteeing next Business Day delivery to or with the Trustee addressed to it at its Corporate Trust Office or (2) the Company or a Guarantor by the Trustee or by any Holder shall be sufficient for every purpose hereunder (unless otherwise herein expressly provided) if made, given, furnished or filed in writing and delivered in Person, mailed by first class mail (registered or certified, return receipt requested), transmitted by facsimile or sent by overnight courier guaranteeing next Business Day delivery, to or with the Company or such Guarantor, as the case may be, addressed to it at the address of its principal office specified in the first paragraph of this instrument, Attention: Chief Financial Officer, or at any other address previously furnished in writing to the Trustee by the Company.</w:t>
      </w:r>
    </w:p>
    <w:p>
      <w:pPr>
        <w:spacing w:after="0" w:line="17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All requests, demands, authorizations, directions, notices, consents, waivers or Acts of Holders or other such documents made, given, furnished or filed with or to the Trustee, the Company or any Guarantor shall be deemed to have been duly made, given furnished or filed: (i) at the time delivered by hand, if personally delivered; (ii) five calendar days after being deposited in the mail, postage prepaid, if mailed; (iii) when receipt is acknowledged, if telecopied; and</w:t>
      </w:r>
    </w:p>
    <w:p>
      <w:pPr>
        <w:ind w:right="420" w:firstLine="8"/>
        <w:spacing w:after="0" w:line="261" w:lineRule="auto"/>
        <w:tabs>
          <w:tab w:leader="none" w:pos="3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next Business Day after timely delivery to the courier, if sent by overnight air courier guaranteeing next Business Day delivery. Notices given by publication will be deemed given on the first date on which publication is made.</w:t>
      </w:r>
    </w:p>
    <w:p>
      <w:pPr>
        <w:spacing w:after="0" w:line="18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Notice to Holders; Waiver</w:t>
      </w:r>
      <w:r>
        <w:rPr>
          <w:rFonts w:ascii="Arial" w:cs="Arial" w:eastAsia="Arial" w:hAnsi="Arial"/>
          <w:sz w:val="18"/>
          <w:szCs w:val="18"/>
          <w:color w:val="auto"/>
        </w:rPr>
        <w:t>. Where this Indenture provides for notice or other communication to Holders of any event, such notice shall be sufficiently given (unless otherwise herein expressly provided) if given in writing and mailed by first class mail (registered or certified, return receipt requested) or sent by overnight air courier guaranteeing next Business Day delivery, to each Holder affected by such event, at such Holder’s address as it appears in the Security Register, not later than the latest date (if any), and not earlier than the earliest date (if any), prescribed for the giving of such notice or other communication. Any notice or other communication shall also be so mailed or sent to any Person described in Section 313(c) of the Trust Indenture Act, to the extent required by the Trust Indenture Act. Failure to mail or send a notice or other communication to a Holder or any defect in it shall not affect its sufficiency with respect to other Holders.</w:t>
      </w:r>
    </w:p>
    <w:p>
      <w:pPr>
        <w:spacing w:after="0" w:line="18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a notice or communication is mailed or sent in the manner provided above within the time prescribed, it is duly given, whether or not the addressee receives it. Where this Indenture provides for notice or other communication in any manner, such notice or other communication may be waived in writing by the Person entitled to receive such notice or other communication, either before or after the event, and such waiver shall be the equivalent of such notice or other communication. Waivers of notice or other communication by Holders shall be filed with the Trustee, but such filing shall not be a condition precedent to the validity of any action taken in reliance upon such waiver. If the Company mails a notice or communication to the Holders, it shall mail a copy to the Trustee at the same time.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56" w:name="page157"/>
    <w:bookmarkEnd w:id="156"/>
    <w:p>
      <w:pPr>
        <w:ind w:right="3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by reason of the suspension of regular mail service or by reason of any other cause it shall be impracticable to give such notice or other communication by mail, then such notification as shall be made with the approval of the Trustee shall constitute a sufficient notification for every purpose hereunder.</w:t>
      </w:r>
    </w:p>
    <w:p>
      <w:pPr>
        <w:spacing w:after="0" w:line="18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Where this Indenture provides for notice or other communication with respect to any event to a Holder of a Global Security, such notice or other communication shall be sufficiently given if given to the Depositary for such Security (or its designee), pursuant to its Applicable Procedures, not later than the latest date (if any), and not earlier than the earliest date (if any), prescribed for the giving of such notice or other communication.</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Trust Indenture Act Matters</w:t>
      </w:r>
      <w:r>
        <w:rPr>
          <w:rFonts w:ascii="Arial" w:cs="Arial" w:eastAsia="Arial" w:hAnsi="Arial"/>
          <w:sz w:val="18"/>
          <w:szCs w:val="18"/>
          <w:color w:val="auto"/>
        </w:rPr>
        <w:t>. If any provision hereof limits, qualifies or conflicts with a provision of the Trust Indenture Act which is required under such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 Whenever this Indenture refers to a provision of the Trust Indenture Act, the provision is incorporated by reference in and made a part of this Indenture.</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Effect of Headings and Table of Contents</w:t>
      </w:r>
      <w:r>
        <w:rPr>
          <w:rFonts w:ascii="Arial" w:cs="Arial" w:eastAsia="Arial" w:hAnsi="Arial"/>
          <w:sz w:val="18"/>
          <w:szCs w:val="18"/>
          <w:color w:val="auto"/>
        </w:rPr>
        <w:t>. The Article and Section headings herein and the Table of Contents are for convenience only and shall not affect the construction hereof.</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All covenants and agreements in this Indenture and the Securities by the Company and the Trustee and, except as otherwise provided in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14.01</w:t>
      </w:r>
      <w:r>
        <w:rPr>
          <w:rFonts w:ascii="Arial" w:cs="Arial" w:eastAsia="Arial" w:hAnsi="Arial"/>
          <w:sz w:val="16"/>
          <w:szCs w:val="16"/>
          <w:color w:val="auto"/>
        </w:rPr>
        <w:t>, any Guarantor shall bind their respective successors and assigns, whether so expressed or not.</w:t>
      </w:r>
    </w:p>
    <w:p>
      <w:pPr>
        <w:spacing w:after="0" w:line="124"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Separability Clause</w:t>
      </w:r>
      <w:r>
        <w:rPr>
          <w:rFonts w:ascii="Arial" w:cs="Arial" w:eastAsia="Arial" w:hAnsi="Arial"/>
          <w:sz w:val="18"/>
          <w:szCs w:val="18"/>
          <w:color w:val="auto"/>
        </w:rPr>
        <w:t>. In case any provision in this Indenture, or in the Securities (or in any Guarantees endorsed thereon or attached thereto) shall be invalid, illegal or unenforceable, the validity, legality and enforceability of the remaining provisions shall not in any way be affected or impaired thereby.</w:t>
      </w:r>
    </w:p>
    <w:p>
      <w:pPr>
        <w:spacing w:after="0" w:line="18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Benefits of Indenture</w:t>
      </w:r>
      <w:r>
        <w:rPr>
          <w:rFonts w:ascii="Arial" w:cs="Arial" w:eastAsia="Arial" w:hAnsi="Arial"/>
          <w:sz w:val="17"/>
          <w:szCs w:val="17"/>
          <w:color w:val="auto"/>
        </w:rPr>
        <w:t xml:space="preserve">. Nothing in this Indenture or in the Securities (or in any Guarantees endorsed thereon or attached thereto), express or implied, shall give to any Person, other than the parties hereto and their successors hereunder, the holders of Senior Debt and any Senior Guarantor Debt and the Holders, any benefit or any legal or equitable right, remedy or claim under this Indenture, except as may otherwise be provided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with respect to any Securities of a particular series or under this Indenture with respect to such Securities.</w:t>
      </w:r>
    </w:p>
    <w:p>
      <w:pPr>
        <w:spacing w:after="0" w:line="17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Indenture, the Guarantees and the Securities and the rights and obligations of the parties hereto and thereto, including the interpretation, construction, validity and enforceability thereof, shall be governed by and construed and interpreted in accordance with the law of the State of New York.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57" w:name="page158"/>
    <w:bookmarkEnd w:id="157"/>
    <w:p>
      <w:pPr>
        <w:ind w:right="4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1.13. </w:t>
      </w:r>
      <w:r>
        <w:rPr>
          <w:rFonts w:ascii="Arial" w:cs="Arial" w:eastAsia="Arial" w:hAnsi="Arial"/>
          <w:sz w:val="18"/>
          <w:szCs w:val="18"/>
          <w:u w:val="single" w:color="auto"/>
          <w:color w:val="auto"/>
        </w:rPr>
        <w:t>Legal Holidays</w:t>
      </w:r>
      <w:r>
        <w:rPr>
          <w:rFonts w:ascii="Arial" w:cs="Arial" w:eastAsia="Arial" w:hAnsi="Arial"/>
          <w:sz w:val="18"/>
          <w:szCs w:val="18"/>
          <w:color w:val="auto"/>
        </w:rPr>
        <w:t>. In any case where any Interest Payment Date, Redemption Date or Maturity of any Security, or any date on which a Holder has the right to convert his Security,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or conversion of such Security need not be made at such Place of Payment on such date, but may be made on the next succeeding Business Day at such Place of Payment with the same force and effect as if made on the Interest Payment Date or Redemption Date, or at the Maturity, or on such date for conversion, as the case may be.</w:t>
      </w:r>
    </w:p>
    <w:p>
      <w:pPr>
        <w:spacing w:after="0" w:line="193"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 This Indenture may not be used to interpret any other indenture, loan or other agreement of the Company or any Guarantor or any Subsidiaries of the Company or any Guarantor or of any other Person. Any such indenture, loan or other agreement may not be used to interpret this Indenture.</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No Personal Liability of Directors, Officers, Employees and Stockholders</w:t>
      </w:r>
      <w:r>
        <w:rPr>
          <w:rFonts w:ascii="Arial" w:cs="Arial" w:eastAsia="Arial" w:hAnsi="Arial"/>
          <w:sz w:val="18"/>
          <w:szCs w:val="18"/>
          <w:color w:val="auto"/>
        </w:rPr>
        <w:t>. No past, present or future director, officer, employee, incorporator or stockholder of the Company or any Guarantor, as such, will have any liability for any obligations of the Company or any Guarantor, respectively, under the Securities or this Indenture or for any claim based on, in respect of, or by reason of, such obligations or their creation. Each Holder of Securities by accepting a Security waives and releases all such liability. The waiver and release are part of the consideration for issuance of the Securities. The waiver may not be effective to waive liabilities under the federal securities laws.</w:t>
      </w:r>
    </w:p>
    <w:p>
      <w:pPr>
        <w:spacing w:after="0" w:line="188"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 xml:space="preserve">Section 1.16. </w:t>
      </w:r>
      <w:r>
        <w:rPr>
          <w:rFonts w:ascii="Arial" w:cs="Arial" w:eastAsia="Arial" w:hAnsi="Arial"/>
          <w:sz w:val="16"/>
          <w:szCs w:val="16"/>
          <w:u w:val="single" w:color="auto"/>
          <w:color w:val="auto"/>
        </w:rPr>
        <w:t>Language of Notices, Etc</w:t>
      </w:r>
      <w:r>
        <w:rPr>
          <w:rFonts w:ascii="Arial" w:cs="Arial" w:eastAsia="Arial" w:hAnsi="Arial"/>
          <w:sz w:val="16"/>
          <w:szCs w:val="16"/>
          <w:color w:val="auto"/>
        </w:rPr>
        <w:t>. Any request, demand, authorization, direction, notice, consent, waiver, other action or Act provided or permitted under this Indenture shall be in the English language, except that any published notice may be in an official language of the country of publication.</w:t>
      </w:r>
    </w:p>
    <w:p>
      <w:pPr>
        <w:spacing w:after="0" w:line="124"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 xml:space="preserve">Section 1.17. </w:t>
      </w:r>
      <w:r>
        <w:rPr>
          <w:rFonts w:ascii="Arial" w:cs="Arial" w:eastAsia="Arial" w:hAnsi="Arial"/>
          <w:sz w:val="17"/>
          <w:szCs w:val="17"/>
          <w:u w:val="single" w:color="auto"/>
          <w:color w:val="auto"/>
        </w:rPr>
        <w:t>Force Majeure</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6.01</w:t>
      </w:r>
      <w:r>
        <w:rPr>
          <w:rFonts w:ascii="Arial" w:cs="Arial" w:eastAsia="Arial" w:hAnsi="Arial"/>
          <w:sz w:val="17"/>
          <w:szCs w:val="17"/>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17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COMPANY, EACH GUARANTOR AND THE TRUSTEE HEREBY WAIVES, TO THE FULLEST EXTENT PERMITTED BY APPLICABLE LAW, ANY RIGHT IT MAY HAVE TO A TRIAL BY JURY IN RESPECT OF ANY LITIGATION DIRECTLY OR INDIRECTLY ARISING OUT OF, UNDER OR IN CONNECTION WITH THIS INDENTURE.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FORMS</w:t>
      </w:r>
    </w:p>
    <w:p>
      <w:pPr>
        <w:spacing w:after="0" w:line="21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Forms Generally</w:t>
      </w:r>
      <w:r>
        <w:rPr>
          <w:rFonts w:ascii="Arial" w:cs="Arial" w:eastAsia="Arial" w:hAnsi="Arial"/>
          <w:sz w:val="17"/>
          <w:szCs w:val="17"/>
          <w:color w:val="auto"/>
        </w:rPr>
        <w:t xml:space="preserve">. As to each series of Securities, (i) the Securities of such series shall be in substantially the form set forth in this Article, or in such other form as shall be established by or pursuant to a Board Resolution or in one or more indentures supplemental hereto, and (ii) if the Securities of such series are to be guaranteed by the Guarantees of any Guarantor as provided in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and the terms of such Securities provide for the endorsement thereon or attachment thereto of Guarantees by such Guarantor, such Guarantees to be endorsed on or attached to such Securities shall be in substantially such form as shall be established by or pursuant to a Guarantor’s Board Resolution of such Guarantor or in one or more indentures supplemental hereto, in the case of (i) or (ii),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or Guarantees, respectively,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for the authentication and delivery of such Securities. If the form of any Guarantees by any Guarantor to be endorsed on Securities of any series is established by action taken pursuant to a Guarantor’s Board Resolution of such Guarantor, a copy of an appropriate record of such action shall be certified by the Secretary or an Assistant Secretary of such Guarantor and delivered to the Trustee at or prior to the delivery of the Guarantor Order contemplated by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for the authentication and delivery of such Securities with such Guarantee endorsed thereon. For purposes hereof, a Guarantee that is endorsed on, or otherwise attached to, a Security shall be deemed “endorsed” on such Security.</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definitive Securities and any Guarantees endorsed thereon shall be printed, lithographed or engraved on steel engraved borders or may be produced in any other manner, all as determined by the officers of the Company executing such Securities or, if such Guarantees by any Guarantor are executed by such Guarantor, by the officers of such Guarantor executing such Guarantees, respectively, as evidenced by their execution of such Securities or, if such Guarantees by any Guarantor are executed by such Guarantor, by the officers of such Guarantor executing such Guarantees, respectively.</w:t>
      </w:r>
    </w:p>
    <w:p>
      <w:pPr>
        <w:spacing w:after="0" w:line="15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Anything herein to the contrary notwithstanding, there shall be no requirement that any Security have endorsed thereon or attached thereto a Guarantee or a notation of a Guarantee, but such a Guarantee or notation of a Guarantee may be endorsed thereon or attached thereto as contemplated by this</w:t>
      </w:r>
    </w:p>
    <w:p>
      <w:pPr>
        <w:spacing w:after="0"/>
        <w:rPr>
          <w:sz w:val="20"/>
          <w:szCs w:val="20"/>
          <w:color w:val="auto"/>
        </w:rPr>
      </w:pP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Face of Security</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any legend required by the Internal Revenue Code and the regulations thereunder.]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0" w:right="25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CUSIP [</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19"/>
        </w:trPr>
        <w:tc>
          <w:tcPr>
            <w:tcW w:w="1740" w:type="dxa"/>
            <w:vAlign w:val="bottom"/>
            <w:gridSpan w:val="3"/>
          </w:tcPr>
          <w:p>
            <w:pPr>
              <w:spacing w:after="0"/>
              <w:rPr>
                <w:sz w:val="20"/>
                <w:szCs w:val="20"/>
                <w:color w:val="auto"/>
              </w:rPr>
            </w:pPr>
            <w:r>
              <w:rPr>
                <w:rFonts w:ascii="Arial" w:cs="Arial" w:eastAsia="Arial" w:hAnsi="Arial"/>
                <w:sz w:val="18"/>
                <w:szCs w:val="18"/>
                <w:color w:val="auto"/>
              </w:rPr>
              <w:t>No.</w:t>
            </w: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453"/>
        </w:trPr>
        <w:tc>
          <w:tcPr>
            <w:tcW w:w="3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80" w:type="dxa"/>
            <w:vAlign w:val="bottom"/>
            <w:gridSpan w:val="3"/>
          </w:tcPr>
          <w:p>
            <w:pPr>
              <w:ind w:left="580"/>
              <w:spacing w:after="0"/>
              <w:rPr>
                <w:sz w:val="20"/>
                <w:szCs w:val="20"/>
                <w:color w:val="auto"/>
              </w:rPr>
            </w:pPr>
            <w:r>
              <w:rPr>
                <w:rFonts w:ascii="Arial" w:cs="Arial" w:eastAsia="Arial" w:hAnsi="Arial"/>
                <w:sz w:val="18"/>
                <w:szCs w:val="18"/>
                <w:color w:val="auto"/>
              </w:rPr>
              <w:t>DIAMONDBACK ENERGY, INC.</w:t>
            </w: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r>
        <w:trPr>
          <w:trHeight w:val="418"/>
        </w:trPr>
        <w:tc>
          <w:tcPr>
            <w:tcW w:w="11360" w:type="dxa"/>
            <w:vAlign w:val="bottom"/>
            <w:gridSpan w:val="12"/>
          </w:tcPr>
          <w:p>
            <w:pPr>
              <w:spacing w:after="0"/>
              <w:rPr>
                <w:sz w:val="20"/>
                <w:szCs w:val="20"/>
                <w:color w:val="auto"/>
              </w:rPr>
            </w:pPr>
            <w:r>
              <w:rPr>
                <w:rFonts w:ascii="Arial" w:cs="Arial" w:eastAsia="Arial" w:hAnsi="Arial"/>
                <w:sz w:val="18"/>
                <w:szCs w:val="18"/>
                <w:color w:val="auto"/>
                <w:w w:val="93"/>
              </w:rPr>
              <w:t>DIAMONDBACK ENERGY, INC., a corporation duly organized and existing under the laws of the State of Delaware (herein called the “</w:t>
            </w:r>
            <w:r>
              <w:rPr>
                <w:rFonts w:ascii="Arial" w:cs="Arial" w:eastAsia="Arial" w:hAnsi="Arial"/>
                <w:sz w:val="18"/>
                <w:szCs w:val="18"/>
                <w:b w:val="1"/>
                <w:bCs w:val="1"/>
                <w:i w:val="1"/>
                <w:iCs w:val="1"/>
                <w:color w:val="auto"/>
                <w:w w:val="93"/>
              </w:rPr>
              <w:t>Company</w:t>
            </w:r>
            <w:r>
              <w:rPr>
                <w:rFonts w:ascii="Arial" w:cs="Arial" w:eastAsia="Arial" w:hAnsi="Arial"/>
                <w:sz w:val="18"/>
                <w:szCs w:val="18"/>
                <w:color w:val="auto"/>
                <w:w w:val="93"/>
              </w:rPr>
              <w:t>”, which</w:t>
            </w:r>
          </w:p>
        </w:tc>
        <w:tc>
          <w:tcPr>
            <w:tcW w:w="60" w:type="dxa"/>
            <w:vAlign w:val="bottom"/>
          </w:tcPr>
          <w:p>
            <w:pPr>
              <w:spacing w:after="0"/>
              <w:rPr>
                <w:sz w:val="24"/>
                <w:szCs w:val="24"/>
                <w:color w:val="auto"/>
              </w:rPr>
            </w:pPr>
          </w:p>
        </w:tc>
      </w:tr>
      <w:tr>
        <w:trPr>
          <w:trHeight w:val="216"/>
        </w:trPr>
        <w:tc>
          <w:tcPr>
            <w:tcW w:w="9040" w:type="dxa"/>
            <w:vAlign w:val="bottom"/>
            <w:gridSpan w:val="9"/>
          </w:tcPr>
          <w:p>
            <w:pPr>
              <w:spacing w:after="0"/>
              <w:rPr>
                <w:sz w:val="20"/>
                <w:szCs w:val="20"/>
                <w:color w:val="auto"/>
              </w:rPr>
            </w:pPr>
            <w:r>
              <w:rPr>
                <w:rFonts w:ascii="Arial" w:cs="Arial" w:eastAsia="Arial" w:hAnsi="Arial"/>
                <w:sz w:val="18"/>
                <w:szCs w:val="18"/>
                <w:color w:val="auto"/>
                <w:w w:val="89"/>
              </w:rPr>
              <w:t>term includes any successor Person under the Indenture hereinafter referred to), for value received, hereby promises to pay to</w:t>
            </w:r>
          </w:p>
        </w:tc>
        <w:tc>
          <w:tcPr>
            <w:tcW w:w="2320" w:type="dxa"/>
            <w:vAlign w:val="bottom"/>
            <w:gridSpan w:val="3"/>
          </w:tcPr>
          <w:p>
            <w:pPr>
              <w:jc w:val="right"/>
              <w:ind w:right="140"/>
              <w:spacing w:after="0"/>
              <w:rPr>
                <w:sz w:val="20"/>
                <w:szCs w:val="20"/>
                <w:color w:val="auto"/>
              </w:rPr>
            </w:pPr>
            <w:r>
              <w:rPr>
                <w:rFonts w:ascii="Arial" w:cs="Arial" w:eastAsia="Arial" w:hAnsi="Arial"/>
                <w:sz w:val="18"/>
                <w:szCs w:val="18"/>
                <w:color w:val="auto"/>
              </w:rPr>
              <w:t>, or registered assigns,</w:t>
            </w:r>
          </w:p>
        </w:tc>
        <w:tc>
          <w:tcPr>
            <w:tcW w:w="60" w:type="dxa"/>
            <w:vAlign w:val="bottom"/>
          </w:tcPr>
          <w:p>
            <w:pPr>
              <w:spacing w:after="0"/>
              <w:rPr>
                <w:sz w:val="18"/>
                <w:szCs w:val="18"/>
                <w:color w:val="auto"/>
              </w:rPr>
            </w:pP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the principal sum of</w:t>
            </w:r>
          </w:p>
        </w:tc>
        <w:tc>
          <w:tcPr>
            <w:tcW w:w="1340" w:type="dxa"/>
            <w:vAlign w:val="bottom"/>
          </w:tcPr>
          <w:p>
            <w:pPr>
              <w:ind w:left="300"/>
              <w:spacing w:after="0"/>
              <w:rPr>
                <w:sz w:val="20"/>
                <w:szCs w:val="20"/>
                <w:color w:val="auto"/>
              </w:rPr>
            </w:pPr>
            <w:r>
              <w:rPr>
                <w:rFonts w:ascii="Arial" w:cs="Arial" w:eastAsia="Arial" w:hAnsi="Arial"/>
                <w:sz w:val="18"/>
                <w:szCs w:val="18"/>
                <w:color w:val="auto"/>
              </w:rPr>
              <w:t>Dollars on</w:t>
            </w:r>
          </w:p>
        </w:tc>
        <w:tc>
          <w:tcPr>
            <w:tcW w:w="7080" w:type="dxa"/>
            <w:vAlign w:val="bottom"/>
            <w:gridSpan w:val="6"/>
          </w:tcPr>
          <w:p>
            <w:pPr>
              <w:ind w:left="300"/>
              <w:spacing w:after="0"/>
              <w:rPr>
                <w:sz w:val="20"/>
                <w:szCs w:val="20"/>
                <w:color w:val="auto"/>
              </w:rPr>
            </w:pPr>
            <w:r>
              <w:rPr>
                <w:rFonts w:ascii="Arial" w:cs="Arial" w:eastAsia="Arial" w:hAnsi="Arial"/>
                <w:sz w:val="18"/>
                <w:szCs w:val="18"/>
                <w:color w:val="auto"/>
                <w:w w:val="92"/>
              </w:rPr>
              <w:t>[if the Security is to bear interest prior to Maturity, insert — , and to pay interest thereon from</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or from</w:t>
            </w:r>
          </w:p>
        </w:tc>
        <w:tc>
          <w:tcPr>
            <w:tcW w:w="60" w:type="dxa"/>
            <w:vAlign w:val="bottom"/>
          </w:tcPr>
          <w:p>
            <w:pPr>
              <w:spacing w:after="0"/>
              <w:rPr>
                <w:sz w:val="18"/>
                <w:szCs w:val="18"/>
                <w:color w:val="auto"/>
              </w:rPr>
            </w:pPr>
          </w:p>
        </w:tc>
      </w:tr>
      <w:tr>
        <w:trPr>
          <w:trHeight w:val="216"/>
        </w:trPr>
        <w:tc>
          <w:tcPr>
            <w:tcW w:w="8140" w:type="dxa"/>
            <w:vAlign w:val="bottom"/>
            <w:gridSpan w:val="8"/>
          </w:tcPr>
          <w:p>
            <w:pPr>
              <w:spacing w:after="0"/>
              <w:rPr>
                <w:sz w:val="20"/>
                <w:szCs w:val="20"/>
                <w:color w:val="auto"/>
              </w:rPr>
            </w:pPr>
            <w:r>
              <w:rPr>
                <w:rFonts w:ascii="Arial" w:cs="Arial" w:eastAsia="Arial" w:hAnsi="Arial"/>
                <w:sz w:val="18"/>
                <w:szCs w:val="18"/>
                <w:color w:val="auto"/>
                <w:w w:val="93"/>
              </w:rPr>
              <w:t>the most recent Interest Payment Date to which interest has been paid or duly provided for, semi-annually on</w:t>
            </w:r>
          </w:p>
        </w:tc>
        <w:tc>
          <w:tcPr>
            <w:tcW w:w="900" w:type="dxa"/>
            <w:vAlign w:val="bottom"/>
          </w:tcPr>
          <w:p>
            <w:pPr>
              <w:ind w:left="300"/>
              <w:spacing w:after="0"/>
              <w:rPr>
                <w:sz w:val="20"/>
                <w:szCs w:val="20"/>
                <w:color w:val="auto"/>
              </w:rPr>
            </w:pPr>
            <w:r>
              <w:rPr>
                <w:rFonts w:ascii="Arial" w:cs="Arial" w:eastAsia="Arial" w:hAnsi="Arial"/>
                <w:sz w:val="18"/>
                <w:szCs w:val="18"/>
                <w:color w:val="auto"/>
              </w:rPr>
              <w:t>and</w:t>
            </w:r>
          </w:p>
        </w:tc>
        <w:tc>
          <w:tcPr>
            <w:tcW w:w="232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in each year, commencing</w:t>
            </w:r>
          </w:p>
        </w:tc>
        <w:tc>
          <w:tcPr>
            <w:tcW w:w="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3540" w:type="dxa"/>
            <w:vAlign w:val="bottom"/>
            <w:gridSpan w:val="4"/>
          </w:tcPr>
          <w:p>
            <w:pPr>
              <w:ind w:left="220"/>
              <w:spacing w:after="0"/>
              <w:rPr>
                <w:sz w:val="20"/>
                <w:szCs w:val="20"/>
                <w:color w:val="auto"/>
              </w:rPr>
            </w:pPr>
            <w:r>
              <w:rPr>
                <w:rFonts w:ascii="Arial" w:cs="Arial" w:eastAsia="Arial" w:hAnsi="Arial"/>
                <w:sz w:val="18"/>
                <w:szCs w:val="18"/>
                <w:color w:val="auto"/>
                <w:w w:val="99"/>
              </w:rPr>
              <w:t>, and at the Maturity thereof, at the rate of</w:t>
            </w:r>
          </w:p>
        </w:tc>
        <w:tc>
          <w:tcPr>
            <w:tcW w:w="7500" w:type="dxa"/>
            <w:vAlign w:val="bottom"/>
            <w:gridSpan w:val="7"/>
          </w:tcPr>
          <w:p>
            <w:pPr>
              <w:jc w:val="right"/>
              <w:ind w:right="120"/>
              <w:spacing w:after="0"/>
              <w:rPr>
                <w:sz w:val="20"/>
                <w:szCs w:val="20"/>
                <w:color w:val="auto"/>
              </w:rPr>
            </w:pPr>
            <w:r>
              <w:rPr>
                <w:rFonts w:ascii="Arial" w:cs="Arial" w:eastAsia="Arial" w:hAnsi="Arial"/>
                <w:sz w:val="18"/>
                <w:szCs w:val="18"/>
                <w:color w:val="auto"/>
                <w:w w:val="95"/>
              </w:rPr>
              <w:t>% per annum, until the principal hereof is paid or made available for payment [if applicable, insert</w:t>
            </w:r>
          </w:p>
        </w:tc>
        <w:tc>
          <w:tcPr>
            <w:tcW w:w="60" w:type="dxa"/>
            <w:vAlign w:val="bottom"/>
          </w:tcPr>
          <w:p>
            <w:pPr>
              <w:spacing w:after="0"/>
              <w:rPr>
                <w:sz w:val="18"/>
                <w:szCs w:val="18"/>
                <w:color w:val="auto"/>
              </w:rPr>
            </w:pPr>
          </w:p>
        </w:tc>
      </w:tr>
      <w:tr>
        <w:trPr>
          <w:trHeight w:val="216"/>
        </w:trPr>
        <w:tc>
          <w:tcPr>
            <w:tcW w:w="9040" w:type="dxa"/>
            <w:vAlign w:val="bottom"/>
            <w:gridSpan w:val="9"/>
          </w:tcPr>
          <w:p>
            <w:pPr>
              <w:spacing w:after="0"/>
              <w:rPr>
                <w:sz w:val="20"/>
                <w:szCs w:val="20"/>
                <w:color w:val="auto"/>
              </w:rPr>
            </w:pPr>
            <w:r>
              <w:rPr>
                <w:rFonts w:ascii="Arial" w:cs="Arial" w:eastAsia="Arial" w:hAnsi="Arial"/>
                <w:sz w:val="18"/>
                <w:szCs w:val="18"/>
                <w:color w:val="auto"/>
                <w:w w:val="96"/>
              </w:rPr>
              <w:t>—, provided that any premium, and any such installment of interest, which is overdue shall bear interest at the rate of</w:t>
            </w:r>
          </w:p>
        </w:tc>
        <w:tc>
          <w:tcPr>
            <w:tcW w:w="232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 per annum (to the extent that</w:t>
            </w:r>
          </w:p>
        </w:tc>
        <w:tc>
          <w:tcPr>
            <w:tcW w:w="60" w:type="dxa"/>
            <w:vAlign w:val="bottom"/>
          </w:tcPr>
          <w:p>
            <w:pPr>
              <w:spacing w:after="0"/>
              <w:rPr>
                <w:sz w:val="18"/>
                <w:szCs w:val="18"/>
                <w:color w:val="auto"/>
              </w:rPr>
            </w:pPr>
          </w:p>
        </w:tc>
      </w:tr>
      <w:tr>
        <w:trPr>
          <w:trHeight w:val="216"/>
        </w:trPr>
        <w:tc>
          <w:tcPr>
            <w:tcW w:w="11360" w:type="dxa"/>
            <w:vAlign w:val="bottom"/>
            <w:gridSpan w:val="12"/>
          </w:tcPr>
          <w:p>
            <w:pPr>
              <w:spacing w:after="0"/>
              <w:rPr>
                <w:sz w:val="20"/>
                <w:szCs w:val="20"/>
                <w:color w:val="auto"/>
              </w:rPr>
            </w:pPr>
            <w:r>
              <w:rPr>
                <w:rFonts w:ascii="Arial" w:cs="Arial" w:eastAsia="Arial" w:hAnsi="Arial"/>
                <w:sz w:val="18"/>
                <w:szCs w:val="18"/>
                <w:color w:val="auto"/>
                <w:w w:val="90"/>
              </w:rPr>
              <w:t>the payment of such interest shall be legally enforceable), from the date such overdue amount is due until such amount is paid or duly provided for, and such</w:t>
            </w:r>
          </w:p>
        </w:tc>
        <w:tc>
          <w:tcPr>
            <w:tcW w:w="60" w:type="dxa"/>
            <w:vAlign w:val="bottom"/>
          </w:tcPr>
          <w:p>
            <w:pPr>
              <w:spacing w:after="0"/>
              <w:rPr>
                <w:sz w:val="18"/>
                <w:szCs w:val="18"/>
                <w:color w:val="auto"/>
              </w:rPr>
            </w:pPr>
          </w:p>
        </w:tc>
      </w:tr>
      <w:tr>
        <w:trPr>
          <w:trHeight w:val="216"/>
        </w:trPr>
        <w:tc>
          <w:tcPr>
            <w:tcW w:w="11360" w:type="dxa"/>
            <w:vAlign w:val="bottom"/>
            <w:gridSpan w:val="12"/>
          </w:tcPr>
          <w:p>
            <w:pPr>
              <w:spacing w:after="0"/>
              <w:rPr>
                <w:sz w:val="20"/>
                <w:szCs w:val="20"/>
                <w:color w:val="auto"/>
              </w:rPr>
            </w:pPr>
            <w:r>
              <w:rPr>
                <w:rFonts w:ascii="Arial" w:cs="Arial" w:eastAsia="Arial" w:hAnsi="Arial"/>
                <w:sz w:val="18"/>
                <w:szCs w:val="18"/>
                <w:color w:val="auto"/>
                <w:w w:val="90"/>
              </w:rPr>
              <w:t>interest on any overdue amount shall be payable on demand]. The interest so payable, and punctually paid or duly provided for, on any Interest Payment Date</w:t>
            </w:r>
          </w:p>
        </w:tc>
        <w:tc>
          <w:tcPr>
            <w:tcW w:w="60" w:type="dxa"/>
            <w:vAlign w:val="bottom"/>
          </w:tcPr>
          <w:p>
            <w:pPr>
              <w:spacing w:after="0"/>
              <w:rPr>
                <w:sz w:val="18"/>
                <w:szCs w:val="18"/>
                <w:color w:val="auto"/>
              </w:rPr>
            </w:pPr>
          </w:p>
        </w:tc>
      </w:tr>
      <w:tr>
        <w:trPr>
          <w:trHeight w:val="216"/>
        </w:trPr>
        <w:tc>
          <w:tcPr>
            <w:tcW w:w="11360" w:type="dxa"/>
            <w:vAlign w:val="bottom"/>
            <w:gridSpan w:val="12"/>
          </w:tcPr>
          <w:p>
            <w:pPr>
              <w:spacing w:after="0"/>
              <w:rPr>
                <w:sz w:val="20"/>
                <w:szCs w:val="20"/>
                <w:color w:val="auto"/>
              </w:rPr>
            </w:pPr>
            <w:r>
              <w:rPr>
                <w:rFonts w:ascii="Arial" w:cs="Arial" w:eastAsia="Arial" w:hAnsi="Arial"/>
                <w:sz w:val="18"/>
                <w:szCs w:val="18"/>
                <w:color w:val="auto"/>
                <w:w w:val="92"/>
              </w:rPr>
              <w:t>will, as provided in such Indenture, be paid to the Person in whose name this Security (or one or more Predecessor Securities) is registered at the close of</w:t>
            </w:r>
          </w:p>
        </w:tc>
        <w:tc>
          <w:tcPr>
            <w:tcW w:w="60" w:type="dxa"/>
            <w:vAlign w:val="bottom"/>
          </w:tcPr>
          <w:p>
            <w:pPr>
              <w:spacing w:after="0"/>
              <w:rPr>
                <w:sz w:val="18"/>
                <w:szCs w:val="18"/>
                <w:color w:val="auto"/>
              </w:rPr>
            </w:pPr>
          </w:p>
        </w:tc>
      </w:tr>
      <w:tr>
        <w:trPr>
          <w:trHeight w:val="230"/>
        </w:trPr>
        <w:tc>
          <w:tcPr>
            <w:tcW w:w="5560" w:type="dxa"/>
            <w:vAlign w:val="bottom"/>
            <w:gridSpan w:val="6"/>
          </w:tcPr>
          <w:p>
            <w:pPr>
              <w:spacing w:after="0"/>
              <w:rPr>
                <w:sz w:val="20"/>
                <w:szCs w:val="20"/>
                <w:color w:val="auto"/>
              </w:rPr>
            </w:pPr>
            <w:r>
              <w:rPr>
                <w:rFonts w:ascii="Arial" w:cs="Arial" w:eastAsia="Arial" w:hAnsi="Arial"/>
                <w:sz w:val="18"/>
                <w:szCs w:val="18"/>
                <w:color w:val="auto"/>
                <w:w w:val="94"/>
              </w:rPr>
              <w:t>business on the Regular Record Date for such interest, which shall be the</w:t>
            </w:r>
          </w:p>
        </w:tc>
        <w:tc>
          <w:tcPr>
            <w:tcW w:w="740" w:type="dxa"/>
            <w:vAlign w:val="bottom"/>
          </w:tcPr>
          <w:p>
            <w:pPr>
              <w:ind w:left="300"/>
              <w:spacing w:after="0"/>
              <w:rPr>
                <w:sz w:val="20"/>
                <w:szCs w:val="20"/>
                <w:color w:val="auto"/>
              </w:rPr>
            </w:pPr>
            <w:r>
              <w:rPr>
                <w:rFonts w:ascii="Arial" w:cs="Arial" w:eastAsia="Arial" w:hAnsi="Arial"/>
                <w:sz w:val="18"/>
                <w:szCs w:val="18"/>
                <w:color w:val="auto"/>
              </w:rPr>
              <w:t>or</w:t>
            </w:r>
          </w:p>
        </w:tc>
        <w:tc>
          <w:tcPr>
            <w:tcW w:w="5060" w:type="dxa"/>
            <w:vAlign w:val="bottom"/>
            <w:gridSpan w:val="5"/>
          </w:tcPr>
          <w:p>
            <w:pPr>
              <w:jc w:val="right"/>
              <w:ind w:right="620"/>
              <w:spacing w:after="0"/>
              <w:rPr>
                <w:sz w:val="20"/>
                <w:szCs w:val="20"/>
                <w:color w:val="auto"/>
              </w:rPr>
            </w:pPr>
            <w:r>
              <w:rPr>
                <w:rFonts w:ascii="Arial" w:cs="Arial" w:eastAsia="Arial" w:hAnsi="Arial"/>
                <w:sz w:val="18"/>
                <w:szCs w:val="18"/>
                <w:color w:val="auto"/>
                <w:w w:val="94"/>
              </w:rPr>
              <w:t>(whether or not a Business Day), as the case may be, next</w:t>
            </w:r>
          </w:p>
        </w:tc>
        <w:tc>
          <w:tcPr>
            <w:tcW w:w="60" w:type="dxa"/>
            <w:vAlign w:val="bottom"/>
          </w:tcPr>
          <w:p>
            <w:pPr>
              <w:spacing w:after="0"/>
              <w:rPr>
                <w:sz w:val="20"/>
                <w:szCs w:val="20"/>
                <w:color w:val="auto"/>
              </w:rPr>
            </w:pPr>
          </w:p>
        </w:tc>
      </w:tr>
    </w:tbl>
    <w:p>
      <w:pPr>
        <w:ind w:right="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preceding such Interest Payment Date. Any such interest so payable, but not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in any other lawful manner not inconsistent with the requirements of any securities exchange on which this Security may be listed, and upon such notice as may be required by such exchange, all as more fully provided in said Indenture].</w:t>
      </w:r>
    </w:p>
    <w:p>
      <w:pPr>
        <w:spacing w:after="0" w:line="194"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[If the Security is not to bear interest prior to Maturity, insert — The principal of this Security shall not bear interest except in the case of a default in payment of principal upon acceleration, upon redemption or at Stated Maturity and in such case the overdue principal and any overdue premium shall bear</w:t>
      </w:r>
    </w:p>
    <w:p>
      <w:pPr>
        <w:ind w:right="200"/>
        <w:spacing w:after="0" w:line="281" w:lineRule="auto"/>
        <w:rPr>
          <w:sz w:val="20"/>
          <w:szCs w:val="20"/>
          <w:color w:val="auto"/>
        </w:rPr>
      </w:pPr>
      <w:r>
        <w:rPr>
          <w:rFonts w:ascii="Arial" w:cs="Arial" w:eastAsia="Arial" w:hAnsi="Arial"/>
          <w:sz w:val="16"/>
          <w:szCs w:val="16"/>
          <w:color w:val="auto"/>
        </w:rPr>
        <w:t>interest at the rate of % per annum (to the extent that the payment of such interest shall be legally enforceable), from the dates such amounts are due until they are paid or made available for payment. Interest on any overdue principal or premium shall be payable on demand. Any such interest on overdue</w:t>
      </w:r>
    </w:p>
    <w:p>
      <w:pPr>
        <w:spacing w:after="0" w:line="1"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auto"/>
        </w:rPr>
        <w:t>principal or premium which is not paid on demand shall bear interest at the rate of % per annum (to the extent that the payment of such interest on interest shall be legally enforceable), from the date of such demand until the amount so demanded is paid or made available for payment. Interest on any overdue interest shall be payable on demand.]</w:t>
      </w:r>
    </w:p>
    <w:p>
      <w:pPr>
        <w:spacing w:after="0" w:line="19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Payment of the principal of (and premium, if any) and [if applicable, insert — any such] interest on this Security will be made at the office or agency of the Company maintained for that purpose in New York, New York, in such coin or currency of the United States of America as at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60" w:name="page161"/>
    <w:bookmarkEnd w:id="160"/>
    <w:p>
      <w:pPr>
        <w:ind w:right="10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time of payment is legal tender for payment of public and private debts, against surrender of this Security in the case of any payment due at the Maturity of the principal thereof or any payment of interest becomes payable on a day other than an Interest Payment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this Security is not a Global Security, (i) payment of interest on an Interest Payment Date will be made by check mailed to the address of the Person entitled thereto as such address shall appear in the Security Register; and all other payments will be made by check against surrender of this Security; (ii) all payments by check will be made in next-day funds (</w:t>
      </w:r>
      <w:r>
        <w:rPr>
          <w:rFonts w:ascii="Arial" w:cs="Arial" w:eastAsia="Arial" w:hAnsi="Arial"/>
          <w:sz w:val="17"/>
          <w:szCs w:val="17"/>
          <w:i w:val="1"/>
          <w:iCs w:val="1"/>
          <w:color w:val="auto"/>
        </w:rPr>
        <w:t>i.e</w:t>
      </w:r>
      <w:r>
        <w:rPr>
          <w:rFonts w:ascii="Arial" w:cs="Arial" w:eastAsia="Arial" w:hAnsi="Arial"/>
          <w:sz w:val="17"/>
          <w:szCs w:val="17"/>
          <w:color w:val="auto"/>
        </w:rPr>
        <w:t xml:space="preserve">., funds that become available on the day after the check is cashed); and (iii) notwithstanding clauses (i) and (ii) above, with respect to any payment of any amount due on this Security, if this Security is in a denomination of at least $1,000,000 and the Holder hereof at the time of surrender hereof or, in the case of any payment of interest on any Interest Payment Date, the Holder thereof on the related Regular Record Date delivers a written request to the Paying Agent to make such payment by wire transfer at least five Business Days before the date such payment becomes due, together with appropriate wire transfer instructions specifying an account at a bank in New York, New York, the Company shall make such payment by wire transfer of immediately available funds to such account at such bank in New York City, any such wire instructions, once properly given by a Holder as to this Security, remaining in effect as to such Holder and this Security unless and until new instructions are given in the manner described above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notwithstanding anything in the foregoing to the contrary, if this Security is a Global Security, payment shall be made pursuant to the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of the Depositary as permitted in said Indenture.</w:t>
      </w:r>
    </w:p>
    <w:p>
      <w:pPr>
        <w:spacing w:after="0" w:line="18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WITNESS WHEREOF, the Company has caused this instrument to be duly signed manually or by facsimile by its duly authorized officers.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740" w:type="dxa"/>
            <w:vAlign w:val="bottom"/>
            <w:gridSpan w:val="2"/>
          </w:tcPr>
          <w:p>
            <w:pPr>
              <w:ind w:left="180"/>
              <w:spacing w:after="0"/>
              <w:rPr>
                <w:sz w:val="20"/>
                <w:szCs w:val="20"/>
                <w:color w:val="auto"/>
              </w:rPr>
            </w:pPr>
            <w:r>
              <w:rPr>
                <w:rFonts w:ascii="Arial" w:cs="Arial" w:eastAsia="Arial" w:hAnsi="Arial"/>
                <w:sz w:val="18"/>
                <w:szCs w:val="18"/>
                <w:color w:val="auto"/>
              </w:rPr>
              <w:t>DIAMONDBACK ENERGY, INC.,</w:t>
            </w:r>
          </w:p>
        </w:tc>
      </w:tr>
      <w:tr>
        <w:trPr>
          <w:trHeight w:val="230"/>
        </w:trPr>
        <w:tc>
          <w:tcPr>
            <w:tcW w:w="14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740" w:type="dxa"/>
            <w:vAlign w:val="bottom"/>
            <w:gridSpan w:val="2"/>
          </w:tcPr>
          <w:p>
            <w:pPr>
              <w:ind w:left="180"/>
              <w:spacing w:after="0"/>
              <w:rPr>
                <w:sz w:val="20"/>
                <w:szCs w:val="20"/>
                <w:color w:val="auto"/>
              </w:rPr>
            </w:pPr>
            <w:r>
              <w:rPr>
                <w:rFonts w:ascii="Arial" w:cs="Arial" w:eastAsia="Arial" w:hAnsi="Arial"/>
                <w:sz w:val="18"/>
                <w:szCs w:val="18"/>
                <w:color w:val="auto"/>
              </w:rPr>
              <w:t>a Delaware corporation</w:t>
            </w:r>
          </w:p>
        </w:tc>
      </w:tr>
      <w:tr>
        <w:trPr>
          <w:trHeight w:val="446"/>
        </w:trPr>
        <w:tc>
          <w:tcPr>
            <w:tcW w:w="1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740" w:type="dxa"/>
            <w:vAlign w:val="bottom"/>
            <w:gridSpan w:val="2"/>
          </w:tcPr>
          <w:p>
            <w:pPr>
              <w:ind w:left="180"/>
              <w:spacing w:after="0"/>
              <w:rPr>
                <w:sz w:val="20"/>
                <w:szCs w:val="20"/>
                <w:color w:val="auto"/>
              </w:rPr>
            </w:pPr>
            <w:r>
              <w:rPr>
                <w:rFonts w:ascii="Arial" w:cs="Arial" w:eastAsia="Arial" w:hAnsi="Arial"/>
                <w:sz w:val="18"/>
                <w:szCs w:val="18"/>
                <w:color w:val="auto"/>
              </w:rPr>
              <w:t>By:</w:t>
            </w:r>
          </w:p>
        </w:tc>
      </w:tr>
      <w:tr>
        <w:trPr>
          <w:trHeight w:val="196"/>
        </w:trPr>
        <w:tc>
          <w:tcPr>
            <w:tcW w:w="14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720" w:type="dxa"/>
            <w:vAlign w:val="bottom"/>
          </w:tcPr>
          <w:p>
            <w:pPr>
              <w:ind w:left="180"/>
              <w:spacing w:after="0" w:line="196"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bottom w:val="single" w:sz="8" w:color="auto"/>
            </w:tcBorders>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720" w:type="dxa"/>
            <w:vAlign w:val="bottom"/>
          </w:tcPr>
          <w:p>
            <w:pPr>
              <w:ind w:left="180"/>
              <w:spacing w:after="0" w:line="196" w:lineRule="exact"/>
              <w:rPr>
                <w:sz w:val="20"/>
                <w:szCs w:val="20"/>
                <w:color w:val="auto"/>
              </w:rPr>
            </w:pPr>
            <w:r>
              <w:rPr>
                <w:rFonts w:ascii="Arial" w:cs="Arial" w:eastAsia="Arial" w:hAnsi="Arial"/>
                <w:sz w:val="18"/>
                <w:szCs w:val="18"/>
                <w:color w:val="auto"/>
              </w:rPr>
              <w:t>Title:</w:t>
            </w:r>
          </w:p>
        </w:tc>
        <w:tc>
          <w:tcPr>
            <w:tcW w:w="4020" w:type="dxa"/>
            <w:vAlign w:val="bottom"/>
            <w:tcBorders>
              <w:bottom w:val="single" w:sz="8" w:color="auto"/>
            </w:tcBorders>
          </w:tcPr>
          <w:p>
            <w:pPr>
              <w:spacing w:after="0"/>
              <w:rPr>
                <w:sz w:val="17"/>
                <w:szCs w:val="17"/>
                <w:color w:val="auto"/>
              </w:rPr>
            </w:pPr>
          </w:p>
        </w:tc>
      </w:tr>
      <w:tr>
        <w:trPr>
          <w:trHeight w:val="385"/>
        </w:trPr>
        <w:tc>
          <w:tcPr>
            <w:tcW w:w="11420" w:type="dxa"/>
            <w:vAlign w:val="bottom"/>
            <w:gridSpan w:val="5"/>
          </w:tcPr>
          <w:p>
            <w:pPr>
              <w:ind w:left="460"/>
              <w:spacing w:after="0"/>
              <w:rPr>
                <w:sz w:val="20"/>
                <w:szCs w:val="20"/>
                <w:color w:val="auto"/>
              </w:rPr>
            </w:pPr>
            <w:r>
              <w:rPr>
                <w:rFonts w:ascii="Arial" w:cs="Arial" w:eastAsia="Arial" w:hAnsi="Arial"/>
                <w:sz w:val="18"/>
                <w:szCs w:val="18"/>
                <w:color w:val="auto"/>
                <w:w w:val="95"/>
              </w:rPr>
              <w:t>Section 2.03. Form of Reverse of Security. This Security is one of a duly authorized issue of senior securities of the Company (herein called the</w:t>
            </w:r>
          </w:p>
        </w:tc>
      </w:tr>
      <w:tr>
        <w:trPr>
          <w:trHeight w:val="20"/>
        </w:trPr>
        <w:tc>
          <w:tcPr>
            <w:tcW w:w="146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r>
      <w:tr>
        <w:trPr>
          <w:trHeight w:val="222"/>
        </w:trPr>
        <w:tc>
          <w:tcPr>
            <w:tcW w:w="6680" w:type="dxa"/>
            <w:vAlign w:val="bottom"/>
            <w:gridSpan w:val="3"/>
          </w:tcPr>
          <w:p>
            <w:pP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i w:val="1"/>
                <w:iCs w:val="1"/>
                <w:color w:val="auto"/>
                <w:w w:val="89"/>
              </w:rPr>
              <w:t>Securities</w:t>
            </w:r>
            <w:r>
              <w:rPr>
                <w:rFonts w:ascii="Arial" w:cs="Arial" w:eastAsia="Arial" w:hAnsi="Arial"/>
                <w:sz w:val="18"/>
                <w:szCs w:val="18"/>
                <w:color w:val="auto"/>
                <w:w w:val="89"/>
              </w:rPr>
              <w:t>”), issued and to be issued in one or more series under an Indenture, dated as of [</w:t>
            </w:r>
          </w:p>
        </w:tc>
        <w:tc>
          <w:tcPr>
            <w:tcW w:w="4740" w:type="dxa"/>
            <w:vAlign w:val="bottom"/>
            <w:gridSpan w:val="2"/>
          </w:tcPr>
          <w:p>
            <w:pPr>
              <w:ind w:left="500"/>
              <w:spacing w:after="0"/>
              <w:rPr>
                <w:sz w:val="20"/>
                <w:szCs w:val="20"/>
                <w:color w:val="auto"/>
              </w:rPr>
            </w:pPr>
            <w:r>
              <w:rPr>
                <w:rFonts w:ascii="Arial" w:cs="Arial" w:eastAsia="Arial" w:hAnsi="Arial"/>
                <w:sz w:val="18"/>
                <w:szCs w:val="18"/>
                <w:color w:val="auto"/>
                <w:w w:val="91"/>
              </w:rPr>
              <w:t>] (herein called the “</w:t>
            </w:r>
            <w:r>
              <w:rPr>
                <w:rFonts w:ascii="Arial" w:cs="Arial" w:eastAsia="Arial" w:hAnsi="Arial"/>
                <w:sz w:val="18"/>
                <w:szCs w:val="18"/>
                <w:b w:val="1"/>
                <w:bCs w:val="1"/>
                <w:i w:val="1"/>
                <w:iCs w:val="1"/>
                <w:color w:val="auto"/>
                <w:w w:val="91"/>
              </w:rPr>
              <w:t>Indenture</w:t>
            </w:r>
            <w:r>
              <w:rPr>
                <w:rFonts w:ascii="Arial" w:cs="Arial" w:eastAsia="Arial" w:hAnsi="Arial"/>
                <w:sz w:val="18"/>
                <w:szCs w:val="18"/>
                <w:color w:val="auto"/>
                <w:w w:val="91"/>
              </w:rPr>
              <w:t>”, which term shall have the</w:t>
            </w:r>
          </w:p>
        </w:tc>
      </w:tr>
      <w:tr>
        <w:trPr>
          <w:trHeight w:val="230"/>
        </w:trPr>
        <w:tc>
          <w:tcPr>
            <w:tcW w:w="6680" w:type="dxa"/>
            <w:vAlign w:val="bottom"/>
            <w:gridSpan w:val="3"/>
          </w:tcPr>
          <w:p>
            <w:pPr>
              <w:spacing w:after="0"/>
              <w:rPr>
                <w:sz w:val="20"/>
                <w:szCs w:val="20"/>
                <w:color w:val="auto"/>
              </w:rPr>
            </w:pPr>
            <w:r>
              <w:rPr>
                <w:rFonts w:ascii="Arial" w:cs="Arial" w:eastAsia="Arial" w:hAnsi="Arial"/>
                <w:sz w:val="18"/>
                <w:szCs w:val="18"/>
                <w:color w:val="auto"/>
                <w:w w:val="96"/>
              </w:rPr>
              <w:t>meaning assigned to it in such instrument), among the Company, the Guarantors and [</w:t>
            </w:r>
          </w:p>
        </w:tc>
        <w:tc>
          <w:tcPr>
            <w:tcW w:w="4740" w:type="dxa"/>
            <w:vAlign w:val="bottom"/>
            <w:gridSpan w:val="2"/>
          </w:tcPr>
          <w:p>
            <w:pPr>
              <w:ind w:left="60"/>
              <w:spacing w:after="0"/>
              <w:rPr>
                <w:sz w:val="20"/>
                <w:szCs w:val="20"/>
                <w:color w:val="auto"/>
              </w:rPr>
            </w:pPr>
            <w:r>
              <w:rPr>
                <w:rFonts w:ascii="Arial" w:cs="Arial" w:eastAsia="Arial" w:hAnsi="Arial"/>
                <w:sz w:val="18"/>
                <w:szCs w:val="18"/>
                <w:color w:val="auto"/>
              </w:rPr>
              <w:t>], as Trustee (herein called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which</w:t>
            </w:r>
          </w:p>
        </w:tc>
      </w:tr>
      <w:tr>
        <w:trPr>
          <w:trHeight w:val="365"/>
        </w:trPr>
        <w:tc>
          <w:tcPr>
            <w:tcW w:w="6680" w:type="dxa"/>
            <w:vAlign w:val="bottom"/>
            <w:gridSpan w:val="3"/>
          </w:tcPr>
          <w:p>
            <w:pPr>
              <w:jc w:val="right"/>
              <w:ind w:right="880"/>
              <w:spacing w:after="0"/>
              <w:rPr>
                <w:sz w:val="20"/>
                <w:szCs w:val="20"/>
                <w:color w:val="auto"/>
              </w:rPr>
            </w:pPr>
            <w:r>
              <w:rPr>
                <w:rFonts w:ascii="Arial" w:cs="Arial" w:eastAsia="Arial" w:hAnsi="Arial"/>
                <w:sz w:val="18"/>
                <w:szCs w:val="18"/>
                <w:color w:val="auto"/>
              </w:rPr>
              <w:t>19</w:t>
            </w:r>
          </w:p>
        </w:tc>
        <w:tc>
          <w:tcPr>
            <w:tcW w:w="720" w:type="dxa"/>
            <w:vAlign w:val="bottom"/>
          </w:tcPr>
          <w:p>
            <w:pPr>
              <w:spacing w:after="0"/>
              <w:rPr>
                <w:sz w:val="24"/>
                <w:szCs w:val="24"/>
                <w:color w:val="auto"/>
              </w:rPr>
            </w:pPr>
          </w:p>
        </w:tc>
        <w:tc>
          <w:tcPr>
            <w:tcW w:w="40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61" w:name="page162"/>
    <w:bookmarkEnd w:id="161"/>
    <w:p>
      <w:pPr>
        <w:ind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includes any successor trustee under the Indenture), and reference is hereby made to the Indenture for a statement of the respective rights, limitations of rights, duties and immunities thereunder of the Company, the Guarantors, the Trustee and the Holders of the Securities and of the terms upon which the Securities are, and are to be, authenticated and delivered. This Security is one of the series designated on the face hereof [if applicable, insert — limited in</w:t>
      </w:r>
    </w:p>
    <w:p>
      <w:pPr>
        <w:spacing w:after="0"/>
        <w:tabs>
          <w:tab w:leader="none" w:pos="2820" w:val="left"/>
        </w:tabs>
        <w:rPr>
          <w:sz w:val="20"/>
          <w:szCs w:val="20"/>
          <w:color w:val="auto"/>
        </w:rPr>
      </w:pPr>
      <w:r>
        <w:rPr>
          <w:rFonts w:ascii="Arial" w:cs="Arial" w:eastAsia="Arial" w:hAnsi="Arial"/>
          <w:sz w:val="18"/>
          <w:szCs w:val="18"/>
          <w:color w:val="auto"/>
        </w:rPr>
        <w:t>aggregate principal amount to $</w:t>
      </w:r>
      <w:r>
        <w:rPr>
          <w:sz w:val="20"/>
          <w:szCs w:val="20"/>
          <w:color w:val="auto"/>
        </w:rPr>
        <w:tab/>
      </w:r>
      <w:r>
        <w:rPr>
          <w:rFonts w:ascii="Arial" w:cs="Arial" w:eastAsia="Arial" w:hAnsi="Arial"/>
          <w:sz w:val="17"/>
          <w:szCs w:val="17"/>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Security is the general, unsecured, senior obligation of the Company [if applicable, insert — and is guaranteed pursuant to a guarantee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Guarantee</w:t>
      </w:r>
      <w:r>
        <w:rPr>
          <w:rFonts w:ascii="Arial" w:cs="Arial" w:eastAsia="Arial" w:hAnsi="Arial"/>
          <w:sz w:val="16"/>
          <w:szCs w:val="16"/>
          <w:color w:val="auto"/>
        </w:rPr>
        <w:t>”) by [</w:t>
      </w:r>
      <w:r>
        <w:rPr>
          <w:rFonts w:ascii="Arial" w:cs="Arial" w:eastAsia="Arial" w:hAnsi="Arial"/>
          <w:sz w:val="16"/>
          <w:szCs w:val="16"/>
          <w:i w:val="1"/>
          <w:iCs w:val="1"/>
          <w:color w:val="auto"/>
        </w:rPr>
        <w:t>insert name of each Guarantor</w:t>
      </w:r>
      <w:r>
        <w:rPr>
          <w:rFonts w:ascii="Arial" w:cs="Arial" w:eastAsia="Arial" w:hAnsi="Arial"/>
          <w:sz w:val="16"/>
          <w:szCs w:val="16"/>
          <w:color w:val="auto"/>
        </w:rPr>
        <w:t>] and any other Person who shall become such in accordance with the Indenture (the “</w:t>
      </w:r>
      <w:r>
        <w:rPr>
          <w:rFonts w:ascii="Arial" w:cs="Arial" w:eastAsia="Arial" w:hAnsi="Arial"/>
          <w:sz w:val="16"/>
          <w:szCs w:val="16"/>
          <w:b w:val="1"/>
          <w:bCs w:val="1"/>
          <w:i w:val="1"/>
          <w:iCs w:val="1"/>
          <w:color w:val="auto"/>
        </w:rPr>
        <w:t>Guarantors</w:t>
      </w:r>
      <w:r>
        <w:rPr>
          <w:rFonts w:ascii="Arial" w:cs="Arial" w:eastAsia="Arial" w:hAnsi="Arial"/>
          <w:sz w:val="16"/>
          <w:szCs w:val="16"/>
          <w:color w:val="auto"/>
        </w:rPr>
        <w: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Guarantee by each Guarantor is the general, unsecured, senior obligation of such Guarantor, subject to the release and discharge thereof as provided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applicable, insert — The Securities of this series are subject to redemption upon not less than 30 days’ nor more than 60 days’ notice, at any time [if</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gridSpan w:val="3"/>
          </w:tcPr>
          <w:p>
            <w:pPr>
              <w:spacing w:after="0"/>
              <w:rPr>
                <w:sz w:val="20"/>
                <w:szCs w:val="20"/>
                <w:color w:val="auto"/>
              </w:rPr>
            </w:pPr>
            <w:r>
              <w:rPr>
                <w:rFonts w:ascii="Arial" w:cs="Arial" w:eastAsia="Arial" w:hAnsi="Arial"/>
                <w:sz w:val="18"/>
                <w:szCs w:val="18"/>
                <w:color w:val="auto"/>
              </w:rPr>
              <w:t>applicable, insert — on or after</w:t>
            </w:r>
          </w:p>
        </w:tc>
        <w:tc>
          <w:tcPr>
            <w:tcW w:w="8140" w:type="dxa"/>
            <w:vAlign w:val="bottom"/>
            <w:gridSpan w:val="7"/>
          </w:tcPr>
          <w:p>
            <w:pPr>
              <w:jc w:val="center"/>
              <w:ind w:right="60"/>
              <w:spacing w:after="0"/>
              <w:rPr>
                <w:sz w:val="20"/>
                <w:szCs w:val="20"/>
                <w:color w:val="auto"/>
              </w:rPr>
            </w:pPr>
            <w:r>
              <w:rPr>
                <w:rFonts w:ascii="Arial" w:cs="Arial" w:eastAsia="Arial" w:hAnsi="Arial"/>
                <w:sz w:val="18"/>
                <w:szCs w:val="18"/>
                <w:color w:val="auto"/>
                <w:w w:val="91"/>
              </w:rPr>
              <w:t>, 20  ], as a whole or in part, at the election of the Company, at the following Redemption Prices (expressed as</w:t>
            </w:r>
          </w:p>
        </w:tc>
      </w:tr>
      <w:tr>
        <w:trPr>
          <w:trHeight w:val="216"/>
        </w:trPr>
        <w:tc>
          <w:tcPr>
            <w:tcW w:w="6260" w:type="dxa"/>
            <w:vAlign w:val="bottom"/>
            <w:gridSpan w:val="6"/>
          </w:tcPr>
          <w:p>
            <w:pPr>
              <w:spacing w:after="0"/>
              <w:rPr>
                <w:sz w:val="20"/>
                <w:szCs w:val="20"/>
                <w:color w:val="auto"/>
              </w:rPr>
            </w:pPr>
            <w:r>
              <w:rPr>
                <w:rFonts w:ascii="Arial" w:cs="Arial" w:eastAsia="Arial" w:hAnsi="Arial"/>
                <w:sz w:val="18"/>
                <w:szCs w:val="18"/>
                <w:color w:val="auto"/>
                <w:w w:val="91"/>
              </w:rPr>
              <w:t>percentages of the principal amount): If redeemed [if applicable, insert — on or before</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w w:val="90"/>
              </w:rPr>
              <w:t>%, and if redeemed] during the 12-month period</w:t>
            </w:r>
          </w:p>
        </w:tc>
      </w:tr>
      <w:tr>
        <w:trPr>
          <w:trHeight w:val="230"/>
        </w:trPr>
        <w:tc>
          <w:tcPr>
            <w:tcW w:w="780" w:type="dxa"/>
            <w:vAlign w:val="bottom"/>
            <w:gridSpan w:val="2"/>
          </w:tcPr>
          <w:p>
            <w:pPr>
              <w:spacing w:after="0"/>
              <w:rPr>
                <w:sz w:val="20"/>
                <w:szCs w:val="20"/>
                <w:color w:val="auto"/>
              </w:rPr>
            </w:pPr>
            <w:r>
              <w:rPr>
                <w:rFonts w:ascii="Arial" w:cs="Arial" w:eastAsia="Arial" w:hAnsi="Arial"/>
                <w:sz w:val="18"/>
                <w:szCs w:val="18"/>
                <w:color w:val="auto"/>
                <w:w w:val="97"/>
              </w:rPr>
              <w:t>beginning</w:t>
            </w:r>
          </w:p>
        </w:tc>
        <w:tc>
          <w:tcPr>
            <w:tcW w:w="3140" w:type="dxa"/>
            <w:vAlign w:val="bottom"/>
            <w:gridSpan w:val="2"/>
          </w:tcPr>
          <w:p>
            <w:pPr>
              <w:ind w:left="900"/>
              <w:spacing w:after="0"/>
              <w:rPr>
                <w:sz w:val="20"/>
                <w:szCs w:val="20"/>
                <w:color w:val="auto"/>
              </w:rPr>
            </w:pPr>
            <w:r>
              <w:rPr>
                <w:rFonts w:ascii="Arial" w:cs="Arial" w:eastAsia="Arial" w:hAnsi="Arial"/>
                <w:sz w:val="18"/>
                <w:szCs w:val="18"/>
                <w:color w:val="auto"/>
              </w:rPr>
              <w:t>of the years indicated,</w:t>
            </w:r>
          </w:p>
        </w:tc>
        <w:tc>
          <w:tcPr>
            <w:tcW w:w="2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92"/>
        </w:trPr>
        <w:tc>
          <w:tcPr>
            <w:tcW w:w="4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4"/>
                <w:szCs w:val="14"/>
                <w:b w:val="1"/>
                <w:bCs w:val="1"/>
                <w:color w:val="auto"/>
                <w:w w:val="98"/>
              </w:rPr>
              <w:t>Year</w:t>
            </w:r>
          </w:p>
        </w:tc>
        <w:tc>
          <w:tcPr>
            <w:tcW w:w="20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b w:val="1"/>
                <w:bCs w:val="1"/>
                <w:color w:val="auto"/>
                <w:w w:val="92"/>
              </w:rPr>
              <w:t>Redemption Price</w:t>
            </w:r>
          </w:p>
        </w:tc>
        <w:tc>
          <w:tcPr>
            <w:tcW w:w="20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2"/>
              </w:rPr>
              <w:t>Year</w:t>
            </w:r>
          </w:p>
        </w:tc>
        <w:tc>
          <w:tcPr>
            <w:tcW w:w="900" w:type="dxa"/>
            <w:vAlign w:val="bottom"/>
          </w:tcPr>
          <w:p>
            <w:pPr>
              <w:spacing w:after="0"/>
              <w:rPr>
                <w:sz w:val="24"/>
                <w:szCs w:val="24"/>
                <w:color w:val="auto"/>
              </w:rPr>
            </w:pPr>
          </w:p>
        </w:tc>
        <w:tc>
          <w:tcPr>
            <w:tcW w:w="3780" w:type="dxa"/>
            <w:vAlign w:val="bottom"/>
            <w:gridSpan w:val="3"/>
          </w:tcPr>
          <w:p>
            <w:pPr>
              <w:ind w:left="1060"/>
              <w:spacing w:after="0"/>
              <w:rPr>
                <w:sz w:val="20"/>
                <w:szCs w:val="20"/>
                <w:color w:val="auto"/>
              </w:rPr>
            </w:pPr>
            <w:r>
              <w:rPr>
                <w:rFonts w:ascii="Arial" w:cs="Arial" w:eastAsia="Arial" w:hAnsi="Arial"/>
                <w:sz w:val="14"/>
                <w:szCs w:val="14"/>
                <w:b w:val="1"/>
                <w:bCs w:val="1"/>
                <w:color w:val="auto"/>
              </w:rPr>
              <w:t>Redemption Price</w:t>
            </w:r>
          </w:p>
        </w:tc>
      </w:tr>
      <w:tr>
        <w:trPr>
          <w:trHeight w:val="20"/>
        </w:trPr>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and thereafter at a Redemption Price equal to % of the principal amount, together in the case of any such redemption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[If applicable, insert — The Securities of this series are subject to redemption upon not less than 30 nor more than 60 days’ notice by mail, (1) on</w:t>
      </w:r>
    </w:p>
    <w:p>
      <w:pPr>
        <w:spacing w:after="0" w:line="35" w:lineRule="exact"/>
        <w:rPr>
          <w:sz w:val="20"/>
          <w:szCs w:val="20"/>
          <w:color w:val="auto"/>
        </w:rPr>
      </w:pPr>
    </w:p>
    <w:p>
      <w:pPr>
        <w:ind w:firstLine="540"/>
        <w:spacing w:after="0" w:line="265" w:lineRule="auto"/>
        <w:rPr>
          <w:sz w:val="20"/>
          <w:szCs w:val="20"/>
          <w:color w:val="auto"/>
        </w:rPr>
      </w:pPr>
      <w:r>
        <w:rPr>
          <w:rFonts w:ascii="Arial" w:cs="Arial" w:eastAsia="Arial" w:hAnsi="Arial"/>
          <w:sz w:val="17"/>
          <w:szCs w:val="17"/>
          <w:color w:val="auto"/>
        </w:rPr>
        <w:t>in any year commencing with the year and ending with the year through operation of the sinking fund for this series at the Redemption Prices for redemption through operation of the sinking fund (expressed as percentages of the principal amount) set forth in the table below, and (2) at any time</w:t>
      </w:r>
    </w:p>
    <w:p>
      <w:pPr>
        <w:ind w:right="40"/>
        <w:spacing w:after="0" w:line="281" w:lineRule="auto"/>
        <w:rPr>
          <w:sz w:val="20"/>
          <w:szCs w:val="20"/>
          <w:color w:val="auto"/>
        </w:rPr>
      </w:pPr>
      <w:r>
        <w:rPr>
          <w:rFonts w:ascii="Arial" w:cs="Arial" w:eastAsia="Arial" w:hAnsi="Arial"/>
          <w:sz w:val="16"/>
          <w:szCs w:val="16"/>
          <w:color w:val="auto"/>
        </w:rPr>
        <w:t>[if applicable, insert – on or after ], as a whole or in part, at the election of the Company, at the Redemption Prices for redemption otherwise than through operation of the sinking fund (expressed as percentages of the principal amount) set forth in the table below: If redeemed during the 12-month period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beginning</w:t>
            </w:r>
          </w:p>
        </w:tc>
        <w:tc>
          <w:tcPr>
            <w:tcW w:w="2580" w:type="dxa"/>
            <w:vAlign w:val="bottom"/>
            <w:gridSpan w:val="3"/>
          </w:tcPr>
          <w:p>
            <w:pPr>
              <w:ind w:left="300"/>
              <w:spacing w:after="0"/>
              <w:rPr>
                <w:sz w:val="20"/>
                <w:szCs w:val="20"/>
                <w:color w:val="auto"/>
              </w:rPr>
            </w:pPr>
            <w:r>
              <w:rPr>
                <w:rFonts w:ascii="Arial" w:cs="Arial" w:eastAsia="Arial" w:hAnsi="Arial"/>
                <w:sz w:val="18"/>
                <w:szCs w:val="18"/>
                <w:color w:val="auto"/>
              </w:rPr>
              <w:t>of the years indicated,</w:t>
            </w:r>
          </w:p>
        </w:tc>
        <w:tc>
          <w:tcPr>
            <w:tcW w:w="7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880" w:type="dxa"/>
            <w:vAlign w:val="bottom"/>
            <w:gridSpan w:val="2"/>
          </w:tcPr>
          <w:p>
            <w:pPr>
              <w:jc w:val="center"/>
              <w:ind w:left="628"/>
              <w:spacing w:after="0"/>
              <w:rPr>
                <w:sz w:val="20"/>
                <w:szCs w:val="20"/>
                <w:color w:val="auto"/>
              </w:rPr>
            </w:pPr>
            <w:r>
              <w:rPr>
                <w:rFonts w:ascii="Arial" w:cs="Arial" w:eastAsia="Arial" w:hAnsi="Arial"/>
                <w:sz w:val="14"/>
                <w:szCs w:val="14"/>
                <w:b w:val="1"/>
                <w:bCs w:val="1"/>
                <w:color w:val="auto"/>
                <w:w w:val="92"/>
              </w:rPr>
              <w:t>Redemption Price For Redemption</w:t>
            </w:r>
          </w:p>
        </w:tc>
        <w:tc>
          <w:tcPr>
            <w:tcW w:w="13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2"/>
              </w:rPr>
              <w:t>Redemption Price For Redemption</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w:t>
            </w:r>
          </w:p>
        </w:tc>
        <w:tc>
          <w:tcPr>
            <w:tcW w:w="19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Through Operation of the Sinking</w:t>
            </w:r>
          </w:p>
        </w:tc>
        <w:tc>
          <w:tcPr>
            <w:tcW w:w="3580" w:type="dxa"/>
            <w:vAlign w:val="bottom"/>
            <w:gridSpan w:val="2"/>
          </w:tcPr>
          <w:p>
            <w:pPr>
              <w:jc w:val="center"/>
              <w:ind w:left="1248"/>
              <w:spacing w:after="0" w:line="149" w:lineRule="exact"/>
              <w:rPr>
                <w:sz w:val="20"/>
                <w:szCs w:val="20"/>
                <w:color w:val="auto"/>
              </w:rPr>
            </w:pPr>
            <w:r>
              <w:rPr>
                <w:rFonts w:ascii="Arial" w:cs="Arial" w:eastAsia="Arial" w:hAnsi="Arial"/>
                <w:sz w:val="14"/>
                <w:szCs w:val="14"/>
                <w:b w:val="1"/>
                <w:bCs w:val="1"/>
                <w:color w:val="auto"/>
                <w:w w:val="94"/>
              </w:rPr>
              <w:t>Otherwise Than Through Operation</w:t>
            </w: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1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9"/>
              </w:rPr>
              <w:t>Fund</w:t>
            </w:r>
          </w:p>
        </w:tc>
        <w:tc>
          <w:tcPr>
            <w:tcW w:w="1340" w:type="dxa"/>
            <w:vAlign w:val="bottom"/>
          </w:tcPr>
          <w:p>
            <w:pPr>
              <w:spacing w:after="0"/>
              <w:rPr>
                <w:sz w:val="14"/>
                <w:szCs w:val="14"/>
                <w:color w:val="auto"/>
              </w:rPr>
            </w:pPr>
          </w:p>
        </w:tc>
        <w:tc>
          <w:tcPr>
            <w:tcW w:w="224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of the Sinking Fund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162" w:name="page163"/>
    <w:bookmarkEnd w:id="162"/>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thereafter at a Redemption Price equal to % of the principal amount, together in the case of any such redemption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8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[If applicable, insert — Notwithstanding the foregoing, the Company may not, prior to , redeem any Securities of this series as contemplated by [if applicable, insert — clause (2) of] the preceding paragraph as a part of, or in anticipation of, any refunding operation by the application, directly or indirectly, of moneys borrowed having an interest cost to the Company (calculated in accordance with generally accepted financial practice) of less than</w:t>
      </w:r>
    </w:p>
    <w:p>
      <w:pPr>
        <w:ind w:left="540"/>
        <w:spacing w:after="0"/>
        <w:rPr>
          <w:sz w:val="20"/>
          <w:szCs w:val="20"/>
          <w:color w:val="auto"/>
        </w:rPr>
      </w:pPr>
      <w:r>
        <w:rPr>
          <w:rFonts w:ascii="Arial" w:cs="Arial" w:eastAsia="Arial" w:hAnsi="Arial"/>
          <w:sz w:val="18"/>
          <w:szCs w:val="18"/>
          <w:color w:val="auto"/>
        </w:rPr>
        <w:t>% per annum.]</w:t>
      </w:r>
    </w:p>
    <w:p>
      <w:pPr>
        <w:spacing w:after="0" w:line="211"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[If applicable, insert — The sinking fund for this series provides for the redemption on in each year beginning with the year and ending with the year of [if applicable, insert — not less than $ (“mandatory sinking fund”) and not more than] $ aggregate principal amount of</w:t>
      </w:r>
    </w:p>
    <w:p>
      <w:pPr>
        <w:spacing w:after="0" w:line="1"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Securities of this series. Securities of this series acquired or redeemed by the Company otherwise than through [if applicable, insert — mandatory] sinking fund payments may be credited against subsequent [if applicable, insert — mandatory] sinking fund payments otherwise required to be made [if applicable, insert —, in the inverse order in which they become due].]</w:t>
      </w:r>
    </w:p>
    <w:p>
      <w:pPr>
        <w:spacing w:after="0" w:line="190"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[If the Security is subject to redemption of any kind, insert — In the event of redemption of this Security in part only, a new Security or Securities of this series and of like tenor for the unredeemed portion hereof will be issued in the name of the Holder hereof upon the cancellation hereof.]</w:t>
      </w:r>
    </w:p>
    <w:p>
      <w:pPr>
        <w:spacing w:after="0" w:line="12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indebtedness evidenced by this Security is, to the extent provided in the Indenture, subordinate and subject in right of payment to the prior payment in full of all Senior Debt [if applicable, insert — and the Guarantees by the Guarantors are, to the extent provided in the Indenture, subordinate and subject in right of payment to the prior payment in full of all Senior Guarantor Debt], and this Security is issued subject to the provisions of the Indenture with respect thereto. Each Holder of this Security, by accepting the same, (a) agrees to and shall be bound by such provisions, (b) authorizes and directs the Trustee on his or her behalf to take such actions as may be necessary or appropriate to effectuate the subordination so provided and (c) appoints the Trustee his or her attorney-in-fact for any and all such purposes. Each Holder hereof, by his or her acceptance hereof, waives all notice of the acceptance of the subordination provisions contained herein and in the Indenture by each holder of Senior Debt [if applicable, insert — or Senior Guarantor Debt], whether now outstanding or hereafter created, incurred, assumed or guaranteed, and waives reliance by each such holder upon said provisions.</w:t>
      </w:r>
    </w:p>
    <w:p>
      <w:pPr>
        <w:spacing w:after="0" w:line="166"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[If applicable, insert — 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163" w:name="page164"/>
    <w:bookmarkEnd w:id="163"/>
    <w:p>
      <w:pPr>
        <w:jc w:val="both"/>
        <w:ind w:right="44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applicable, insert — As provided in the Indenture and subject to certain limitations therein set forth, the obligations of the Company under this Security are guaranteed by each of the Guarantors pursuant to the Indenture [as indicated in the notation of Guarantee endorsed hereon]. The Indenture provides that a Guarantor shall be released from its Guarantee upon compliance with certain conditions.]</w:t>
      </w:r>
    </w:p>
    <w:p>
      <w:pPr>
        <w:spacing w:after="0" w:line="166"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[If the Security is not an Original Issue Discount Security, insert — If an Event of Default with respect to Securities of this series shall occur and be continuing, the principal of the Securities of this series may be declared due and payable in the manner and with the effect provided in the Indenture.]</w:t>
      </w:r>
    </w:p>
    <w:p>
      <w:pPr>
        <w:spacing w:after="0" w:line="124"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[If the Security is an Original Issue Discount Security, insert — If an Event of Default with respect to Securities of this series shall occur and be continuing, an amount of principal of the Securities of this series may be declared due and payable in the manner and with the effect provided in the Indenture. Such amount shall be equal to — insert formula for determining the amount.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19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Indenture permits, with certain exceptions as therein provided, the amendment thereof and the modification of the rights and obligations of the Company [if applicable, insert — and the Guarantors] and the rights of the Holders of the Securities to be affected under the Indenture at any time by the Company [if applicable, insert — and the Guarantors] and the Trustee with the consent of the Holders of a majority in principal amount (including consents obtained in connection with a purchase of, or tender offer or exchange offer for, Securities) of all Securities at the time Outstanding to be affected (considered together as one class for this purpose and such Securities to be affected potentially being Securities of the same or different series and, with respect to any series, potentially comprising fewer than all the Securities of such series), except as may otherwise be provided pursuant to the Indenture for all or any specific Securities of any series. The Indenture also contains provisions (i) permitting the Holders of a majority in principal amount (including waivers obtained in connection with a purchase of, or tender offer or exchange offer for, Securities) of the Securities at the time Outstanding to be affected under the Indenture (considered together as one class for this purpose and such affected Securities potentially being Securities of the same or different series and, with respect to any particular series, potentially comprising fewer than all the Securities of such series), on behalf of the Holders of all Securities so affected, to waive compliance by the Company [if applicable, insert — and the Guarantors] with certain provisions of the Indenture and (ii) permitting the Holders of a majority in principal amount (including waivers obtained in connection with a purchase of, or tender offer or exchange offer for, Securities) of the Securities at the time Outstanding of any series to be affected under the Indenture (with each such series considered separately for this purpose), on behalf of the Holders of all Securities of such series, to waive certain past defaults under the Indenture with respect to such series and their consequences, in the case of Clause (i) or (ii), except as may otherwise be provided pursuant to the Indenture for all or any specific Securities of any series.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164" w:name="page165"/>
    <w:bookmarkEnd w:id="164"/>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reasonably satisfactory to it,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6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 [if applicable, insert — or alter or impair the obligation of each Guarantor, which is absolute and unconditional, to pay pursuant to its Guarantee].</w:t>
      </w:r>
    </w:p>
    <w:p>
      <w:pPr>
        <w:spacing w:after="0" w:line="18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58"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Securities of this series are issuable only in registered form without coupons in denominations of $2,000 and any integral multiple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Prior to due presentment of this Security for registration of transfer, the Company, [if applicable, insert — any Guarantor,] the Trustee and any agent of the Company [if applicable, insert — any Guarantor] or the Trustee may treat the Person in whose name this Security is registered as the owner hereof for all purposes, whether or not this Security be overdue, and neither the Company, [if applicable, insert — any Guarantor,] the Trustee nor any such agent shall be affected by notice to the contrary.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165" w:name="page166"/>
    <w:bookmarkEnd w:id="165"/>
    <w:p>
      <w:pPr>
        <w:ind w:right="3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this Security is a Global Security, insert — This Security is a Global Security and is subject to the provisions of the Indenture relating to Global Securities, including the limitations therein on transfers and exchanges of Global Securities.]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This Security and the Indenture [(and any Guarantee endorsed hereon or attached hereto)] shall be governed by and construed in accordance with the law of the State of New York.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terms used in this Security which are defined in the Indenture shall have the meanings assigned to them in the Indenture.</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Form of Legend for Global Securities</w:t>
      </w:r>
      <w:r>
        <w:rPr>
          <w:rFonts w:ascii="Arial" w:cs="Arial" w:eastAsia="Arial" w:hAnsi="Arial"/>
          <w:sz w:val="18"/>
          <w:szCs w:val="18"/>
          <w:color w:val="auto"/>
        </w:rPr>
        <w:t xml:space="preserve">. Unless otherwise specified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for the Securities evidenced thereby, every Global Security authenticated and delivered hereunder shall bear a legend in substantially the following form:</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Form of Trustee’s Certificate of Authentication</w:t>
      </w:r>
      <w:r>
        <w:rPr>
          <w:rFonts w:ascii="Arial" w:cs="Arial" w:eastAsia="Arial" w:hAnsi="Arial"/>
          <w:sz w:val="16"/>
          <w:szCs w:val="16"/>
          <w:color w:val="auto"/>
        </w:rPr>
        <w:t>. The Trustee’s certificates of authentication shall be in substantially the following form:</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52" w:lineRule="exact"/>
        <w:rPr>
          <w:sz w:val="20"/>
          <w:szCs w:val="20"/>
          <w:color w:val="auto"/>
        </w:rPr>
      </w:pPr>
    </w:p>
    <w:p>
      <w:pPr>
        <w:spacing w:after="0"/>
        <w:tabs>
          <w:tab w:leader="none" w:pos="5880" w:val="left"/>
          <w:tab w:leader="none" w:pos="76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SECURITIES</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 The aggregate principal amount of Securities which may be authenticated and delivered under this Indenture is unlimited.</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The Securities may be issued in one or more series. There shall be established in or pursuant to a Board Resolution, and, subject to </w:t>
      </w:r>
      <w:r>
        <w:rPr>
          <w:rFonts w:ascii="Arial" w:cs="Arial" w:eastAsia="Arial" w:hAnsi="Arial"/>
          <w:sz w:val="18"/>
          <w:szCs w:val="18"/>
          <w:u w:val="single" w:color="auto"/>
          <w:color w:val="auto"/>
        </w:rPr>
        <w:t>Section 3.03</w:t>
      </w:r>
      <w:r>
        <w:rPr>
          <w:rFonts w:ascii="Arial" w:cs="Arial" w:eastAsia="Arial" w:hAnsi="Arial"/>
          <w:sz w:val="18"/>
          <w:szCs w:val="18"/>
          <w:color w:val="auto"/>
        </w:rPr>
        <w:t>, set forth, or determined in the manner provided, in an Officers’ Certificate, or established in one or more indentures supplemental hereto, prior to the issuance of Securities of any series,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274" w:right="319" w:bottom="1440" w:gutter="0" w:footer="0" w:header="0"/>
        </w:sectPr>
      </w:pPr>
    </w:p>
    <w:bookmarkStart w:id="166" w:name="page167"/>
    <w:bookmarkEnd w:id="166"/>
    <w:p>
      <w:pPr>
        <w:ind w:left="700" w:hanging="257"/>
        <w:spacing w:after="0"/>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title of the Securities of the series (which shall distinguish the Securities of the series from Securities of any other series);</w:t>
      </w:r>
    </w:p>
    <w:p>
      <w:pPr>
        <w:spacing w:after="0" w:line="117" w:lineRule="exact"/>
        <w:rPr>
          <w:rFonts w:ascii="Arial" w:cs="Arial" w:eastAsia="Arial" w:hAnsi="Arial"/>
          <w:sz w:val="18"/>
          <w:szCs w:val="18"/>
          <w:color w:val="auto"/>
        </w:rPr>
      </w:pPr>
    </w:p>
    <w:p>
      <w:pPr>
        <w:ind w:firstLine="443"/>
        <w:spacing w:after="0" w:line="259" w:lineRule="auto"/>
        <w:tabs>
          <w:tab w:leader="none" w:pos="69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w:t>
      </w:r>
      <w:r>
        <w:rPr>
          <w:rFonts w:ascii="Arial" w:cs="Arial" w:eastAsia="Arial" w:hAnsi="Arial"/>
          <w:sz w:val="18"/>
          <w:szCs w:val="18"/>
          <w:u w:val="single" w:color="auto"/>
          <w:color w:val="auto"/>
        </w:rPr>
        <w:t>3.06</w:t>
      </w:r>
      <w:r>
        <w:rPr>
          <w:rFonts w:ascii="Arial" w:cs="Arial" w:eastAsia="Arial" w:hAnsi="Arial"/>
          <w:sz w:val="18"/>
          <w:szCs w:val="18"/>
          <w:color w:val="auto"/>
        </w:rPr>
        <w:t xml:space="preserve">, </w:t>
      </w:r>
      <w:r>
        <w:rPr>
          <w:rFonts w:ascii="Arial" w:cs="Arial" w:eastAsia="Arial" w:hAnsi="Arial"/>
          <w:sz w:val="18"/>
          <w:szCs w:val="18"/>
          <w:u w:val="single" w:color="auto"/>
          <w:color w:val="auto"/>
        </w:rPr>
        <w:t>9.06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11.07</w:t>
      </w:r>
      <w:r>
        <w:rPr>
          <w:rFonts w:ascii="Arial" w:cs="Arial" w:eastAsia="Arial" w:hAnsi="Arial"/>
          <w:sz w:val="18"/>
          <w:szCs w:val="18"/>
          <w:color w:val="auto"/>
        </w:rPr>
        <w:t xml:space="preserve"> and except for any Securities which, pursuant to </w:t>
      </w:r>
      <w:r>
        <w:rPr>
          <w:rFonts w:ascii="Arial" w:cs="Arial" w:eastAsia="Arial" w:hAnsi="Arial"/>
          <w:sz w:val="18"/>
          <w:szCs w:val="18"/>
          <w:u w:val="single" w:color="auto"/>
          <w:color w:val="auto"/>
        </w:rPr>
        <w:t>Section 3.03</w:t>
      </w:r>
      <w:r>
        <w:rPr>
          <w:rFonts w:ascii="Arial" w:cs="Arial" w:eastAsia="Arial" w:hAnsi="Arial"/>
          <w:sz w:val="18"/>
          <w:szCs w:val="18"/>
          <w:color w:val="auto"/>
        </w:rPr>
        <w:t>, are deemed never to have been authenticated and delivered hereunder);</w:t>
      </w:r>
    </w:p>
    <w:p>
      <w:pPr>
        <w:spacing w:after="0" w:line="78" w:lineRule="exact"/>
        <w:rPr>
          <w:rFonts w:ascii="Arial" w:cs="Arial" w:eastAsia="Arial" w:hAnsi="Arial"/>
          <w:sz w:val="18"/>
          <w:szCs w:val="18"/>
          <w:color w:val="auto"/>
        </w:rPr>
      </w:pPr>
    </w:p>
    <w:p>
      <w:pPr>
        <w:ind w:right="200" w:firstLine="443"/>
        <w:spacing w:after="0" w:line="277" w:lineRule="auto"/>
        <w:tabs>
          <w:tab w:leader="none" w:pos="69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date or dates on which the principal of any Securities of the series is payable;</w:t>
      </w:r>
    </w:p>
    <w:p>
      <w:pPr>
        <w:spacing w:after="0" w:line="117" w:lineRule="exact"/>
        <w:rPr>
          <w:rFonts w:ascii="Arial" w:cs="Arial" w:eastAsia="Arial" w:hAnsi="Arial"/>
          <w:sz w:val="18"/>
          <w:szCs w:val="18"/>
          <w:color w:val="auto"/>
        </w:rPr>
      </w:pPr>
    </w:p>
    <w:p>
      <w:pPr>
        <w:jc w:val="both"/>
        <w:ind w:right="60" w:firstLine="443"/>
        <w:spacing w:after="0" w:line="264" w:lineRule="auto"/>
        <w:tabs>
          <w:tab w:leader="none" w:pos="69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rate or rates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w:t>
      </w:r>
    </w:p>
    <w:p>
      <w:pPr>
        <w:spacing w:after="0" w:line="73" w:lineRule="exact"/>
        <w:rPr>
          <w:rFonts w:ascii="Arial" w:cs="Arial" w:eastAsia="Arial" w:hAnsi="Arial"/>
          <w:sz w:val="18"/>
          <w:szCs w:val="18"/>
          <w:color w:val="auto"/>
        </w:rPr>
      </w:pPr>
    </w:p>
    <w:p>
      <w:pPr>
        <w:ind w:right="360" w:firstLine="443"/>
        <w:spacing w:after="0" w:line="277" w:lineRule="auto"/>
        <w:tabs>
          <w:tab w:leader="none" w:pos="69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premium and interest on any Securities of the series shall be payable and the manner in which any payment may be made;</w:t>
      </w:r>
    </w:p>
    <w:p>
      <w:pPr>
        <w:spacing w:after="0" w:line="62" w:lineRule="exact"/>
        <w:rPr>
          <w:rFonts w:ascii="Arial" w:cs="Arial" w:eastAsia="Arial" w:hAnsi="Arial"/>
          <w:sz w:val="18"/>
          <w:szCs w:val="18"/>
          <w:color w:val="auto"/>
        </w:rPr>
      </w:pPr>
    </w:p>
    <w:p>
      <w:pPr>
        <w:ind w:right="160" w:firstLine="443"/>
        <w:spacing w:after="0" w:line="264" w:lineRule="auto"/>
        <w:tabs>
          <w:tab w:leader="none" w:pos="69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73" w:lineRule="exact"/>
        <w:rPr>
          <w:rFonts w:ascii="Arial" w:cs="Arial" w:eastAsia="Arial" w:hAnsi="Arial"/>
          <w:sz w:val="18"/>
          <w:szCs w:val="18"/>
          <w:color w:val="auto"/>
        </w:rPr>
      </w:pPr>
    </w:p>
    <w:p>
      <w:pPr>
        <w:ind w:right="20" w:firstLine="443"/>
        <w:spacing w:after="0" w:line="286" w:lineRule="auto"/>
        <w:tabs>
          <w:tab w:leader="none" w:pos="693"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any Securities of the series pursuant to any sinking fund or analogous provisions or at the option of the Holder thereof and the period or periods within which, the price or prices at which and the terms and conditions upon which any Securities of the series shall be redeemed or purchased, in whole or in part, pursuant to such obligation;</w:t>
      </w:r>
    </w:p>
    <w:p>
      <w:pPr>
        <w:spacing w:after="0" w:line="57" w:lineRule="exact"/>
        <w:rPr>
          <w:rFonts w:ascii="Arial" w:cs="Arial" w:eastAsia="Arial" w:hAnsi="Arial"/>
          <w:sz w:val="17"/>
          <w:szCs w:val="17"/>
          <w:color w:val="auto"/>
        </w:rPr>
      </w:pPr>
    </w:p>
    <w:p>
      <w:pPr>
        <w:ind w:right="80" w:firstLine="443"/>
        <w:spacing w:after="0" w:line="277" w:lineRule="auto"/>
        <w:tabs>
          <w:tab w:leader="none" w:pos="69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other than denominations of $2,000 and any integral multiple of $1,000 in excess thereof, the denominations in which any Securities of the series shall be issuable;</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700" w:top="274" w:right="259" w:bottom="1440" w:gutter="0" w:footer="0" w:header="0"/>
        </w:sectPr>
      </w:pPr>
    </w:p>
    <w:bookmarkStart w:id="167" w:name="page168"/>
    <w:bookmarkEnd w:id="167"/>
    <w:p>
      <w:pPr>
        <w:ind w:right="440" w:firstLine="443"/>
        <w:spacing w:after="0" w:line="277" w:lineRule="auto"/>
        <w:tabs>
          <w:tab w:leader="none" w:pos="783" w:val="left"/>
        </w:tabs>
        <w:numPr>
          <w:ilvl w:val="0"/>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amount of principal of or any premium or interest on any Securities of the series may be determined with reference to an index or pursuant to a formula, the manner in which such amounts shall be determined;</w:t>
      </w:r>
    </w:p>
    <w:p>
      <w:pPr>
        <w:spacing w:after="0" w:line="62" w:lineRule="exact"/>
        <w:rPr>
          <w:rFonts w:ascii="Arial" w:cs="Arial" w:eastAsia="Arial" w:hAnsi="Arial"/>
          <w:sz w:val="18"/>
          <w:szCs w:val="18"/>
          <w:color w:val="auto"/>
        </w:rPr>
      </w:pPr>
    </w:p>
    <w:p>
      <w:pPr>
        <w:ind w:right="100" w:firstLine="443"/>
        <w:spacing w:after="0" w:line="259" w:lineRule="auto"/>
        <w:tabs>
          <w:tab w:leader="none" w:pos="77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if other than the currency of the United States of America, the currency, currencies, composite currency, composite currencies or currency units in which the principal of or any premium or interest on any Securities of the series shall be payable and the manner of determining the equivalent thereof in the currency of the United States of America for any purpose, including for the purposes of making payment in the currency of the United States of America and applying the definition of “Outstanding”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firstLine="443"/>
        <w:spacing w:after="0" w:line="276" w:lineRule="auto"/>
        <w:tabs>
          <w:tab w:leader="none" w:pos="783"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if the principal of or any premium or interest on any Securities of the series is to be payable, at the election of the Company or the Holder thereof, in one or more currencies, composite currencies or currency units other than that or those in which such Securities are stated to be payable, the currency, currencies, composite currency, composite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64" w:lineRule="exact"/>
        <w:rPr>
          <w:rFonts w:ascii="Arial" w:cs="Arial" w:eastAsia="Arial" w:hAnsi="Arial"/>
          <w:sz w:val="17"/>
          <w:szCs w:val="17"/>
          <w:color w:val="auto"/>
        </w:rPr>
      </w:pPr>
    </w:p>
    <w:p>
      <w:pPr>
        <w:ind w:right="280" w:firstLine="443"/>
        <w:spacing w:after="0" w:line="277" w:lineRule="auto"/>
        <w:tabs>
          <w:tab w:leader="none" w:pos="78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if other than the entire principal amount thereof, the portion of the principal amount of any Securities of the series which shall be payable upon declaration of acceleration of the Maturity thereof pursuant to </w:t>
      </w:r>
      <w:r>
        <w:rPr>
          <w:rFonts w:ascii="Arial" w:cs="Arial" w:eastAsia="Arial" w:hAnsi="Arial"/>
          <w:sz w:val="18"/>
          <w:szCs w:val="18"/>
          <w:u w:val="single" w:color="auto"/>
          <w:color w:val="auto"/>
        </w:rPr>
        <w:t>Section 5.02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100" w:firstLine="443"/>
        <w:spacing w:after="0" w:line="257" w:lineRule="auto"/>
        <w:tabs>
          <w:tab w:leader="none" w:pos="78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80" w:lineRule="exact"/>
        <w:rPr>
          <w:rFonts w:ascii="Arial" w:cs="Arial" w:eastAsia="Arial" w:hAnsi="Arial"/>
          <w:sz w:val="18"/>
          <w:szCs w:val="18"/>
          <w:color w:val="auto"/>
        </w:rPr>
      </w:pPr>
    </w:p>
    <w:p>
      <w:pPr>
        <w:ind w:left="780" w:hanging="337"/>
        <w:spacing w:after="0"/>
        <w:tabs>
          <w:tab w:leader="none" w:pos="7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if applicable, that the Securities of the series, in whole or any specified part, shall not be defeasible pursuant to </w:t>
      </w:r>
      <w:r>
        <w:rPr>
          <w:rFonts w:ascii="Arial" w:cs="Arial" w:eastAsia="Arial" w:hAnsi="Arial"/>
          <w:sz w:val="18"/>
          <w:szCs w:val="18"/>
          <w:u w:val="single" w:color="auto"/>
          <w:color w:val="auto"/>
        </w:rPr>
        <w:t>Section 13.02</w:t>
      </w:r>
      <w:r>
        <w:rPr>
          <w:rFonts w:ascii="Arial" w:cs="Arial" w:eastAsia="Arial" w:hAnsi="Arial"/>
          <w:sz w:val="18"/>
          <w:szCs w:val="18"/>
          <w:color w:val="auto"/>
        </w:rPr>
        <w:t xml:space="preserve"> or</w:t>
      </w:r>
    </w:p>
    <w:p>
      <w:pPr>
        <w:spacing w:after="0" w:line="2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u w:val="single" w:color="auto"/>
          <w:color w:val="auto"/>
        </w:rPr>
        <w:t>Section 13.03</w:t>
      </w:r>
      <w:r>
        <w:rPr>
          <w:rFonts w:ascii="Arial" w:cs="Arial" w:eastAsia="Arial" w:hAnsi="Arial"/>
          <w:sz w:val="18"/>
          <w:szCs w:val="18"/>
          <w:color w:val="auto"/>
        </w:rPr>
        <w:t xml:space="preserve"> or both such Sections, and, if such Securities may be defeased, in whole or in part, pursuant to either or both such Sections, any provisions to permit a pledge of obligations other than U.S. Government Obligations (or the establishment of other arrangements) to satisfy the requirements of </w:t>
      </w:r>
      <w:r>
        <w:rPr>
          <w:rFonts w:ascii="Arial" w:cs="Arial" w:eastAsia="Arial" w:hAnsi="Arial"/>
          <w:sz w:val="18"/>
          <w:szCs w:val="18"/>
          <w:u w:val="single" w:color="auto"/>
          <w:color w:val="auto"/>
        </w:rPr>
        <w:t>Section 13.04(1)</w:t>
      </w:r>
      <w:r>
        <w:rPr>
          <w:rFonts w:ascii="Arial" w:cs="Arial" w:eastAsia="Arial" w:hAnsi="Arial"/>
          <w:sz w:val="18"/>
          <w:szCs w:val="18"/>
          <w:color w:val="auto"/>
        </w:rPr>
        <w:t xml:space="preserve"> for defeasance of such Securities and, if other than by a Board Resolution, the manner in which any election by the Company to defease such Securities shall be evidenced;</w:t>
      </w:r>
    </w:p>
    <w:p>
      <w:pPr>
        <w:spacing w:after="0" w:line="82" w:lineRule="exact"/>
        <w:rPr>
          <w:sz w:val="20"/>
          <w:szCs w:val="20"/>
          <w:color w:val="auto"/>
        </w:rPr>
      </w:pPr>
    </w:p>
    <w:p>
      <w:pPr>
        <w:ind w:right="200" w:firstLine="443"/>
        <w:spacing w:after="0" w:line="264" w:lineRule="auto"/>
        <w:tabs>
          <w:tab w:leader="none" w:pos="78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700" w:top="274" w:right="239" w:bottom="1440" w:gutter="0" w:footer="0" w:header="0"/>
        </w:sectPr>
      </w:pPr>
    </w:p>
    <w:bookmarkStart w:id="168" w:name="page169"/>
    <w:bookmarkEnd w:id="168"/>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addition to, elimination of or other change in the circumstances set forth in Clause (2) of the penultimate paragraph of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 and any other provisions governing exchanges or transfers of any such Global Security;</w:t>
      </w:r>
    </w:p>
    <w:p>
      <w:pPr>
        <w:spacing w:after="0" w:line="79" w:lineRule="exact"/>
        <w:rPr>
          <w:sz w:val="20"/>
          <w:szCs w:val="20"/>
          <w:color w:val="auto"/>
        </w:rPr>
      </w:pPr>
    </w:p>
    <w:p>
      <w:pPr>
        <w:ind w:right="220" w:firstLine="443"/>
        <w:spacing w:after="0" w:line="342" w:lineRule="auto"/>
        <w:tabs>
          <w:tab w:leader="none" w:pos="78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any addition to, elimination of or other change in the Events of Default which applies to any Securities of the series and any change in the right of the Trustee or the requisite Holders of such Securities to declare the principal amount thereof due and payable pursuant to </w:t>
      </w:r>
      <w:r>
        <w:rPr>
          <w:rFonts w:ascii="Arial" w:cs="Arial" w:eastAsia="Arial" w:hAnsi="Arial"/>
          <w:sz w:val="16"/>
          <w:szCs w:val="16"/>
          <w:u w:val="single" w:color="auto"/>
          <w:color w:val="auto"/>
        </w:rPr>
        <w:t>Section 5.02</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780" w:hanging="337"/>
        <w:spacing w:after="0"/>
        <w:tabs>
          <w:tab w:leader="none" w:pos="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any addition to, elimination of or other change in the covenants set forth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which applies to Securities of the series;</w:t>
      </w:r>
    </w:p>
    <w:p>
      <w:pPr>
        <w:spacing w:after="0" w:line="117" w:lineRule="exact"/>
        <w:rPr>
          <w:rFonts w:ascii="Arial" w:cs="Arial" w:eastAsia="Arial" w:hAnsi="Arial"/>
          <w:sz w:val="18"/>
          <w:szCs w:val="18"/>
          <w:color w:val="auto"/>
        </w:rPr>
      </w:pPr>
    </w:p>
    <w:p>
      <w:pPr>
        <w:ind w:firstLine="443"/>
        <w:spacing w:after="0" w:line="264" w:lineRule="auto"/>
        <w:tabs>
          <w:tab w:leader="none" w:pos="78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provisions necessary to permit or facilitate the issuance, payment or conversion of any Securities of the series that may be converted into securities or other property other than Securities of the same series and of like tenor, whether in addition to, or in lieu of, any payment of principal or other amount and whether at the option of the Company or otherwise;</w:t>
      </w:r>
    </w:p>
    <w:p>
      <w:pPr>
        <w:spacing w:after="0" w:line="73" w:lineRule="exact"/>
        <w:rPr>
          <w:rFonts w:ascii="Arial" w:cs="Arial" w:eastAsia="Arial" w:hAnsi="Arial"/>
          <w:sz w:val="18"/>
          <w:szCs w:val="18"/>
          <w:color w:val="auto"/>
        </w:rPr>
      </w:pPr>
    </w:p>
    <w:p>
      <w:pPr>
        <w:ind w:right="60" w:firstLine="443"/>
        <w:spacing w:after="0" w:line="308" w:lineRule="auto"/>
        <w:tabs>
          <w:tab w:leader="none" w:pos="783"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if applicable, that Persons other than those specified in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shall have such benefits, rights, remedies and claims with respect to any Securities of the series or under this Indenture with respect to such Securities, as and to the extent provided for such Securities;</w:t>
      </w:r>
    </w:p>
    <w:p>
      <w:pPr>
        <w:spacing w:after="0" w:line="38" w:lineRule="exact"/>
        <w:rPr>
          <w:rFonts w:ascii="Arial" w:cs="Arial" w:eastAsia="Arial" w:hAnsi="Arial"/>
          <w:sz w:val="17"/>
          <w:szCs w:val="17"/>
          <w:color w:val="auto"/>
        </w:rPr>
      </w:pPr>
    </w:p>
    <w:p>
      <w:pPr>
        <w:ind w:right="40" w:firstLine="443"/>
        <w:spacing w:after="0" w:line="264" w:lineRule="auto"/>
        <w:tabs>
          <w:tab w:leader="none" w:pos="78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change in the actions permitted or required under this Indenture to be taken by or on behalf of the Holders of the Securities of the series, including any such change that permits or requires any or all such actions to be taken by or on behalf of the Holders of any specific Securities of the series rather than or in addition to the Holders of all Securities of the series;</w:t>
      </w:r>
    </w:p>
    <w:p>
      <w:pPr>
        <w:spacing w:after="0" w:line="73" w:lineRule="exact"/>
        <w:rPr>
          <w:rFonts w:ascii="Arial" w:cs="Arial" w:eastAsia="Arial" w:hAnsi="Arial"/>
          <w:sz w:val="18"/>
          <w:szCs w:val="18"/>
          <w:color w:val="auto"/>
        </w:rPr>
      </w:pPr>
    </w:p>
    <w:p>
      <w:pPr>
        <w:ind w:right="60" w:firstLine="443"/>
        <w:spacing w:after="0" w:line="259" w:lineRule="auto"/>
        <w:tabs>
          <w:tab w:leader="none" w:pos="78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if the Securities of the series are to be guaranteed by any Guarantors, the names of the Guarantors of the Securities of the series (which may, but need not, include any or all of the Initial Guarantors) and the terms of the Guarantees of the Securities of the series, if such terms differ from those set forth in </w:t>
      </w:r>
      <w:r>
        <w:rPr>
          <w:rFonts w:ascii="Arial" w:cs="Arial" w:eastAsia="Arial" w:hAnsi="Arial"/>
          <w:sz w:val="18"/>
          <w:szCs w:val="18"/>
          <w:u w:val="single" w:color="auto"/>
          <w:color w:val="auto"/>
        </w:rPr>
        <w:t>Section 14.01</w:t>
      </w:r>
      <w:r>
        <w:rPr>
          <w:rFonts w:ascii="Arial" w:cs="Arial" w:eastAsia="Arial" w:hAnsi="Arial"/>
          <w:sz w:val="18"/>
          <w:szCs w:val="18"/>
          <w:color w:val="auto"/>
        </w:rPr>
        <w:t xml:space="preserve">, and any deletions from, or modifications or additions to, the provisions of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or any other provisions of this Indenture in connection with the Guarantees of the Securities of the series;</w:t>
      </w:r>
    </w:p>
    <w:p>
      <w:pPr>
        <w:spacing w:after="0" w:line="78" w:lineRule="exact"/>
        <w:rPr>
          <w:rFonts w:ascii="Arial" w:cs="Arial" w:eastAsia="Arial" w:hAnsi="Arial"/>
          <w:sz w:val="18"/>
          <w:szCs w:val="18"/>
          <w:color w:val="auto"/>
        </w:rPr>
      </w:pPr>
    </w:p>
    <w:p>
      <w:pPr>
        <w:ind w:right="720" w:firstLine="443"/>
        <w:spacing w:after="0" w:line="277" w:lineRule="auto"/>
        <w:tabs>
          <w:tab w:leader="none" w:pos="78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if other than as provided in </w:t>
      </w:r>
      <w:r>
        <w:rPr>
          <w:rFonts w:ascii="Arial" w:cs="Arial" w:eastAsia="Arial" w:hAnsi="Arial"/>
          <w:sz w:val="18"/>
          <w:szCs w:val="18"/>
          <w:u w:val="single" w:color="auto"/>
          <w:color w:val="auto"/>
        </w:rPr>
        <w:t>Article XV</w:t>
      </w:r>
      <w:r>
        <w:rPr>
          <w:rFonts w:ascii="Arial" w:cs="Arial" w:eastAsia="Arial" w:hAnsi="Arial"/>
          <w:sz w:val="18"/>
          <w:szCs w:val="18"/>
          <w:color w:val="auto"/>
        </w:rPr>
        <w:t>, any provisions for subordination of any Securities of the series to other indebtedness of the Company (including Securities of other series); and</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other terms of the series (which terms shall not be inconsistent with the provisions of this Indenture, except as permitted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9.01(5))</w:t>
      </w:r>
      <w:r>
        <w:rPr>
          <w:rFonts w:ascii="Arial" w:cs="Arial" w:eastAsia="Arial" w:hAnsi="Arial"/>
          <w:sz w:val="18"/>
          <w:szCs w:val="18"/>
          <w:color w:val="auto"/>
        </w:rPr>
        <w:t>.</w:t>
      </w:r>
    </w:p>
    <w:p>
      <w:pPr>
        <w:spacing w:after="0" w:line="14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700" w:top="274" w:right="259" w:bottom="1440" w:gutter="0" w:footer="0" w:header="0"/>
        </w:sectPr>
      </w:pPr>
    </w:p>
    <w:bookmarkStart w:id="169" w:name="page170"/>
    <w:bookmarkEnd w:id="169"/>
    <w:p>
      <w:pPr>
        <w:ind w:right="12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Securities of the series are to be guaranteed by any Guarantor pursuant to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there shall be established in or pursuant to a Guarantor’s Board Resolution of such Guarantor and, subject to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set forth, or determined in the manner provided, in a Guarantor’s Officers’ Certificate of such Guarantor, or established in one or more indentures supplemental hereto, prior to the issuance of Securities of the series, the terms of the Guarantees by such Guarantor with respect to the Securities of the series, if such terms differ from those set forth in </w:t>
      </w:r>
      <w:r>
        <w:rPr>
          <w:rFonts w:ascii="Arial" w:cs="Arial" w:eastAsia="Arial" w:hAnsi="Arial"/>
          <w:sz w:val="17"/>
          <w:szCs w:val="17"/>
          <w:u w:val="single" w:color="auto"/>
          <w:color w:val="auto"/>
        </w:rPr>
        <w:t>Section 14.01</w:t>
      </w:r>
      <w:r>
        <w:rPr>
          <w:rFonts w:ascii="Arial" w:cs="Arial" w:eastAsia="Arial" w:hAnsi="Arial"/>
          <w:sz w:val="17"/>
          <w:szCs w:val="17"/>
          <w:color w:val="auto"/>
        </w:rPr>
        <w:t>.</w:t>
      </w:r>
    </w:p>
    <w:p>
      <w:pPr>
        <w:spacing w:after="0" w:line="171" w:lineRule="exact"/>
        <w:rPr>
          <w:sz w:val="20"/>
          <w:szCs w:val="20"/>
          <w:color w:val="auto"/>
        </w:rPr>
      </w:pPr>
    </w:p>
    <w:p>
      <w:pPr>
        <w:jc w:val="both"/>
        <w:ind w:right="20" w:firstLine="456"/>
        <w:spacing w:after="0" w:line="302" w:lineRule="auto"/>
        <w:rPr>
          <w:sz w:val="20"/>
          <w:szCs w:val="20"/>
          <w:color w:val="auto"/>
        </w:rPr>
      </w:pPr>
      <w:r>
        <w:rPr>
          <w:rFonts w:ascii="Arial" w:cs="Arial" w:eastAsia="Arial" w:hAnsi="Arial"/>
          <w:sz w:val="16"/>
          <w:szCs w:val="16"/>
          <w:color w:val="auto"/>
        </w:rPr>
        <w:t xml:space="preserve">All Securities of any one series shall be substantially identical except as to denomination and except as may otherwise be provided in or pursuant to the Board Resolution referred to above and (subject to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set forth, or determined in the manner provided, in the Officers’ Certificate referred to above or in any such indenture supplemental hereto. All Securities of any one series need not be issued at the same time and, unless otherwise provided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for any series, after issuance of Securities of such series, such series may be reopened for issuances of additional Securities of that series.</w:t>
      </w:r>
    </w:p>
    <w:p>
      <w:pPr>
        <w:spacing w:after="0" w:line="154"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 xml:space="preserve">The terms of any Security of a series may differ from the terms of other Securities of the same series, if and to the extent provided pursuant to this </w:t>
      </w:r>
      <w:r>
        <w:rPr>
          <w:rFonts w:ascii="Arial" w:cs="Arial" w:eastAsia="Arial" w:hAnsi="Arial"/>
          <w:sz w:val="17"/>
          <w:szCs w:val="17"/>
          <w:u w:val="single" w:color="auto"/>
          <w:color w:val="auto"/>
        </w:rPr>
        <w:t>Section 3.01</w:t>
      </w:r>
      <w:r>
        <w:rPr>
          <w:rFonts w:ascii="Arial" w:cs="Arial" w:eastAsia="Arial" w:hAnsi="Arial"/>
          <w:sz w:val="17"/>
          <w:szCs w:val="17"/>
          <w:color w:val="auto"/>
        </w:rPr>
        <w:t>. The matters referenced in any or all of Clauses (1) through (24) above may be established and set forth or determined as aforesaid with respect to all or any specific Securities of a series (in each case to the extent permitted by the Trust Indenture Act).</w:t>
      </w:r>
    </w:p>
    <w:p>
      <w:pPr>
        <w:spacing w:after="0" w:line="166"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81"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If any of the terms of the Guarantees by any Guarantor of the Securities of the series are established by action taken pursuant to a Guarantor’s Board Resolution of such Guarantor, a copy of an appropriate record of such action shall be certified by the Secretary or an Assistant Secretary of such Guarantor and delivered to the Trustee at or prior to the delivery of the Guarantor’s Officers’ Certificate of such Guarantor setting forth the terms of such Guarantees.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Securities shall be subordinated in right of payment to Senior Debt as provided in </w:t>
      </w:r>
      <w:r>
        <w:rPr>
          <w:rFonts w:ascii="Arial" w:cs="Arial" w:eastAsia="Arial" w:hAnsi="Arial"/>
          <w:sz w:val="18"/>
          <w:szCs w:val="18"/>
          <w:u w:val="single" w:color="auto"/>
          <w:color w:val="auto"/>
        </w:rPr>
        <w:t>Article XV</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Denominations</w:t>
      </w:r>
      <w:r>
        <w:rPr>
          <w:rFonts w:ascii="Arial" w:cs="Arial" w:eastAsia="Arial" w:hAnsi="Arial"/>
          <w:sz w:val="17"/>
          <w:szCs w:val="17"/>
          <w:color w:val="auto"/>
        </w:rPr>
        <w:t xml:space="preserve">. The Securities of each series shall be issuable only in registered form without coupons and only in such denominations as shall be specified as contemplated by </w:t>
      </w:r>
      <w:r>
        <w:rPr>
          <w:rFonts w:ascii="Arial" w:cs="Arial" w:eastAsia="Arial" w:hAnsi="Arial"/>
          <w:sz w:val="17"/>
          <w:szCs w:val="17"/>
          <w:u w:val="single" w:color="auto"/>
          <w:color w:val="auto"/>
        </w:rPr>
        <w:t>Section 3.01</w:t>
      </w:r>
      <w:r>
        <w:rPr>
          <w:rFonts w:ascii="Arial" w:cs="Arial" w:eastAsia="Arial" w:hAnsi="Arial"/>
          <w:sz w:val="17"/>
          <w:szCs w:val="17"/>
          <w:color w:val="auto"/>
        </w:rPr>
        <w:t>. In the absence of any such specified denomination with respect to the Securities of any series, the Securities of such series shall be issuable in denominations of $2,000 and any integral multiple of $1,000 in excess thereof.</w:t>
      </w:r>
    </w:p>
    <w:p>
      <w:pPr>
        <w:spacing w:after="0" w:line="16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Execution, Authentication, Delivery and Dating</w:t>
      </w:r>
      <w:r>
        <w:rPr>
          <w:rFonts w:ascii="Arial" w:cs="Arial" w:eastAsia="Arial" w:hAnsi="Arial"/>
          <w:sz w:val="18"/>
          <w:szCs w:val="18"/>
          <w:color w:val="auto"/>
        </w:rPr>
        <w:t>. The Securities shall be executed on behalf of the Company by its Chairman of the Board, President or a Vice President of the Company (or any other officer of the Company designated in writing by or pursuant to authority of the Board of Directors and delivered to the Trustee from time to time). The signature of any of these officers on the Securities may be manual or facsimile. If the terms of the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170" w:name="page171"/>
    <w:bookmarkEnd w:id="170"/>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of any series provide that any Guarantee by any Guarantor is to be endorsed on or otherwise attached to, or made part of, Securities of any series, and if the terms of such Securities provide for the execution of such Guarantee by such Guarantor (it being understood and agreed that the terms of Securities of any series may, but need not, provide for the execution of any Guarantee by any Guarantor), such Guarantee shall be executed on behalf of such Guarantor by the Chairman of the Board, President or a Vice President of such Guarantor (or any other officer of such Guarantor designated in writing by or pursuant to authority of the Guarantor’s Board of Directors and delivered to the Trustee from time to time). The signature of any of these officers on any Guarantee may be manual or facsimile.</w:t>
      </w:r>
    </w:p>
    <w:p>
      <w:pPr>
        <w:spacing w:after="0" w:line="1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Securities and any Guarantees by any Guarantor endorsed thereon bearing the manual or facsimile signatures of individuals who were at any time the proper officers of the Company or such Guarantor, as the case may be, shall bind the Company or such Guarantor, as the case may be, notwithstanding that such individuals or any of them have ceased to hold such offices prior to the authentication and delivery of such Securities or did not hold such offices at the date of such Securities.</w:t>
      </w:r>
    </w:p>
    <w:p>
      <w:pPr>
        <w:spacing w:after="0" w:line="18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At any time and from time to time after the execution and delivery of this Indenture, the Company may deliver Securities of any series executed by the Company, together with, if the terms of such Securities provide for the endorsement thereon of any Guarantees by any Guarantor, such Guarantees endorsed hereon and, if such terms so provide, executed by such Guarantor, to the Trustee for authentication, together with a Company Order and, if any Guarantee by a Guarantor is to be endorsed on such Securities, a Guarantor Order of such Guarantor, for the authentication and delivery of such Securities with any such Guarantees endorsed thereon, and the Trustee in accordance with the Company Order shall authenticate and deliver such Securities with any such Guarantees endorsed thereon. If the form or terms of the Securities of the series have been established by or pursuant to one or more Board Resolutions or the form or terms of any Guarantees thereof by any Guarantor have been established by or pursuant to one or more Guarantor’s Board Resolutions of such Guarantor as permitted by </w:t>
      </w:r>
      <w:r>
        <w:rPr>
          <w:rFonts w:ascii="Arial" w:cs="Arial" w:eastAsia="Arial" w:hAnsi="Arial"/>
          <w:sz w:val="16"/>
          <w:szCs w:val="16"/>
          <w:u w:val="single" w:color="auto"/>
          <w:color w:val="auto"/>
        </w:rPr>
        <w:t>Sections 2.01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3.01</w:t>
      </w:r>
      <w:r>
        <w:rPr>
          <w:rFonts w:ascii="Arial" w:cs="Arial" w:eastAsia="Arial" w:hAnsi="Arial"/>
          <w:sz w:val="16"/>
          <w:szCs w:val="16"/>
          <w:color w:val="auto"/>
        </w:rPr>
        <w:t xml:space="preserve">, in authenticating such Securities with any such Guarantees endorsed thereon, and accepting the additional responsibilities under this Indenture in relation to such Securities and such Guarantees, the Trustee shall be entitled to receive, and (subject to </w:t>
      </w:r>
      <w:r>
        <w:rPr>
          <w:rFonts w:ascii="Arial" w:cs="Arial" w:eastAsia="Arial" w:hAnsi="Arial"/>
          <w:sz w:val="16"/>
          <w:szCs w:val="16"/>
          <w:u w:val="single" w:color="auto"/>
          <w:color w:val="auto"/>
        </w:rPr>
        <w:t>Section 6.01</w:t>
      </w:r>
      <w:r>
        <w:rPr>
          <w:rFonts w:ascii="Arial" w:cs="Arial" w:eastAsia="Arial" w:hAnsi="Arial"/>
          <w:sz w:val="16"/>
          <w:szCs w:val="16"/>
          <w:color w:val="auto"/>
        </w:rPr>
        <w:t>) shall be fully protected in relying upon, an Opinion of Counsel stating,</w:t>
      </w:r>
    </w:p>
    <w:p>
      <w:pPr>
        <w:spacing w:after="0" w:line="61" w:lineRule="exact"/>
        <w:rPr>
          <w:sz w:val="20"/>
          <w:szCs w:val="20"/>
          <w:color w:val="auto"/>
        </w:rPr>
      </w:pPr>
    </w:p>
    <w:p>
      <w:pPr>
        <w:jc w:val="both"/>
        <w:ind w:left="460" w:firstLine="443"/>
        <w:spacing w:after="0" w:line="264" w:lineRule="auto"/>
        <w:tabs>
          <w:tab w:leader="none" w:pos="115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if the form of such Securities or any Guarantee by any Guarantor endorsed thereon has been established by or pursuant to Board Resolution or Guarantor’s Board Resolution of such Guarantor, as permitted by </w:t>
      </w:r>
      <w:r>
        <w:rPr>
          <w:rFonts w:ascii="Arial" w:cs="Arial" w:eastAsia="Arial" w:hAnsi="Arial"/>
          <w:sz w:val="18"/>
          <w:szCs w:val="18"/>
          <w:u w:val="single" w:color="auto"/>
          <w:color w:val="auto"/>
        </w:rPr>
        <w:t>Section 2.01</w:t>
      </w:r>
      <w:r>
        <w:rPr>
          <w:rFonts w:ascii="Arial" w:cs="Arial" w:eastAsia="Arial" w:hAnsi="Arial"/>
          <w:sz w:val="18"/>
          <w:szCs w:val="18"/>
          <w:color w:val="auto"/>
        </w:rPr>
        <w:t>, that such form has been established in conformity with the provisions of this Indenture;</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if the terms of such Securities or any Guarantee thereof by a Guarantor have been established by or pursuant to Board Resolution or</w:t>
      </w:r>
    </w:p>
    <w:p>
      <w:pPr>
        <w:spacing w:after="0" w:line="34" w:lineRule="exact"/>
        <w:rPr>
          <w:rFonts w:ascii="Arial" w:cs="Arial" w:eastAsia="Arial" w:hAnsi="Arial"/>
          <w:sz w:val="17"/>
          <w:szCs w:val="17"/>
          <w:color w:val="auto"/>
        </w:rPr>
      </w:pPr>
    </w:p>
    <w:p>
      <w:pPr>
        <w:ind w:left="460" w:right="80"/>
        <w:spacing w:after="0" w:line="261" w:lineRule="auto"/>
        <w:rPr>
          <w:rFonts w:ascii="Arial" w:cs="Arial" w:eastAsia="Arial" w:hAnsi="Arial"/>
          <w:sz w:val="17"/>
          <w:szCs w:val="17"/>
          <w:color w:val="auto"/>
        </w:rPr>
      </w:pPr>
      <w:r>
        <w:rPr>
          <w:rFonts w:ascii="Arial" w:cs="Arial" w:eastAsia="Arial" w:hAnsi="Arial"/>
          <w:sz w:val="18"/>
          <w:szCs w:val="18"/>
          <w:color w:val="auto"/>
        </w:rPr>
        <w:t xml:space="preserve">Guarantor’s Board Resolution of such Guarantor as permitted by </w:t>
      </w:r>
      <w:r>
        <w:rPr>
          <w:rFonts w:ascii="Arial" w:cs="Arial" w:eastAsia="Arial" w:hAnsi="Arial"/>
          <w:sz w:val="18"/>
          <w:szCs w:val="18"/>
          <w:u w:val="single" w:color="auto"/>
          <w:color w:val="auto"/>
        </w:rPr>
        <w:t>Section 3.01</w:t>
      </w:r>
      <w:r>
        <w:rPr>
          <w:rFonts w:ascii="Arial" w:cs="Arial" w:eastAsia="Arial" w:hAnsi="Arial"/>
          <w:sz w:val="18"/>
          <w:szCs w:val="18"/>
          <w:color w:val="auto"/>
        </w:rPr>
        <w:t>, that such terms have been established in conformity with the provisions of this Indenture;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171" w:name="page172"/>
    <w:bookmarkEnd w:id="171"/>
    <w:p>
      <w:pPr>
        <w:ind w:left="460" w:right="240" w:firstLine="443"/>
        <w:spacing w:after="0" w:line="297" w:lineRule="auto"/>
        <w:tabs>
          <w:tab w:leader="none" w:pos="1153" w:val="left"/>
        </w:tabs>
        <w:numPr>
          <w:ilvl w:val="0"/>
          <w:numId w:val="1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when such Securities with any Guarantees endorsed thereon have been authenticated and delivered by the Trustee and issued by the Company in the manner and subject to any conditions specified in such Opinion of Counsel, such Securities and such Guarantee will constitute valid and legally binding obligations of the Company or such Guarantor, respectively, enforceable in accordance with their terms, subject to bankruptcy, insolvency, fraudulent transfer, reorganization, moratorium and similar laws of general applicability relating to or affecting creditors’ rights and to general equity principles and subject to any limitation with respect to payments in currency other than U.S. dollars.</w:t>
      </w:r>
    </w:p>
    <w:p>
      <w:pPr>
        <w:spacing w:after="0" w:line="50"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If such form or terms have been so established, the Trustee shall not be required to authenticate such Securities with any Guarantees endorsed thereon if the issue of such Securities with any Guarantees endorsed thereon pursuant to this Indenture will affect the Trustee’s own rights, duties or immunities under the Securities and this Indenture or otherwise in a manner which is not reasonably acceptable to the Trustee.</w:t>
      </w:r>
    </w:p>
    <w:p>
      <w:pPr>
        <w:spacing w:after="0" w:line="166"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and of the preceding paragraph, if all Securities of a series are not to be originally issued at one time, it shall not be necessary to deliver the Officers’ Certificate or Guarantor’s Officers’ Certificate otherwise required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the Company Order, any Guarantor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22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No Security, nor any Guarantee endorsed thereon,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with any Guarantees endorsed thereon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w:t>
      </w:r>
      <w:r>
        <w:rPr>
          <w:rFonts w:ascii="Arial" w:cs="Arial" w:eastAsia="Arial" w:hAnsi="Arial"/>
          <w:sz w:val="18"/>
          <w:szCs w:val="18"/>
          <w:u w:val="single" w:color="auto"/>
          <w:color w:val="auto"/>
        </w:rPr>
        <w:t>Section 3.09</w:t>
      </w:r>
      <w:r>
        <w:rPr>
          <w:rFonts w:ascii="Arial" w:cs="Arial" w:eastAsia="Arial" w:hAnsi="Arial"/>
          <w:sz w:val="18"/>
          <w:szCs w:val="18"/>
          <w:color w:val="auto"/>
        </w:rPr>
        <w:t>, for all purposes of this Indenture such Security shall be deemed never to have been authenticated and delivered hereunder and shall never be entitled to the benefits of this Indenture.</w:t>
      </w:r>
    </w:p>
    <w:p>
      <w:pPr>
        <w:spacing w:after="0" w:line="18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Wherever herein it shall provide for the Company to execute, and the Trustee to authenticate and deliver, Securities of any series, if the terms of such Securities provide for the endorsement thereon of the Guarantees by any Guarantor, the Company shall cause such Securities so executed by the Company and authenticated and delivered by the Trustee to have such Guarantees endorsed thereon, and, if such terms require such Guarantees to be executed by such Guarantor, such Guarantees to be executed by such Guarantor.</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 Pending the preparation of definitive Securities of any series, the Company may execute, and upon Company Order and, if any Guarantees by a Guarantor are so to be endorsed on such Securities, a Guarantor Order of such Guarantor,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or Guarantees, respectively, may determine, as evidenced by their execution of such Securities or Guarantees, respectively.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172" w:name="page173"/>
    <w:bookmarkEnd w:id="172"/>
    <w:p>
      <w:pPr>
        <w:ind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and if applicable, the Guarantors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178"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Registration, Registration of Transfer and Exchange</w:t>
      </w:r>
      <w:r>
        <w:rPr>
          <w:rFonts w:ascii="Arial" w:cs="Arial" w:eastAsia="Arial" w:hAnsi="Arial"/>
          <w:sz w:val="17"/>
          <w:szCs w:val="17"/>
          <w:color w:val="auto"/>
        </w:rPr>
        <w:t xml:space="preserve">. The Company shall cause to be kept at each office or agency of the Company designated as a Place of Payment pursuant to the first paragraph of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a register (the register, maintained in each such office or agency of the Company designated as a Place of Payment, being herein sometimes collectively referred to as the “</w:t>
      </w:r>
      <w:r>
        <w:rPr>
          <w:rFonts w:ascii="Arial" w:cs="Arial" w:eastAsia="Arial" w:hAnsi="Arial"/>
          <w:sz w:val="17"/>
          <w:szCs w:val="17"/>
          <w:b w:val="1"/>
          <w:bCs w:val="1"/>
          <w:i w:val="1"/>
          <w:iCs w:val="1"/>
          <w:color w:val="auto"/>
        </w:rPr>
        <w:t>Security Register</w:t>
      </w:r>
      <w:r>
        <w:rPr>
          <w:rFonts w:ascii="Arial" w:cs="Arial" w:eastAsia="Arial" w:hAnsi="Arial"/>
          <w:sz w:val="17"/>
          <w:szCs w:val="17"/>
          <w:color w:val="auto"/>
        </w:rPr>
        <w:t>”)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173"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Upon surrender for registration of transfer of any Security of a series at the office or agency of the Company in a Place of Payment for that series, the Company and, if applicable, the Guarantors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4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and, if applicable, the Guarantors shall execute, and the Trustee shall authenticate and deliver, the Securities, which the Holder making the exchange is entitled to receive.</w:t>
      </w:r>
    </w:p>
    <w:p>
      <w:pPr>
        <w:spacing w:after="0" w:line="18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4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Every Security presented or surrendered for registration of transfer or for exchange shall (if so required by the Company, any Guarantor or the Trustee) be duly endorsed, or be accompanied by a written instrument of transfer in form satisfactory to the Company and the Security Registrar duly executed, by the Holder thereof or his attorney duly authorized in writing.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173" w:name="page174"/>
    <w:bookmarkEnd w:id="173"/>
    <w:p>
      <w:pPr>
        <w:ind w:right="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9.06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11.07</w:t>
      </w:r>
      <w:r>
        <w:rPr>
          <w:rFonts w:ascii="Arial" w:cs="Arial" w:eastAsia="Arial" w:hAnsi="Arial"/>
          <w:sz w:val="18"/>
          <w:szCs w:val="18"/>
          <w:color w:val="auto"/>
        </w:rPr>
        <w:t xml:space="preserve"> not involving any transfer.</w:t>
      </w:r>
    </w:p>
    <w:p>
      <w:pPr>
        <w:spacing w:after="0" w:line="18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 xml:space="preserve">If the Securities of any series (or of any series and specified tenor) are to be redeemed in whole or in part, the Company shall not be required (A) to issue, register the transfer of or exchange any Securities of that series (or of that series and specified tenor, as the case may be) during a period beginning at the opening of business 15 days before the day of selection of any such Securities for redemption under </w:t>
      </w:r>
      <w:r>
        <w:rPr>
          <w:rFonts w:ascii="Arial" w:cs="Arial" w:eastAsia="Arial" w:hAnsi="Arial"/>
          <w:sz w:val="16"/>
          <w:szCs w:val="16"/>
          <w:u w:val="single" w:color="auto"/>
          <w:color w:val="auto"/>
        </w:rPr>
        <w:t>Section 11.03</w:t>
      </w:r>
      <w:r>
        <w:rPr>
          <w:rFonts w:ascii="Arial" w:cs="Arial" w:eastAsia="Arial" w:hAnsi="Arial"/>
          <w:sz w:val="16"/>
          <w:szCs w:val="16"/>
          <w:color w:val="auto"/>
        </w:rPr>
        <w:t xml:space="preserve"> and ending at the close of business on the day of such selection (or during such period as otherwise specified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for such Securities), or (B) to register the transfer of or exchange any Security so selected for redemption in whole or in part, except the unredeemed portion of any Security being redeemed in part.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Clauses (1), (2), (3) and (4) below shall apply only to Global Securities:</w:t>
      </w:r>
    </w:p>
    <w:p>
      <w:pPr>
        <w:spacing w:after="0" w:line="117" w:lineRule="exact"/>
        <w:rPr>
          <w:sz w:val="20"/>
          <w:szCs w:val="20"/>
          <w:color w:val="auto"/>
        </w:rPr>
      </w:pPr>
    </w:p>
    <w:p>
      <w:pPr>
        <w:ind w:left="460" w:right="20" w:firstLine="443"/>
        <w:spacing w:after="0" w:line="264" w:lineRule="auto"/>
        <w:tabs>
          <w:tab w:leader="none" w:pos="115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73" w:lineRule="exact"/>
        <w:rPr>
          <w:rFonts w:ascii="Arial" w:cs="Arial" w:eastAsia="Arial" w:hAnsi="Arial"/>
          <w:sz w:val="18"/>
          <w:szCs w:val="18"/>
          <w:color w:val="auto"/>
        </w:rPr>
      </w:pPr>
    </w:p>
    <w:p>
      <w:pPr>
        <w:ind w:left="460" w:firstLine="443"/>
        <w:spacing w:after="0" w:line="269" w:lineRule="auto"/>
        <w:tabs>
          <w:tab w:leader="none" w:pos="115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in this Indenture, and subject to such applicable provisions, if any, as may be specified as contemplated by </w:t>
      </w:r>
      <w:r>
        <w:rPr>
          <w:rFonts w:ascii="Arial" w:cs="Arial" w:eastAsia="Arial" w:hAnsi="Arial"/>
          <w:sz w:val="17"/>
          <w:szCs w:val="17"/>
          <w:u w:val="single" w:color="auto"/>
          <w:color w:val="auto"/>
        </w:rPr>
        <w:t>Section 3.01</w:t>
      </w:r>
      <w:r>
        <w:rPr>
          <w:rFonts w:ascii="Arial" w:cs="Arial" w:eastAsia="Arial" w:hAnsi="Arial"/>
          <w:sz w:val="17"/>
          <w:szCs w:val="17"/>
          <w:color w:val="auto"/>
        </w:rPr>
        <w:t>,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has notified the Company that it (i) is unwilling or unable to continue as Depositary for such Global Security or (ii) has ceased to be a clearing agency registered under the Exchange Act, or (B) the Company has executed and delivered to the Trustee a Company Order stating that such Global Security shall be exchanged in whole for Securities that are not Global Securities (in which case such exchange shall promptly be effected by the Trustee). If the Company receives a notice of the kind specified in Clause (A) above or has delivered a Company Order of the kind specified in Clause (B) above, it may, in its sole discretion, designate a successor Depositary for such Global Security within 90 days after receiving such notice or delivery of such order, as the case may be. If the Company designates a successor Depositary as aforesaid, such Global Security shall promptly be exchanged in whole for one or more other Global Securities registered in the name of the successor Depositary, whereupon such designated successor shall be the Depositary for such successor Global Security or Global Securities and the provisions of Clauses (1), (2), (3) and (4) of this provision shall continue to apply thereto.</w:t>
      </w:r>
    </w:p>
    <w:p>
      <w:pPr>
        <w:spacing w:after="0" w:line="71" w:lineRule="exact"/>
        <w:rPr>
          <w:rFonts w:ascii="Arial" w:cs="Arial" w:eastAsia="Arial" w:hAnsi="Arial"/>
          <w:sz w:val="17"/>
          <w:szCs w:val="17"/>
          <w:color w:val="auto"/>
        </w:rPr>
      </w:pPr>
    </w:p>
    <w:p>
      <w:pPr>
        <w:jc w:val="both"/>
        <w:ind w:left="460" w:right="20" w:firstLine="443"/>
        <w:spacing w:after="0" w:line="264" w:lineRule="auto"/>
        <w:tabs>
          <w:tab w:leader="none" w:pos="115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Subject to Clause (2) above and to such applicable provisions, if any, as may be specified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4" w:right="279" w:bottom="1440" w:gutter="0" w:footer="0" w:header="0"/>
        </w:sectPr>
      </w:pPr>
    </w:p>
    <w:bookmarkStart w:id="174" w:name="page175"/>
    <w:bookmarkEnd w:id="174"/>
    <w:p>
      <w:pPr>
        <w:jc w:val="both"/>
        <w:ind w:left="460" w:right="180" w:firstLine="443"/>
        <w:spacing w:after="0" w:line="259" w:lineRule="auto"/>
        <w:tabs>
          <w:tab w:leader="none" w:pos="1153"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Every Security authenticated and delivered upon registration of transfer of, or in exchange for or in lieu of, a Global Security or any portion thereof, whether pursuant to this Section,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3.06</w:t>
      </w:r>
      <w:r>
        <w:rPr>
          <w:rFonts w:ascii="Arial" w:cs="Arial" w:eastAsia="Arial" w:hAnsi="Arial"/>
          <w:sz w:val="18"/>
          <w:szCs w:val="18"/>
          <w:color w:val="auto"/>
        </w:rPr>
        <w:t xml:space="preserve">, </w:t>
      </w:r>
      <w:r>
        <w:rPr>
          <w:rFonts w:ascii="Arial" w:cs="Arial" w:eastAsia="Arial" w:hAnsi="Arial"/>
          <w:sz w:val="18"/>
          <w:szCs w:val="18"/>
          <w:u w:val="single" w:color="auto"/>
          <w:color w:val="auto"/>
        </w:rPr>
        <w:t>9.06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11.07</w:t>
      </w:r>
      <w:r>
        <w:rPr>
          <w:rFonts w:ascii="Arial" w:cs="Arial" w:eastAsia="Arial" w:hAnsi="Arial"/>
          <w:sz w:val="18"/>
          <w:szCs w:val="18"/>
          <w:color w:val="auto"/>
        </w:rPr>
        <w:t xml:space="preserve"> or otherwise, shall be authenticated and delivered in the form of, and shall be, a Global Security, unless such Security is registered in the name of a Person other than the Depositary for such Global Security or a nominee thereof.</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Every Person who takes or holds any beneficial interest in a Global Security agrees that:</w:t>
      </w:r>
    </w:p>
    <w:p>
      <w:pPr>
        <w:spacing w:after="0" w:line="117" w:lineRule="exact"/>
        <w:rPr>
          <w:sz w:val="20"/>
          <w:szCs w:val="20"/>
          <w:color w:val="auto"/>
        </w:rPr>
      </w:pPr>
    </w:p>
    <w:p>
      <w:pPr>
        <w:ind w:left="1160" w:hanging="257"/>
        <w:spacing w:after="0"/>
        <w:tabs>
          <w:tab w:leader="none" w:pos="11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Company and the Trustee may deal with the Depositary as sole owner of the Global Security and as the authorized representative of such</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02" w:lineRule="exact"/>
        <w:rPr>
          <w:rFonts w:ascii="Arial" w:cs="Arial" w:eastAsia="Arial" w:hAnsi="Arial"/>
          <w:sz w:val="16"/>
          <w:szCs w:val="16"/>
          <w:color w:val="auto"/>
        </w:rPr>
      </w:pPr>
    </w:p>
    <w:p>
      <w:pPr>
        <w:ind w:left="460" w:right="20" w:firstLine="443"/>
        <w:spacing w:after="0" w:line="277" w:lineRule="auto"/>
        <w:tabs>
          <w:tab w:leader="none" w:pos="115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such Person’s rights in the Global Security shall be exercised only through the Depositary and shall be limited to those established by law and agreement between such Person and the Depositary and/or direct and indirect participants of the Depositary;</w:t>
      </w:r>
    </w:p>
    <w:p>
      <w:pPr>
        <w:spacing w:after="0" w:line="62" w:lineRule="exact"/>
        <w:rPr>
          <w:rFonts w:ascii="Arial" w:cs="Arial" w:eastAsia="Arial" w:hAnsi="Arial"/>
          <w:sz w:val="18"/>
          <w:szCs w:val="18"/>
          <w:color w:val="auto"/>
        </w:rPr>
      </w:pPr>
    </w:p>
    <w:p>
      <w:pPr>
        <w:ind w:left="460" w:right="580" w:firstLine="443"/>
        <w:spacing w:after="0" w:line="342" w:lineRule="auto"/>
        <w:tabs>
          <w:tab w:leader="none" w:pos="115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Depositary and its participants make book-entry transfers of beneficial ownership among, and receive and transmit distributions of principal and interest on the Global Securities to, such Persons in accordance with the Applicable Procedures of the Depositary; and</w:t>
      </w:r>
    </w:p>
    <w:p>
      <w:pPr>
        <w:spacing w:after="0" w:line="15" w:lineRule="exact"/>
        <w:rPr>
          <w:rFonts w:ascii="Arial" w:cs="Arial" w:eastAsia="Arial" w:hAnsi="Arial"/>
          <w:sz w:val="16"/>
          <w:szCs w:val="16"/>
          <w:color w:val="auto"/>
        </w:rPr>
      </w:pPr>
    </w:p>
    <w:p>
      <w:pPr>
        <w:ind w:left="460" w:firstLine="443"/>
        <w:spacing w:after="0" w:line="264" w:lineRule="auto"/>
        <w:tabs>
          <w:tab w:leader="none" w:pos="115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none of the Company, the Trustee nor any agent of the Company or the Trustee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Mutilated, Destroyed, Lost and Wrongfully Taken Securities</w:t>
      </w:r>
      <w:r>
        <w:rPr>
          <w:rFonts w:ascii="Arial" w:cs="Arial" w:eastAsia="Arial" w:hAnsi="Arial"/>
          <w:sz w:val="17"/>
          <w:szCs w:val="17"/>
          <w:color w:val="auto"/>
        </w:rPr>
        <w:t>. If (a) any mutilated Security is surrendered to the Trustee or (b) both</w:t>
      </w:r>
    </w:p>
    <w:p>
      <w:pPr>
        <w:spacing w:after="0" w:line="35" w:lineRule="exact"/>
        <w:rPr>
          <w:sz w:val="20"/>
          <w:szCs w:val="20"/>
          <w:color w:val="auto"/>
        </w:rPr>
      </w:pPr>
    </w:p>
    <w:p>
      <w:pPr>
        <w:ind w:right="40" w:firstLine="8"/>
        <w:spacing w:after="0" w:line="288" w:lineRule="auto"/>
        <w:tabs>
          <w:tab w:leader="none" w:pos="21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there shall be delivered to the Company and the Trustee (A) a claim by a Holder as to the destruction, loss or wrongful taking of any Security of such Holder and a request thereby for a new replacement Security of the same series, and (B) such indemnity bond as may be required by them to save each of them and any agent of either of them harmless and (ii) such other reasonable requirements as may be imposed by the Company as permitted by Section 8-405 of the Uniform Commercial Code have been satisfied, then, in the absence of notice to the Company or the Trustee that such Security has been acquired by a “protected purchaser” within the meaning of Section 8-405 of the Uniform Commercial Code, the Company, and, if applicable, the Guarantors, shall execute and upon its request the Trustee shall authenticate and deliver, in lieu of any such mutilated, destroyed, lost or wrongfully taken Security, a new Security of the same series and of like tenor and principal amount and bearing a number not contemporaneously Outstanding.</w:t>
      </w:r>
    </w:p>
    <w:p>
      <w:pPr>
        <w:spacing w:after="0" w:line="16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In case any such mutilated, destroyed, lost or wrongfully taken Security has become or is about to become due and payable, the Company in its discretion may, instead of issuing a new Security, pay such Security.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175" w:name="page176"/>
    <w:bookmarkEnd w:id="175"/>
    <w:p>
      <w:pPr>
        <w:jc w:val="center"/>
        <w:ind w:right="2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Every new Security of any series issued pursuant to this Section in lieu of any destroyed, lost or wrongfully taken Security shall constitute an original additional contractual obligation of the Company, whether or not the destroyed, lost or wrongfully taken Security shall be at any time enforceable by anyone, and shall be entitled to all the benefits of this Indenture equally and proportionately with any and all other Securities of that series duly issued hereunder.</w:t>
      </w:r>
    </w:p>
    <w:p>
      <w:pPr>
        <w:spacing w:after="0" w:line="14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wrongfully taken Securities.</w:t>
      </w:r>
    </w:p>
    <w:p>
      <w:pPr>
        <w:spacing w:after="0" w:line="17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Payment of Interest; Interest Rights Preserved</w:t>
      </w:r>
      <w:r>
        <w:rPr>
          <w:rFonts w:ascii="Arial" w:cs="Arial" w:eastAsia="Arial" w:hAnsi="Arial"/>
          <w:sz w:val="16"/>
          <w:szCs w:val="16"/>
          <w:color w:val="auto"/>
        </w:rPr>
        <w:t xml:space="preserve">. Except as otherwise provided as contemplated by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with respect to any Securities of a series,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 (or, if no business is conducted by the Trustee at its Corporate Trust Office on such date, at 5:00 P.M. New York City time on such date).</w:t>
      </w:r>
    </w:p>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Any interest on any Security of any series which is payable, but is not punctually paid or duly provided for, on any Interest Payment Date (herein called “</w:t>
      </w:r>
      <w:r>
        <w:rPr>
          <w:rFonts w:ascii="Arial" w:cs="Arial" w:eastAsia="Arial" w:hAnsi="Arial"/>
          <w:sz w:val="17"/>
          <w:szCs w:val="17"/>
          <w:b w:val="1"/>
          <w:bCs w:val="1"/>
          <w:i w:val="1"/>
          <w:iCs w:val="1"/>
          <w:color w:val="auto"/>
        </w:rPr>
        <w:t>Defaulted Interest</w:t>
      </w:r>
      <w:r>
        <w:rPr>
          <w:rFonts w:ascii="Arial" w:cs="Arial" w:eastAsia="Arial" w:hAnsi="Arial"/>
          <w:sz w:val="17"/>
          <w:szCs w:val="17"/>
          <w:color w:val="auto"/>
        </w:rPr>
        <w: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57" w:lineRule="exact"/>
        <w:rPr>
          <w:sz w:val="20"/>
          <w:szCs w:val="20"/>
          <w:color w:val="auto"/>
        </w:rPr>
      </w:pPr>
    </w:p>
    <w:p>
      <w:pPr>
        <w:ind w:left="460" w:firstLine="443"/>
        <w:spacing w:after="0" w:line="269" w:lineRule="auto"/>
        <w:tabs>
          <w:tab w:leader="none" w:pos="115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Company may elect to make payment of any Defaulted Interest payable on any Securities of a series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of such Securities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such Securities in the manner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176" w:name="page177"/>
    <w:bookmarkEnd w:id="176"/>
    <w:p>
      <w:pPr>
        <w:ind w:left="460"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set forth in </w:t>
      </w:r>
      <w:r>
        <w:rPr>
          <w:rFonts w:ascii="Arial" w:cs="Arial" w:eastAsia="Arial" w:hAnsi="Arial"/>
          <w:sz w:val="18"/>
          <w:szCs w:val="18"/>
          <w:u w:val="single" w:color="auto"/>
          <w:color w:val="auto"/>
        </w:rPr>
        <w:t>Section 1.06</w:t>
      </w:r>
      <w:r>
        <w:rPr>
          <w:rFonts w:ascii="Arial" w:cs="Arial" w:eastAsia="Arial" w:hAnsi="Arial"/>
          <w:sz w:val="18"/>
          <w:szCs w:val="18"/>
          <w:color w:val="auto"/>
        </w:rPr>
        <w:t>, not less than 10 days prior to such Special Record Date. Notice of the proposed payment of such Defaulted Interest and the Special Record Date therefor having been so mailed, such Defaulted Interest shall be paid to the Persons in whose names such Securities (or their respective Predecessor Securities) are registered at the close of business on such Special Record Date and shall no longer be payable pursuant to the following Clause (2).</w:t>
      </w:r>
    </w:p>
    <w:p>
      <w:pPr>
        <w:spacing w:after="0" w:line="79" w:lineRule="exact"/>
        <w:rPr>
          <w:sz w:val="20"/>
          <w:szCs w:val="20"/>
          <w:color w:val="auto"/>
        </w:rPr>
      </w:pPr>
    </w:p>
    <w:p>
      <w:pPr>
        <w:ind w:left="460" w:right="40" w:firstLine="443"/>
        <w:spacing w:after="0" w:line="259" w:lineRule="auto"/>
        <w:tabs>
          <w:tab w:leader="none" w:pos="115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any Securities of a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Except as may otherwise be provided in this </w:t>
      </w: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or as contemplated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with respect to any Securities of a series, the Person to whom interest shall be payable on any Security that first becomes payable on a day that is not an Interest Payment Date shall be the Holder of such Security on the day such interest is paid.</w:t>
      </w:r>
    </w:p>
    <w:p>
      <w:pPr>
        <w:spacing w:after="0" w:line="181"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the case of any Security which is converted after any Regular Record Date and on or prior to the next succeeding Interest Payment Date (other than any Security whose Maturity is prior to such Interest Payment Date), interest whose Stated Maturity is on such Interest Payment Date shall be payable on such Interest Payment Date notwithstanding such conversion, and such interest (whether or not punctually paid or duly provided for) shall be paid to the Person in whose name that Security (or one or more Predecessor Securities) is registered at the close of business on such Regular Record Date. Except as otherwise expressly provided in the immediately preceding sentence, in the case of any Security which is converted, interest whose Stated Maturity is after the date of conversion of such Security shall not be payable.</w:t>
      </w:r>
    </w:p>
    <w:p>
      <w:pPr>
        <w:spacing w:after="0" w:line="193" w:lineRule="exact"/>
        <w:rPr>
          <w:sz w:val="20"/>
          <w:szCs w:val="20"/>
          <w:color w:val="auto"/>
        </w:rPr>
      </w:pPr>
    </w:p>
    <w:p>
      <w:pPr>
        <w:ind w:right="680" w:firstLine="456"/>
        <w:spacing w:after="0" w:line="308" w:lineRule="auto"/>
        <w:rPr>
          <w:sz w:val="20"/>
          <w:szCs w:val="20"/>
          <w:color w:val="auto"/>
        </w:rPr>
      </w:pPr>
      <w:r>
        <w:rPr>
          <w:rFonts w:ascii="Arial" w:cs="Arial" w:eastAsia="Arial" w:hAnsi="Arial"/>
          <w:sz w:val="17"/>
          <w:szCs w:val="17"/>
          <w:color w:val="auto"/>
        </w:rPr>
        <w:t>Notwithstanding the foregoing, the terms of any Security that may be converted may provide that the provisions of the immediately preceding paragraph do not apply, or apply with such additions, changes or omissions as may be provided thereby, to such Security.</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Persons Deemed Owners</w:t>
      </w:r>
      <w:r>
        <w:rPr>
          <w:rFonts w:ascii="Arial" w:cs="Arial" w:eastAsia="Arial" w:hAnsi="Arial"/>
          <w:sz w:val="18"/>
          <w:szCs w:val="18"/>
          <w:color w:val="auto"/>
        </w:rPr>
        <w:t xml:space="preserve">. Prior to due presentment of a Security for registration of transfer, the Company, any Guarantor and the Trustee and any agent of the Company, any Guarantor or the Trustee may treat the Person in whose name such Security is registered as the owner of such Security for the purpose of receiving payment of principal of and any premium and (subject to </w:t>
      </w:r>
      <w:r>
        <w:rPr>
          <w:rFonts w:ascii="Arial" w:cs="Arial" w:eastAsia="Arial" w:hAnsi="Arial"/>
          <w:sz w:val="18"/>
          <w:szCs w:val="18"/>
          <w:u w:val="single" w:color="auto"/>
          <w:color w:val="auto"/>
        </w:rPr>
        <w:t>Section 3.07</w:t>
      </w:r>
      <w:r>
        <w:rPr>
          <w:rFonts w:ascii="Arial" w:cs="Arial" w:eastAsia="Arial" w:hAnsi="Arial"/>
          <w:sz w:val="18"/>
          <w:szCs w:val="18"/>
          <w:color w:val="auto"/>
        </w:rPr>
        <w:t>) any interest on such Security and for all other purposes whatsoever, whether or not such Security be overdue, and neither the Company, any Guarantor, the Trustee nor any agent of the Company, any Guarantor or the Trustee shall be affected by notice to the contrary.</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74" w:right="279" w:bottom="1440" w:gutter="0" w:footer="0" w:header="0"/>
        </w:sectPr>
      </w:pPr>
    </w:p>
    <w:bookmarkStart w:id="177" w:name="page178"/>
    <w:bookmarkEnd w:id="177"/>
    <w:p>
      <w:pPr>
        <w:ind w:right="20"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3.09. </w:t>
      </w:r>
      <w:r>
        <w:rPr>
          <w:rFonts w:ascii="Arial" w:cs="Arial" w:eastAsia="Arial" w:hAnsi="Arial"/>
          <w:sz w:val="17"/>
          <w:szCs w:val="17"/>
          <w:u w:val="single" w:color="auto"/>
          <w:color w:val="auto"/>
        </w:rPr>
        <w:t>Cancellation</w:t>
      </w:r>
      <w:r>
        <w:rPr>
          <w:rFonts w:ascii="Arial" w:cs="Arial" w:eastAsia="Arial" w:hAnsi="Arial"/>
          <w:sz w:val="17"/>
          <w:szCs w:val="17"/>
          <w:color w:val="auto"/>
        </w:rPr>
        <w:t xml:space="preserve">. All Securities surrendered for payment, redemption, registration of transfer or exchange or conversion or for credit against any sinking fund payment shall, if surrendered to any Person other than the Trustee, be delivered to the Trustee and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except as expressly permitted by this Indenture. All cancelled Securities held by the Trustee shall be disposed of as directed by a Company Order;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Trustee shall not be required to destroy such cancelled Securities.</w:t>
      </w:r>
    </w:p>
    <w:p>
      <w:pPr>
        <w:spacing w:after="0" w:line="179"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 xml:space="preserve">. Except as otherwise specified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for Securities of any series, interest on the Securities of each series shall be computed on the basis of a 360-day year of twelve 30-day months.</w:t>
      </w:r>
    </w:p>
    <w:p>
      <w:pPr>
        <w:spacing w:after="0" w:line="170"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CUSIP Numbers</w:t>
      </w:r>
      <w:r>
        <w:rPr>
          <w:rFonts w:ascii="Arial" w:cs="Arial" w:eastAsia="Arial" w:hAnsi="Arial"/>
          <w:sz w:val="17"/>
          <w:szCs w:val="17"/>
          <w:color w:val="auto"/>
        </w:rPr>
        <w:t>. The Company, in issuing the Securities may use “CUSIP” and “ISIN” numbers (if then generally in use), and, if so, the Trustee shall use “CUSIP” and “ISIN”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shall promptly notify the Trustee of any change in “CUSIP” or “ISIN” numbers.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w:t>
      </w:r>
    </w:p>
    <w:p>
      <w:pPr>
        <w:spacing w:after="0" w:line="211" w:lineRule="exact"/>
        <w:rPr>
          <w:sz w:val="20"/>
          <w:szCs w:val="20"/>
          <w:color w:val="auto"/>
        </w:rPr>
      </w:pPr>
    </w:p>
    <w:p>
      <w:pPr>
        <w:ind w:right="380" w:firstLine="456"/>
        <w:spacing w:after="0" w:line="279"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Satisfaction and Discharge of Indenture</w:t>
      </w:r>
      <w:r>
        <w:rPr>
          <w:rFonts w:ascii="Arial" w:cs="Arial" w:eastAsia="Arial" w:hAnsi="Arial"/>
          <w:sz w:val="17"/>
          <w:szCs w:val="17"/>
          <w:color w:val="auto"/>
        </w:rPr>
        <w:t>. This Indenture shall upon Company Request cease to be of further effect with respect to the Securities of any series and any Guarantees of such Securities (except as to any surviving rights of conversion, registration of transfer or exchange of any such Security expressly provided for herein or in the terms of such Security), and the Trustee, at the expense of the Company, shall execute proper instruments acknowledging satisfaction and discharge of this Indenture with respect to such Securities, when</w:t>
      </w:r>
    </w:p>
    <w:p>
      <w:pPr>
        <w:spacing w:after="0" w:line="63" w:lineRule="exact"/>
        <w:rPr>
          <w:sz w:val="20"/>
          <w:szCs w:val="20"/>
          <w:color w:val="auto"/>
        </w:rPr>
      </w:pPr>
    </w:p>
    <w:p>
      <w:pPr>
        <w:ind w:left="1160" w:hanging="257"/>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920" w:firstLine="421"/>
        <w:spacing w:after="0" w:line="259" w:lineRule="auto"/>
        <w:tabs>
          <w:tab w:leader="none" w:pos="163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all such Securities theretofore authenticated and delivered (other than (i) Securities which have been destroyed, lost or wrongfully taken and which have been replaced or paid as provided in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and (ii) Securities for the payment of which money has theretofore been deposited in trust or segregated and held in trust by the Company and thereafter repaid to the Company or discharged from such trust, as provided in </w:t>
      </w:r>
      <w:r>
        <w:rPr>
          <w:rFonts w:ascii="Arial" w:cs="Arial" w:eastAsia="Arial" w:hAnsi="Arial"/>
          <w:sz w:val="18"/>
          <w:szCs w:val="18"/>
          <w:u w:val="single" w:color="auto"/>
          <w:color w:val="auto"/>
        </w:rPr>
        <w:t>Section 10.03</w:t>
      </w:r>
      <w:r>
        <w:rPr>
          <w:rFonts w:ascii="Arial" w:cs="Arial" w:eastAsia="Arial" w:hAnsi="Arial"/>
          <w:sz w:val="18"/>
          <w:szCs w:val="18"/>
          <w:color w:val="auto"/>
        </w:rPr>
        <w:t>) have been delivered to the Trustee for cancellation;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178" w:name="page179"/>
    <w:bookmarkEnd w:id="178"/>
    <w:p>
      <w:pPr>
        <w:ind w:left="1620" w:hanging="279"/>
        <w:spacing w:after="0"/>
        <w:tabs>
          <w:tab w:leader="none" w:pos="16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such Securities not theretofore delivered to the Trustee for cancellation</w:t>
      </w:r>
    </w:p>
    <w:p>
      <w:pPr>
        <w:spacing w:after="0" w:line="117" w:lineRule="exact"/>
        <w:rPr>
          <w:rFonts w:ascii="Arial" w:cs="Arial" w:eastAsia="Arial" w:hAnsi="Arial"/>
          <w:sz w:val="18"/>
          <w:szCs w:val="18"/>
          <w:color w:val="auto"/>
        </w:rPr>
      </w:pPr>
    </w:p>
    <w:p>
      <w:pPr>
        <w:ind w:left="2100" w:hanging="211"/>
        <w:spacing w:after="0"/>
        <w:tabs>
          <w:tab w:leader="none" w:pos="21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17" w:lineRule="exact"/>
        <w:rPr>
          <w:rFonts w:ascii="Arial" w:cs="Arial" w:eastAsia="Arial" w:hAnsi="Arial"/>
          <w:sz w:val="18"/>
          <w:szCs w:val="18"/>
          <w:color w:val="auto"/>
        </w:rPr>
      </w:pPr>
    </w:p>
    <w:p>
      <w:pPr>
        <w:ind w:left="2160" w:hanging="271"/>
        <w:spacing w:after="0"/>
        <w:tabs>
          <w:tab w:leader="none" w:pos="21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left="1500" w:right="560" w:firstLine="389"/>
        <w:spacing w:after="0" w:line="277" w:lineRule="auto"/>
        <w:tabs>
          <w:tab w:leader="none" w:pos="221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62" w:lineRule="exact"/>
        <w:rPr>
          <w:sz w:val="20"/>
          <w:szCs w:val="20"/>
          <w:color w:val="auto"/>
        </w:rPr>
      </w:pPr>
    </w:p>
    <w:p>
      <w:pPr>
        <w:ind w:left="920" w:right="20"/>
        <w:spacing w:after="0" w:line="279" w:lineRule="auto"/>
        <w:rPr>
          <w:sz w:val="20"/>
          <w:szCs w:val="20"/>
          <w:color w:val="auto"/>
        </w:rPr>
      </w:pPr>
      <w:r>
        <w:rPr>
          <w:rFonts w:ascii="Arial" w:cs="Arial" w:eastAsia="Arial" w:hAnsi="Arial"/>
          <w:sz w:val="17"/>
          <w:szCs w:val="17"/>
          <w:color w:val="auto"/>
        </w:rPr>
        <w:t>and the Company or, if applicable, a Guarantor, in the case of (i), (ii) or (iii) above, has deposited or caused to be deposited with the Trustee as trust funds in trust for such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63" w:lineRule="exact"/>
        <w:rPr>
          <w:sz w:val="20"/>
          <w:szCs w:val="20"/>
          <w:color w:val="auto"/>
        </w:rPr>
      </w:pPr>
    </w:p>
    <w:p>
      <w:pPr>
        <w:ind w:left="460" w:right="20" w:firstLine="443"/>
        <w:spacing w:after="0" w:line="277" w:lineRule="auto"/>
        <w:tabs>
          <w:tab w:leader="none" w:pos="115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 or Guarantor has paid or caused to be paid all other sums payable hereunder by the Company and the Guarantors with respect to such Securities;</w:t>
      </w:r>
    </w:p>
    <w:p>
      <w:pPr>
        <w:spacing w:after="0" w:line="62" w:lineRule="exact"/>
        <w:rPr>
          <w:rFonts w:ascii="Arial" w:cs="Arial" w:eastAsia="Arial" w:hAnsi="Arial"/>
          <w:sz w:val="18"/>
          <w:szCs w:val="18"/>
          <w:color w:val="auto"/>
        </w:rPr>
      </w:pPr>
    </w:p>
    <w:p>
      <w:pPr>
        <w:ind w:left="460" w:right="20" w:firstLine="443"/>
        <w:spacing w:after="0" w:line="259" w:lineRule="auto"/>
        <w:tabs>
          <w:tab w:leader="none" w:pos="115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 event which is, or after notice or lapse of time or both would become, an Event of Default with respect to such Securities or any other Securities (other than such an event or Event of Default with respect to such Securities resulting solely from the incurrence of indebtedness or other borrowing of funds, or the grant of liens securing such indebtedness or other borrowing, all or a portion of which are to be applied to such deposit) shall have occurred and be continuing at the time of such deposit;</w:t>
      </w:r>
    </w:p>
    <w:p>
      <w:pPr>
        <w:spacing w:after="0" w:line="78"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such deposit shall not result in a breach or violation of, or constitute a default under, any other agreement or instrument to which the Company is a party or by which it is bound; and</w:t>
      </w:r>
    </w:p>
    <w:p>
      <w:pPr>
        <w:spacing w:after="0" w:line="62" w:lineRule="exact"/>
        <w:rPr>
          <w:rFonts w:ascii="Arial" w:cs="Arial" w:eastAsia="Arial" w:hAnsi="Arial"/>
          <w:sz w:val="18"/>
          <w:szCs w:val="18"/>
          <w:color w:val="auto"/>
        </w:rPr>
      </w:pPr>
    </w:p>
    <w:p>
      <w:pPr>
        <w:ind w:left="460" w:right="60" w:firstLine="443"/>
        <w:spacing w:after="0" w:line="308" w:lineRule="auto"/>
        <w:tabs>
          <w:tab w:leader="none" w:pos="1153"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Company has delivered to the Trustee an Officers’ Certificate and an Opinion of Counsel, each stating that all conditions precedent herein provided for relating to the satisfaction and discharge of this Indenture with respect to such Securities have been complied with.</w:t>
      </w:r>
    </w:p>
    <w:p>
      <w:pPr>
        <w:spacing w:after="0" w:line="14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Notwithstanding the satisfaction and discharge of this Indenture with respect to Securities of any series, the obligations of the Company to the Trustee under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the obligations of the Trustee to any Authenticating Agent under </w:t>
      </w:r>
      <w:r>
        <w:rPr>
          <w:rFonts w:ascii="Arial" w:cs="Arial" w:eastAsia="Arial" w:hAnsi="Arial"/>
          <w:sz w:val="18"/>
          <w:szCs w:val="18"/>
          <w:u w:val="single" w:color="auto"/>
          <w:color w:val="auto"/>
        </w:rPr>
        <w:t>Section 6.14</w:t>
      </w:r>
      <w:r>
        <w:rPr>
          <w:rFonts w:ascii="Arial" w:cs="Arial" w:eastAsia="Arial" w:hAnsi="Arial"/>
          <w:sz w:val="18"/>
          <w:szCs w:val="18"/>
          <w:color w:val="auto"/>
        </w:rPr>
        <w:t xml:space="preserve">, and, if money shall have been deposited with the Trustee pursuant to subclause (B) of Clause (1) of this Section with respect to such Securities, the obligations of the Company of such series under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and the obligations of the Trustee under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and the last paragraph of </w:t>
      </w:r>
      <w:r>
        <w:rPr>
          <w:rFonts w:ascii="Arial" w:cs="Arial" w:eastAsia="Arial" w:hAnsi="Arial"/>
          <w:sz w:val="18"/>
          <w:szCs w:val="18"/>
          <w:u w:val="single" w:color="auto"/>
          <w:color w:val="auto"/>
        </w:rPr>
        <w:t>Section 10.03</w:t>
      </w:r>
      <w:r>
        <w:rPr>
          <w:rFonts w:ascii="Arial" w:cs="Arial" w:eastAsia="Arial" w:hAnsi="Arial"/>
          <w:sz w:val="18"/>
          <w:szCs w:val="18"/>
          <w:color w:val="auto"/>
        </w:rPr>
        <w:t xml:space="preserve"> with respect to such Securities shall survive such satisfaction and discharge.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179" w:name="page180"/>
    <w:bookmarkEnd w:id="179"/>
    <w:p>
      <w:pPr>
        <w:ind w:right="20"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4.02. </w:t>
      </w:r>
      <w:r>
        <w:rPr>
          <w:rFonts w:ascii="Arial" w:cs="Arial" w:eastAsia="Arial" w:hAnsi="Arial"/>
          <w:sz w:val="17"/>
          <w:szCs w:val="17"/>
          <w:u w:val="single" w:color="auto"/>
          <w:color w:val="auto"/>
        </w:rPr>
        <w:t>Application of Trust Money</w:t>
      </w:r>
      <w:r>
        <w:rPr>
          <w:rFonts w:ascii="Arial" w:cs="Arial" w:eastAsia="Arial" w:hAnsi="Arial"/>
          <w:sz w:val="17"/>
          <w:szCs w:val="17"/>
          <w:color w:val="auto"/>
        </w:rPr>
        <w:t xml:space="preserve">. Subject to the provisions of the last paragraph of </w:t>
      </w:r>
      <w:r>
        <w:rPr>
          <w:rFonts w:ascii="Arial" w:cs="Arial" w:eastAsia="Arial" w:hAnsi="Arial"/>
          <w:sz w:val="17"/>
          <w:szCs w:val="17"/>
          <w:u w:val="single" w:color="auto"/>
          <w:color w:val="auto"/>
        </w:rPr>
        <w:t>Section 10.03</w:t>
      </w:r>
      <w:r>
        <w:rPr>
          <w:rFonts w:ascii="Arial" w:cs="Arial" w:eastAsia="Arial" w:hAnsi="Arial"/>
          <w:sz w:val="17"/>
          <w:szCs w:val="17"/>
          <w:color w:val="auto"/>
        </w:rPr>
        <w:t xml:space="preserve">, all money deposited with the Trustee pursuant to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with respect to Securities of any series shall be held in trust and applied by it, in accordance with the provisions of such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 All moneys deposited with the Trustee pursuant to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(and held by it or any Paying Agent) for the payment of Securities subsequently converted shall be returned to the Company upon Company Request, to the extent originally deposited by the Company. The Company may direct by a Company Order the investment of any money deposited with the Trustee pursuant to </w:t>
      </w:r>
      <w:r>
        <w:rPr>
          <w:rFonts w:ascii="Arial" w:cs="Arial" w:eastAsia="Arial" w:hAnsi="Arial"/>
          <w:sz w:val="17"/>
          <w:szCs w:val="17"/>
          <w:u w:val="single" w:color="auto"/>
          <w:color w:val="auto"/>
        </w:rPr>
        <w:t>Section 4.01</w:t>
      </w:r>
      <w:r>
        <w:rPr>
          <w:rFonts w:ascii="Arial" w:cs="Arial" w:eastAsia="Arial" w:hAnsi="Arial"/>
          <w:sz w:val="17"/>
          <w:szCs w:val="17"/>
          <w:color w:val="auto"/>
        </w:rPr>
        <w:t>, without distinction between principal and income, in (1) United States Treasury Securities with a maturity of one year or less or (2) a money market fund that invests solely in short term United States Treasury Securities and from time to time the Company may direct the reinvestment of all or a portion of such money in other securities or funds meeting the criteria specified in Clause (1) or (2) of this sentence.</w:t>
      </w:r>
    </w:p>
    <w:p>
      <w:pPr>
        <w:spacing w:after="0" w:line="39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REMEDIES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Except as may otherwise be provided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for all or any specific Securities of any series, “</w:t>
      </w:r>
      <w:r>
        <w:rPr>
          <w:rFonts w:ascii="Arial" w:cs="Arial" w:eastAsia="Arial" w:hAnsi="Arial"/>
          <w:sz w:val="16"/>
          <w:szCs w:val="16"/>
          <w:b w:val="1"/>
          <w:bCs w:val="1"/>
          <w:i w:val="1"/>
          <w:iCs w:val="1"/>
          <w:color w:val="auto"/>
        </w:rPr>
        <w:t>Event of Default</w:t>
      </w:r>
      <w:r>
        <w:rPr>
          <w:rFonts w:ascii="Arial" w:cs="Arial" w:eastAsia="Arial" w:hAnsi="Arial"/>
          <w:sz w:val="16"/>
          <w:szCs w:val="16"/>
          <w:color w:val="auto"/>
        </w:rPr>
        <w:t xml:space="preserve">,” wherever used herein with respect to the Securities of that series, means any one of the following events (whatever the reason for such Event of Default and whether it shall be occasioned by the provisions of </w:t>
      </w:r>
      <w:r>
        <w:rPr>
          <w:rFonts w:ascii="Arial" w:cs="Arial" w:eastAsia="Arial" w:hAnsi="Arial"/>
          <w:sz w:val="16"/>
          <w:szCs w:val="16"/>
          <w:u w:val="single" w:color="auto"/>
          <w:color w:val="auto"/>
        </w:rPr>
        <w:t>Article XV</w:t>
      </w:r>
      <w:r>
        <w:rPr>
          <w:rFonts w:ascii="Arial" w:cs="Arial" w:eastAsia="Arial" w:hAnsi="Arial"/>
          <w:sz w:val="16"/>
          <w:szCs w:val="16"/>
          <w:color w:val="auto"/>
        </w:rPr>
        <w:t xml:space="preserve"> or the provision of the last paragraph of </w:t>
      </w:r>
      <w:r>
        <w:rPr>
          <w:rFonts w:ascii="Arial" w:cs="Arial" w:eastAsia="Arial" w:hAnsi="Arial"/>
          <w:sz w:val="16"/>
          <w:szCs w:val="16"/>
          <w:u w:val="single" w:color="auto"/>
          <w:color w:val="auto"/>
        </w:rPr>
        <w:t>Section 14.01</w:t>
      </w:r>
      <w:r>
        <w:rPr>
          <w:rFonts w:ascii="Arial" w:cs="Arial" w:eastAsia="Arial" w:hAnsi="Arial"/>
          <w:sz w:val="16"/>
          <w:szCs w:val="16"/>
          <w:color w:val="auto"/>
        </w:rPr>
        <w:t>, be voluntary or involuntary or be effected by operation of law or pursuant to any judgment, decree or order of any court or any order, rule or regulation of any administrative or governmental body):</w:t>
      </w:r>
    </w:p>
    <w:p>
      <w:pPr>
        <w:spacing w:after="0" w:line="46" w:lineRule="exact"/>
        <w:rPr>
          <w:sz w:val="20"/>
          <w:szCs w:val="20"/>
          <w:color w:val="auto"/>
        </w:rPr>
      </w:pPr>
    </w:p>
    <w:p>
      <w:pPr>
        <w:ind w:left="460" w:firstLine="443"/>
        <w:spacing w:after="0" w:line="277" w:lineRule="auto"/>
        <w:tabs>
          <w:tab w:leader="none" w:pos="115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it becomes due and payable, and continuance of such default for a period of 30 days;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on any Security of that series at its Maturity; or</w:t>
      </w:r>
    </w:p>
    <w:p>
      <w:pPr>
        <w:spacing w:after="0" w:line="117"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Security of that series and continuance of such default for a period of 60 days; or</w:t>
      </w:r>
    </w:p>
    <w:p>
      <w:pPr>
        <w:spacing w:after="0" w:line="62" w:lineRule="exact"/>
        <w:rPr>
          <w:rFonts w:ascii="Arial" w:cs="Arial" w:eastAsia="Arial" w:hAnsi="Arial"/>
          <w:sz w:val="18"/>
          <w:szCs w:val="18"/>
          <w:color w:val="auto"/>
        </w:rPr>
      </w:pPr>
    </w:p>
    <w:p>
      <w:pPr>
        <w:ind w:left="460" w:right="360" w:firstLine="443"/>
        <w:spacing w:after="0" w:line="259" w:lineRule="auto"/>
        <w:tabs>
          <w:tab w:leader="none" w:pos="115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90 days after there has been given, by registered or certified mail, to the Company by the Trustee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180" w:name="page181"/>
    <w:bookmarkEnd w:id="180"/>
    <w:p>
      <w:pPr>
        <w:ind w:left="460" w:right="5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to the Company and the Trustee by the Holders of at least 25% in principal amount of the Outstanding Securities of that series a written notice specifying such default or breach and requiring it to be remedied and stating that such notice is a “</w:t>
      </w:r>
      <w:r>
        <w:rPr>
          <w:rFonts w:ascii="Arial" w:cs="Arial" w:eastAsia="Arial" w:hAnsi="Arial"/>
          <w:sz w:val="17"/>
          <w:szCs w:val="17"/>
          <w:b w:val="1"/>
          <w:bCs w:val="1"/>
          <w:i w:val="1"/>
          <w:iCs w:val="1"/>
          <w:color w:val="auto"/>
        </w:rPr>
        <w:t>Notice of Default</w:t>
      </w:r>
      <w:r>
        <w:rPr>
          <w:rFonts w:ascii="Arial" w:cs="Arial" w:eastAsia="Arial" w:hAnsi="Arial"/>
          <w:sz w:val="17"/>
          <w:szCs w:val="17"/>
          <w:color w:val="auto"/>
        </w:rPr>
        <w:t>” hereunder; or</w:t>
      </w:r>
    </w:p>
    <w:p>
      <w:pPr>
        <w:spacing w:after="0" w:line="38" w:lineRule="exact"/>
        <w:rPr>
          <w:sz w:val="20"/>
          <w:szCs w:val="20"/>
          <w:color w:val="auto"/>
        </w:rPr>
      </w:pPr>
    </w:p>
    <w:p>
      <w:pPr>
        <w:ind w:left="460" w:firstLine="443"/>
        <w:spacing w:after="0" w:line="293" w:lineRule="auto"/>
        <w:tabs>
          <w:tab w:leader="none" w:pos="115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56" w:lineRule="exact"/>
        <w:rPr>
          <w:rFonts w:ascii="Arial" w:cs="Arial" w:eastAsia="Arial" w:hAnsi="Arial"/>
          <w:sz w:val="16"/>
          <w:szCs w:val="16"/>
          <w:color w:val="auto"/>
        </w:rPr>
      </w:pPr>
    </w:p>
    <w:p>
      <w:pPr>
        <w:ind w:left="460" w:firstLine="443"/>
        <w:spacing w:after="0" w:line="290" w:lineRule="auto"/>
        <w:tabs>
          <w:tab w:leader="none" w:pos="115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58" w:lineRule="exact"/>
        <w:rPr>
          <w:rFonts w:ascii="Arial" w:cs="Arial" w:eastAsia="Arial" w:hAnsi="Arial"/>
          <w:sz w:val="16"/>
          <w:szCs w:val="16"/>
          <w:color w:val="auto"/>
        </w:rPr>
      </w:pPr>
    </w:p>
    <w:p>
      <w:pPr>
        <w:ind w:left="460" w:right="80" w:firstLine="443"/>
        <w:spacing w:after="0" w:line="259" w:lineRule="auto"/>
        <w:tabs>
          <w:tab w:leader="none" w:pos="115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if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has been made applicable with respect to such Securities, the Guarantee of the Securities of such series by any Guarantor shall for any reason cease to be, or shall for any reason be asserted in writing by such Guarantor or the Company not to be, in full force and effect and enforceable in accordance with its terms, except to the extent contemplated or permitted by this Indenture or by the terms of the Securities of such series established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or</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any other Event of Default provided with respect to Securities of that series in accordance with </w:t>
      </w:r>
      <w:r>
        <w:rPr>
          <w:rFonts w:ascii="Arial" w:cs="Arial" w:eastAsia="Arial" w:hAnsi="Arial"/>
          <w:sz w:val="18"/>
          <w:szCs w:val="18"/>
          <w:u w:val="single" w:color="auto"/>
          <w:color w:val="auto"/>
        </w:rPr>
        <w:t>Section 3.01</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 xml:space="preserve">. Except as may otherwise be provided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for all or any specific Securities of any series, if an Event of Default (other than an Event of Default specified in </w:t>
      </w:r>
      <w:r>
        <w:rPr>
          <w:rFonts w:ascii="Arial" w:cs="Arial" w:eastAsia="Arial" w:hAnsi="Arial"/>
          <w:sz w:val="18"/>
          <w:szCs w:val="18"/>
          <w:u w:val="single" w:color="auto"/>
          <w:color w:val="auto"/>
        </w:rPr>
        <w:t>Section 5.01(5)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5.01(6))</w:t>
      </w:r>
      <w:r>
        <w:rPr>
          <w:rFonts w:ascii="Arial" w:cs="Arial" w:eastAsia="Arial" w:hAnsi="Arial"/>
          <w:sz w:val="18"/>
          <w:szCs w:val="18"/>
          <w:color w:val="auto"/>
        </w:rPr>
        <w:t xml:space="preserve"> with respect to Securities of that series at the time Outstanding occurs and is continuing, then in every such case the Trustee or the Holders of not less than 25% in principal amount of the Outstanding Securities of that series may declare the principal amount of all the Securities of that series (or, in the case of any Security of that series which specifies an amount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181" w:name="page182"/>
    <w:bookmarkEnd w:id="181"/>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be due and payable thereon upon acceleration of the Maturity thereof, such amount as may be specified by the terms thereof) to be due and payable immediately, by a notice in writing to the Company and any Guarantor of the Securities of that series (and to the Trustee if given by Holders), and upon any such declaration such principal amount (or specified amount), together with any accrued and unpaid interest thereon, shall become immediately due and payable. Except as may otherwise be provided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for all or any specific Securities of any series, if an Event of Default specified in </w:t>
      </w:r>
      <w:r>
        <w:rPr>
          <w:rFonts w:ascii="Arial" w:cs="Arial" w:eastAsia="Arial" w:hAnsi="Arial"/>
          <w:sz w:val="16"/>
          <w:szCs w:val="16"/>
          <w:u w:val="single" w:color="auto"/>
          <w:color w:val="auto"/>
        </w:rPr>
        <w:t>Section 5.01(5)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5.01(6)</w:t>
      </w:r>
      <w:r>
        <w:rPr>
          <w:rFonts w:ascii="Arial" w:cs="Arial" w:eastAsia="Arial" w:hAnsi="Arial"/>
          <w:sz w:val="16"/>
          <w:szCs w:val="16"/>
          <w:color w:val="auto"/>
        </w:rPr>
        <w:t xml:space="preserve"> with respect to Securities of that series at the time Outstanding occurs, the principal amount of all the Securities of that series (or, in the case of any Security of that series which specifies an amount to be due and payable thereon upon acceleration of the Maturity thereof, such amount as may be specified by the terms thereof), together with any accrued and unpaid interest thereon, shall automatically, and without any declaration or other action on the part of the Trustee or any Holder, become immediately due and payable.</w:t>
      </w:r>
    </w:p>
    <w:p>
      <w:pPr>
        <w:spacing w:after="0" w:line="16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Except as may otherwise be provided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for all or any specific Securities of any series, at any time after such a declaration of acceleration with respect to Securities of that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any Guarantor of the Securities of that series and the Trustee, may rescind and annul such declaration and its consequences if</w:t>
      </w:r>
    </w:p>
    <w:p>
      <w:pPr>
        <w:spacing w:after="0" w:line="46" w:lineRule="exact"/>
        <w:rPr>
          <w:sz w:val="20"/>
          <w:szCs w:val="20"/>
          <w:color w:val="auto"/>
        </w:rPr>
      </w:pPr>
    </w:p>
    <w:p>
      <w:pPr>
        <w:ind w:left="1160" w:hanging="257"/>
        <w:spacing w:after="0"/>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 or any such Guarantor has paid or deposited with the Trustee a sum sufficient to pay</w:t>
      </w:r>
    </w:p>
    <w:p>
      <w:pPr>
        <w:spacing w:after="0" w:line="117" w:lineRule="exact"/>
        <w:rPr>
          <w:rFonts w:ascii="Arial" w:cs="Arial" w:eastAsia="Arial" w:hAnsi="Arial"/>
          <w:sz w:val="18"/>
          <w:szCs w:val="18"/>
          <w:color w:val="auto"/>
        </w:rPr>
      </w:pPr>
    </w:p>
    <w:p>
      <w:pPr>
        <w:ind w:left="1640" w:hanging="299"/>
        <w:spacing w:after="0"/>
        <w:tabs>
          <w:tab w:leader="none" w:pos="16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all overdue interest on all Securities of that series,</w:t>
      </w:r>
    </w:p>
    <w:p>
      <w:pPr>
        <w:spacing w:after="0" w:line="117" w:lineRule="exact"/>
        <w:rPr>
          <w:rFonts w:ascii="Arial" w:cs="Arial" w:eastAsia="Arial" w:hAnsi="Arial"/>
          <w:sz w:val="18"/>
          <w:szCs w:val="18"/>
          <w:color w:val="auto"/>
        </w:rPr>
      </w:pPr>
    </w:p>
    <w:p>
      <w:pPr>
        <w:ind w:left="920" w:right="80" w:firstLine="421"/>
        <w:spacing w:after="0" w:line="277" w:lineRule="auto"/>
        <w:tabs>
          <w:tab w:leader="none" w:pos="1625"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62" w:lineRule="exact"/>
        <w:rPr>
          <w:rFonts w:ascii="Arial" w:cs="Arial" w:eastAsia="Arial" w:hAnsi="Arial"/>
          <w:sz w:val="18"/>
          <w:szCs w:val="18"/>
          <w:color w:val="auto"/>
        </w:rPr>
      </w:pPr>
    </w:p>
    <w:p>
      <w:pPr>
        <w:ind w:left="920" w:right="400" w:firstLine="421"/>
        <w:spacing w:after="0" w:line="277" w:lineRule="auto"/>
        <w:tabs>
          <w:tab w:leader="none" w:pos="1625"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interest at the rate or rates prescribed therefor in such Securities, and</w:t>
      </w:r>
    </w:p>
    <w:p>
      <w:pPr>
        <w:spacing w:after="0" w:line="62" w:lineRule="exact"/>
        <w:rPr>
          <w:rFonts w:ascii="Arial" w:cs="Arial" w:eastAsia="Arial" w:hAnsi="Arial"/>
          <w:sz w:val="18"/>
          <w:szCs w:val="18"/>
          <w:color w:val="auto"/>
        </w:rPr>
      </w:pPr>
    </w:p>
    <w:p>
      <w:pPr>
        <w:ind w:left="920" w:right="140" w:firstLine="421"/>
        <w:spacing w:after="0" w:line="277" w:lineRule="auto"/>
        <w:tabs>
          <w:tab w:leader="none" w:pos="1635"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62"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all Events of Default with respect to Securities of that series, other than the non-payment of the principal of Securities of that series which have become due solely by such declaration of acceleration, have been cured or waived as provided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274" w:right="419" w:bottom="1440" w:gutter="0" w:footer="0" w:header="0"/>
        </w:sectPr>
      </w:pPr>
    </w:p>
    <w:bookmarkStart w:id="182" w:name="page183"/>
    <w:bookmarkEnd w:id="18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 The Company covenants that if</w:t>
      </w:r>
    </w:p>
    <w:p>
      <w:pPr>
        <w:spacing w:after="0" w:line="117" w:lineRule="exact"/>
        <w:rPr>
          <w:sz w:val="20"/>
          <w:szCs w:val="20"/>
          <w:color w:val="auto"/>
        </w:rPr>
      </w:pPr>
    </w:p>
    <w:p>
      <w:pPr>
        <w:ind w:left="460" w:right="140" w:firstLine="443"/>
        <w:spacing w:after="0" w:line="277" w:lineRule="auto"/>
        <w:tabs>
          <w:tab w:leader="none" w:pos="115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60 days,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Security at the Maturity thereof,</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Trustee May File Proofs of Claim</w:t>
      </w:r>
      <w:r>
        <w:rPr>
          <w:rFonts w:ascii="Arial" w:cs="Arial" w:eastAsia="Arial" w:hAnsi="Arial"/>
          <w:sz w:val="17"/>
          <w:szCs w:val="17"/>
          <w:color w:val="auto"/>
        </w:rPr>
        <w:t xml:space="preserve">. In case of any judicial proceeding relative to the Company, any Guarantor or any other obligor upon the Securities, their property or their creditors, the Trustee shall be entitled and empowered, by intervention in such proceeding or otherwise, to take any and all actions authorized under the Trust Indenture Act in order to have claims of the Holders and the Trustee allowed in any such proceeding.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w:t>
      </w:r>
      <w:r>
        <w:rPr>
          <w:rFonts w:ascii="Arial" w:cs="Arial" w:eastAsia="Arial" w:hAnsi="Arial"/>
          <w:sz w:val="17"/>
          <w:szCs w:val="17"/>
          <w:u w:val="single" w:color="auto"/>
          <w:color w:val="auto"/>
        </w:rPr>
        <w:t>Section 6.07</w:t>
      </w:r>
      <w:r>
        <w:rPr>
          <w:rFonts w:ascii="Arial" w:cs="Arial" w:eastAsia="Arial" w:hAnsi="Arial"/>
          <w:sz w:val="17"/>
          <w:szCs w:val="17"/>
          <w:color w:val="auto"/>
        </w:rPr>
        <w:t>.</w:t>
      </w:r>
    </w:p>
    <w:p>
      <w:pPr>
        <w:spacing w:after="0" w:line="179"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 xml:space="preserve">No provision of this Indenture shall be deemed to authorize the Trustee to authorize or consent to or accept or adopt on behalf of any Holder any plan of reorganization, arrangement, adjustment or composition affecting the Securities or any Guarantee or the rights of any Holder thereof or to authorize the Trustee to vote in respect of the claim of any Holder in any such proceeding;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Trustee may, on behalf of the Holders, vote for the election of a trustee in bankruptcy or similar official and be a member of a creditors’ or other similar committee.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74" w:right="279" w:bottom="1440" w:gutter="0" w:footer="0" w:header="0"/>
        </w:sectPr>
      </w:pPr>
    </w:p>
    <w:bookmarkStart w:id="183" w:name="page184"/>
    <w:bookmarkEnd w:id="183"/>
    <w:p>
      <w:pPr>
        <w:ind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5.05. </w:t>
      </w:r>
      <w:r>
        <w:rPr>
          <w:rFonts w:ascii="Arial" w:cs="Arial" w:eastAsia="Arial" w:hAnsi="Arial"/>
          <w:sz w:val="17"/>
          <w:szCs w:val="17"/>
          <w:u w:val="single" w:color="auto"/>
          <w:color w:val="auto"/>
        </w:rPr>
        <w:t>Trustee May Enforce Claims Without Possession of Securities</w:t>
      </w:r>
      <w:r>
        <w:rPr>
          <w:rFonts w:ascii="Arial" w:cs="Arial" w:eastAsia="Arial" w:hAnsi="Arial"/>
          <w:sz w:val="17"/>
          <w:szCs w:val="17"/>
          <w:color w:val="auto"/>
        </w:rPr>
        <w:t>. All rights of action and claims under this Indenture or the Securities or any Guarantee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73"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Application of Money Collected</w:t>
      </w:r>
      <w:r>
        <w:rPr>
          <w:rFonts w:ascii="Arial" w:cs="Arial" w:eastAsia="Arial" w:hAnsi="Arial"/>
          <w:sz w:val="17"/>
          <w:szCs w:val="17"/>
          <w:color w:val="auto"/>
        </w:rPr>
        <w:t>. 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FIRST: To the payment of all amounts due the Trustee under </w:t>
      </w:r>
      <w:r>
        <w:rPr>
          <w:rFonts w:ascii="Arial" w:cs="Arial" w:eastAsia="Arial" w:hAnsi="Arial"/>
          <w:sz w:val="18"/>
          <w:szCs w:val="18"/>
          <w:u w:val="single" w:color="auto"/>
          <w:color w:val="auto"/>
        </w:rPr>
        <w:t>Section 6.07</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SECOND: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spacing w:after="0" w:line="7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THIRD: To the payment of the remainder, if any, to the Company, any Guarantor or to whomsoever may be lawfully entitled to receive the same as a court of competent jurisdiction may direct.</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 No Holder of any Security of any series shall have any right to institute any proceeding, judicial or otherwise, with respect to this Indenture, or for the appointment of a receiver or trustee, or for any other remedy hereunder, unless</w:t>
      </w:r>
    </w:p>
    <w:p>
      <w:pPr>
        <w:spacing w:after="0" w:line="62" w:lineRule="exact"/>
        <w:rPr>
          <w:sz w:val="20"/>
          <w:szCs w:val="20"/>
          <w:color w:val="auto"/>
        </w:rPr>
      </w:pPr>
    </w:p>
    <w:p>
      <w:pPr>
        <w:ind w:left="1160" w:hanging="257"/>
        <w:spacing w:after="0"/>
        <w:tabs>
          <w:tab w:leader="none" w:pos="11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 that series;</w:t>
      </w:r>
    </w:p>
    <w:p>
      <w:pPr>
        <w:spacing w:after="0" w:line="140" w:lineRule="exact"/>
        <w:rPr>
          <w:rFonts w:ascii="Arial" w:cs="Arial" w:eastAsia="Arial" w:hAnsi="Arial"/>
          <w:sz w:val="16"/>
          <w:szCs w:val="16"/>
          <w:color w:val="auto"/>
        </w:rPr>
      </w:pPr>
    </w:p>
    <w:p>
      <w:pPr>
        <w:ind w:left="460" w:firstLine="443"/>
        <w:spacing w:after="0" w:line="277" w:lineRule="auto"/>
        <w:tabs>
          <w:tab w:leader="none" w:pos="115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62" w:lineRule="exact"/>
        <w:rPr>
          <w:rFonts w:ascii="Arial" w:cs="Arial" w:eastAsia="Arial" w:hAnsi="Arial"/>
          <w:sz w:val="18"/>
          <w:szCs w:val="18"/>
          <w:color w:val="auto"/>
        </w:rPr>
      </w:pPr>
    </w:p>
    <w:p>
      <w:pPr>
        <w:ind w:left="460" w:right="420" w:firstLine="443"/>
        <w:spacing w:after="0" w:line="277" w:lineRule="auto"/>
        <w:tabs>
          <w:tab w:leader="none" w:pos="115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reasonably satisfactory to it against the costs, expenses and liabilities to be incurred in compliance with such request;</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Trustee for 60 days after its receipt of such notice, request and offer of indemnity has failed to institute any such proceeding; and</w:t>
      </w:r>
    </w:p>
    <w:p>
      <w:pPr>
        <w:spacing w:after="0" w:line="128" w:lineRule="exact"/>
        <w:rPr>
          <w:rFonts w:ascii="Arial" w:cs="Arial" w:eastAsia="Arial" w:hAnsi="Arial"/>
          <w:sz w:val="17"/>
          <w:szCs w:val="17"/>
          <w:color w:val="auto"/>
        </w:rPr>
      </w:pPr>
    </w:p>
    <w:p>
      <w:pPr>
        <w:ind w:left="460" w:right="280" w:firstLine="443"/>
        <w:spacing w:after="0" w:line="277" w:lineRule="auto"/>
        <w:tabs>
          <w:tab w:leader="none" w:pos="115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184" w:name="page185"/>
    <w:bookmarkEnd w:id="184"/>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8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Unconditional Right of Holders to Receive Principal, Premium and Interest and to Convert</w:t>
      </w:r>
      <w:r>
        <w:rPr>
          <w:rFonts w:ascii="Arial" w:cs="Arial" w:eastAsia="Arial" w:hAnsi="Arial"/>
          <w:sz w:val="16"/>
          <w:szCs w:val="16"/>
          <w:color w:val="auto"/>
        </w:rPr>
        <w:t xml:space="preserve">. Notwithstanding any other provision in this Indenture, the Holder of any Security shall have the right, which is absolute and unconditional, to receive payment of the principal of and any premium and (subject to </w:t>
      </w:r>
      <w:r>
        <w:rPr>
          <w:rFonts w:ascii="Arial" w:cs="Arial" w:eastAsia="Arial" w:hAnsi="Arial"/>
          <w:sz w:val="16"/>
          <w:szCs w:val="16"/>
          <w:u w:val="single" w:color="auto"/>
          <w:color w:val="auto"/>
        </w:rPr>
        <w:t>Section 3.07</w:t>
      </w:r>
      <w:r>
        <w:rPr>
          <w:rFonts w:ascii="Arial" w:cs="Arial" w:eastAsia="Arial" w:hAnsi="Arial"/>
          <w:sz w:val="16"/>
          <w:szCs w:val="16"/>
          <w:color w:val="auto"/>
        </w:rPr>
        <w:t>) interest on such Security on the respective Stated Maturities expressed in such Security (or, in the case of redemption, on the Redemption Date), and, if the terms of such Security so provide, to convert such Security in accordance with its terms, and to institute suit for the enforcement of any such payment and, if applicable, any such right to convert, and such rights shall not be impaired without the consent of such Holder.</w:t>
      </w:r>
    </w:p>
    <w:p>
      <w:pPr>
        <w:spacing w:after="0" w:line="15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any Guarantors,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88"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 xml:space="preserve">. Except as otherwise provided with respect to the replacement or payment of mutilated, destroyed, lost or wrongfully taken Securities in the last paragraph of </w:t>
      </w:r>
      <w:r>
        <w:rPr>
          <w:rFonts w:ascii="Arial" w:cs="Arial" w:eastAsia="Arial" w:hAnsi="Arial"/>
          <w:sz w:val="16"/>
          <w:szCs w:val="16"/>
          <w:u w:val="single" w:color="auto"/>
          <w:color w:val="auto"/>
        </w:rPr>
        <w:t>Section 3.06</w:t>
      </w:r>
      <w:r>
        <w:rPr>
          <w:rFonts w:ascii="Arial" w:cs="Arial" w:eastAsia="Arial" w:hAnsi="Arial"/>
          <w:sz w:val="16"/>
          <w:szCs w:val="16"/>
          <w:color w:val="auto"/>
        </w:rPr>
        <w:t>,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5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 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 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73" w:lineRule="exact"/>
        <w:rPr>
          <w:sz w:val="20"/>
          <w:szCs w:val="20"/>
          <w:color w:val="auto"/>
        </w:rPr>
      </w:pPr>
    </w:p>
    <w:p>
      <w:pPr>
        <w:ind w:left="5620" w:right="4440" w:hanging="4717"/>
        <w:spacing w:after="0" w:line="449" w:lineRule="auto"/>
        <w:tabs>
          <w:tab w:leader="none" w:pos="115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 43</w:t>
      </w:r>
    </w:p>
    <w:p>
      <w:pPr>
        <w:sectPr>
          <w:pgSz w:w="11900" w:h="16838" w:orient="portrait"/>
          <w:cols w:equalWidth="0" w:num="1">
            <w:col w:w="11420"/>
          </w:cols>
          <w:pgMar w:left="240" w:top="274" w:right="239" w:bottom="1440" w:gutter="0" w:footer="0" w:header="0"/>
        </w:sectPr>
      </w:pPr>
    </w:p>
    <w:bookmarkStart w:id="185" w:name="page186"/>
    <w:bookmarkEnd w:id="185"/>
    <w:p>
      <w:pPr>
        <w:ind w:left="1160" w:hanging="257"/>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may take any other action deemed proper by the Trustee which is not inconsistent with such direction; and</w:t>
      </w:r>
    </w:p>
    <w:p>
      <w:pPr>
        <w:spacing w:after="0" w:line="117" w:lineRule="exact"/>
        <w:rPr>
          <w:rFonts w:ascii="Arial" w:cs="Arial" w:eastAsia="Arial" w:hAnsi="Arial"/>
          <w:sz w:val="18"/>
          <w:szCs w:val="18"/>
          <w:color w:val="auto"/>
        </w:rPr>
      </w:pPr>
    </w:p>
    <w:p>
      <w:pPr>
        <w:ind w:left="460" w:right="260" w:firstLine="443"/>
        <w:spacing w:after="0" w:line="277" w:lineRule="auto"/>
        <w:tabs>
          <w:tab w:leader="none" w:pos="115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 6.01</w:t>
      </w:r>
      <w:r>
        <w:rPr>
          <w:rFonts w:ascii="Arial" w:cs="Arial" w:eastAsia="Arial" w:hAnsi="Arial"/>
          <w:sz w:val="18"/>
          <w:szCs w:val="18"/>
          <w:color w:val="auto"/>
        </w:rPr>
        <w:t>, the Trustee shall have the right to decline to follow any such direction if the Trustee in good faith shall determine that the proceeding so directed would involve the Trustee in personal liability.</w:t>
      </w:r>
    </w:p>
    <w:p>
      <w:pPr>
        <w:spacing w:after="0" w:line="17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Waiver of Past Defaults</w:t>
      </w:r>
      <w:r>
        <w:rPr>
          <w:rFonts w:ascii="Arial" w:cs="Arial" w:eastAsia="Arial" w:hAnsi="Arial"/>
          <w:sz w:val="17"/>
          <w:szCs w:val="17"/>
          <w:color w:val="auto"/>
        </w:rPr>
        <w:t xml:space="preserve">. Except as may otherwise be provided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for all or any specific Securities of any series, the Holders of not less than a majority in principal amount (including waivers obtained in connection with a purchase of, or tender offer or exchange offer for, Securities) of the Outstanding Securities of any series to be affected under this Indenture may on behalf of the Holders of all the Securities of such series waive any past default hereunder with respect to such series and its consequences, except a default</w:t>
      </w:r>
    </w:p>
    <w:p>
      <w:pPr>
        <w:spacing w:after="0" w:line="63" w:lineRule="exact"/>
        <w:rPr>
          <w:sz w:val="20"/>
          <w:szCs w:val="20"/>
          <w:color w:val="auto"/>
        </w:rPr>
      </w:pPr>
    </w:p>
    <w:p>
      <w:pPr>
        <w:ind w:left="1160" w:hanging="257"/>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the payment of the principal of or any premium or interest on any Security of such series, or</w:t>
      </w:r>
    </w:p>
    <w:p>
      <w:pPr>
        <w:spacing w:after="0" w:line="117" w:lineRule="exact"/>
        <w:rPr>
          <w:rFonts w:ascii="Arial" w:cs="Arial" w:eastAsia="Arial" w:hAnsi="Arial"/>
          <w:sz w:val="18"/>
          <w:szCs w:val="18"/>
          <w:color w:val="auto"/>
        </w:rPr>
      </w:pPr>
    </w:p>
    <w:p>
      <w:pPr>
        <w:ind w:left="460" w:right="40" w:firstLine="443"/>
        <w:spacing w:after="0" w:line="277" w:lineRule="auto"/>
        <w:tabs>
          <w:tab w:leader="none" w:pos="115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in respect of a covenant or provision hereof which under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cannot be modified or amended without the consent of the Holder of each Outstanding Security of such series affected.</w:t>
      </w:r>
    </w:p>
    <w:p>
      <w:pPr>
        <w:spacing w:after="0" w:line="170"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6"/>
          <w:szCs w:val="16"/>
          <w:color w:val="auto"/>
        </w:rPr>
        <w:t>Upon any such waiver with respect to any series, such default shall cease to exist, and any Event of Default arising therefrom shall be deemed to have been cured, with respect to such series for every purpose of this Indenture; but no such waiver shall extend to any subsequent or other default or impair any right consequent thereon. A waiver of any past default and its consequences given by or on behalf of any Holder of Securities in connection with a purchase of, or tender or exchange offer for, such Holder’s Securities will not be rendered invalid by such purchase, tender or exchange.</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 xml:space="preserve">. 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including reasonable attorneys’ fees and expenses, against any such party litigant, in the manner and to the extent provided in the Trust Indenture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this Section nor the Trust Indenture Act shall be deemed to authorize any court to require such an undertaking or to make such an assessment in any suit instituted by the Company, any Guarantor or the Trustee or, if applicable, in any suit for the enforcement of the right to convert any Security in accordance with its terms.</w:t>
      </w:r>
    </w:p>
    <w:p>
      <w:pPr>
        <w:spacing w:after="0" w:line="1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Waiver of Usury, Stay or Extension Laws</w:t>
      </w:r>
      <w:r>
        <w:rPr>
          <w:rFonts w:ascii="Arial" w:cs="Arial" w:eastAsia="Arial" w:hAnsi="Arial"/>
          <w:sz w:val="18"/>
          <w:szCs w:val="18"/>
          <w:color w:val="auto"/>
        </w:rPr>
        <w:t>. The Company and each Guarantor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and each Guarantor (to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4" w:right="259" w:bottom="1440" w:gutter="0" w:footer="0" w:header="0"/>
        </w:sectPr>
      </w:pPr>
    </w:p>
    <w:bookmarkStart w:id="186" w:name="page187"/>
    <w:bookmarkEnd w:id="186"/>
    <w:p>
      <w:pPr>
        <w:jc w:val="both"/>
        <w:ind w:right="1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TRUSTEE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Certain Duties and Responsibilities</w:t>
      </w:r>
      <w:r>
        <w:rPr>
          <w:rFonts w:ascii="Arial" w:cs="Arial" w:eastAsia="Arial" w:hAnsi="Arial"/>
          <w:sz w:val="18"/>
          <w:szCs w:val="18"/>
          <w:color w:val="auto"/>
        </w:rPr>
        <w:t>.</w:t>
      </w:r>
    </w:p>
    <w:p>
      <w:pPr>
        <w:spacing w:after="0" w:line="117" w:lineRule="exact"/>
        <w:rPr>
          <w:sz w:val="20"/>
          <w:szCs w:val="20"/>
          <w:color w:val="auto"/>
        </w:rPr>
      </w:pPr>
    </w:p>
    <w:p>
      <w:pPr>
        <w:ind w:left="700" w:hanging="236"/>
        <w:spacing w:after="0"/>
        <w:tabs>
          <w:tab w:leader="none" w:pos="7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left="460" w:right="140" w:firstLine="443"/>
        <w:spacing w:after="0" w:line="264" w:lineRule="auto"/>
        <w:tabs>
          <w:tab w:leader="none" w:pos="115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this Indenture and as are provided by the Trust Indenture Act, and, except for implied covenants or obligations under the Trust Indenture Act, no implied covenants or obligations shall be read into this Indenture against the Trustee; and</w:t>
      </w:r>
    </w:p>
    <w:p>
      <w:pPr>
        <w:spacing w:after="0" w:line="73" w:lineRule="exact"/>
        <w:rPr>
          <w:rFonts w:ascii="Arial" w:cs="Arial" w:eastAsia="Arial" w:hAnsi="Arial"/>
          <w:sz w:val="18"/>
          <w:szCs w:val="18"/>
          <w:color w:val="auto"/>
        </w:rPr>
      </w:pPr>
    </w:p>
    <w:p>
      <w:pPr>
        <w:ind w:left="460" w:right="100" w:firstLine="443"/>
        <w:spacing w:after="0" w:line="279" w:lineRule="auto"/>
        <w:tabs>
          <w:tab w:leader="none" w:pos="1153" w:val="left"/>
        </w:tabs>
        <w:numPr>
          <w:ilvl w:val="1"/>
          <w:numId w:val="132"/>
        </w:numPr>
        <w:rPr>
          <w:rFonts w:ascii="Arial" w:cs="Arial" w:eastAsia="Arial" w:hAnsi="Arial"/>
          <w:sz w:val="17"/>
          <w:szCs w:val="17"/>
          <w:color w:val="auto"/>
        </w:rPr>
      </w:pPr>
      <w:r>
        <w:rPr>
          <w:rFonts w:ascii="Arial" w:cs="Arial" w:eastAsia="Arial" w:hAnsi="Arial"/>
          <w:sz w:val="17"/>
          <w:szCs w:val="17"/>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63" w:lineRule="exact"/>
        <w:rPr>
          <w:rFonts w:ascii="Arial" w:cs="Arial" w:eastAsia="Arial" w:hAnsi="Arial"/>
          <w:sz w:val="17"/>
          <w:szCs w:val="17"/>
          <w:color w:val="auto"/>
        </w:rPr>
      </w:pPr>
    </w:p>
    <w:p>
      <w:pPr>
        <w:ind w:right="80" w:firstLine="464"/>
        <w:spacing w:after="0" w:line="264" w:lineRule="auto"/>
        <w:tabs>
          <w:tab w:leader="none" w:pos="71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case an Event of Default has occurred and is continuing, the Trustee shall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73" w:lineRule="exact"/>
        <w:rPr>
          <w:rFonts w:ascii="Arial" w:cs="Arial" w:eastAsia="Arial" w:hAnsi="Arial"/>
          <w:sz w:val="18"/>
          <w:szCs w:val="18"/>
          <w:color w:val="auto"/>
        </w:rPr>
      </w:pPr>
    </w:p>
    <w:p>
      <w:pPr>
        <w:ind w:right="40" w:firstLine="464"/>
        <w:spacing w:after="0" w:line="277" w:lineRule="auto"/>
        <w:tabs>
          <w:tab w:leader="none" w:pos="70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this Subsection shall not be construed to limit the effect of the first paragraph of this Section;</w:t>
      </w:r>
    </w:p>
    <w:p>
      <w:pPr>
        <w:spacing w:after="0" w:line="117" w:lineRule="exact"/>
        <w:rPr>
          <w:rFonts w:ascii="Arial" w:cs="Arial" w:eastAsia="Arial" w:hAnsi="Arial"/>
          <w:sz w:val="18"/>
          <w:szCs w:val="18"/>
          <w:color w:val="auto"/>
        </w:rPr>
      </w:pPr>
    </w:p>
    <w:p>
      <w:pPr>
        <w:ind w:left="460" w:right="20" w:firstLine="443"/>
        <w:spacing w:after="0" w:line="277" w:lineRule="auto"/>
        <w:tabs>
          <w:tab w:leader="none" w:pos="115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62" w:lineRule="exact"/>
        <w:rPr>
          <w:rFonts w:ascii="Arial" w:cs="Arial" w:eastAsia="Arial" w:hAnsi="Arial"/>
          <w:sz w:val="18"/>
          <w:szCs w:val="18"/>
          <w:color w:val="auto"/>
        </w:rPr>
      </w:pPr>
    </w:p>
    <w:p>
      <w:pPr>
        <w:ind w:left="460" w:firstLine="443"/>
        <w:spacing w:after="0" w:line="259" w:lineRule="auto"/>
        <w:tabs>
          <w:tab w:leader="none" w:pos="115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the Trustee shall not be liable with respect to any action taken or omitted to be taken by it in good faith in accordance with the direction of the Holders of a majority in principal amount of the Outstanding Securities of any series, determined as provided in </w:t>
      </w:r>
      <w:r>
        <w:rPr>
          <w:rFonts w:ascii="Arial" w:cs="Arial" w:eastAsia="Arial" w:hAnsi="Arial"/>
          <w:sz w:val="18"/>
          <w:szCs w:val="18"/>
          <w:u w:val="single" w:color="auto"/>
          <w:color w:val="auto"/>
        </w:rPr>
        <w:t>Section 5.12</w:t>
      </w:r>
      <w:r>
        <w:rPr>
          <w:rFonts w:ascii="Arial" w:cs="Arial" w:eastAsia="Arial" w:hAnsi="Arial"/>
          <w:sz w:val="18"/>
          <w:szCs w:val="18"/>
          <w:color w:val="auto"/>
        </w:rPr>
        <w:t>, relating to the time, method and place of conducting any proceeding for any remedy available to the Trustee, or exercising any trust or power conferred upon the Trustee, under this Indenture with respect to the Securities of such series; and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74" w:right="279" w:bottom="1440" w:gutter="0" w:footer="0" w:header="0"/>
        </w:sectPr>
      </w:pPr>
    </w:p>
    <w:bookmarkStart w:id="187" w:name="page188"/>
    <w:bookmarkEnd w:id="187"/>
    <w:p>
      <w:pPr>
        <w:jc w:val="both"/>
        <w:ind w:left="460" w:right="560" w:firstLine="443"/>
        <w:spacing w:after="0" w:line="286" w:lineRule="auto"/>
        <w:tabs>
          <w:tab w:leader="none" w:pos="1153" w:val="left"/>
        </w:tabs>
        <w:numPr>
          <w:ilvl w:val="1"/>
          <w:numId w:val="1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57" w:lineRule="exact"/>
        <w:rPr>
          <w:rFonts w:ascii="Arial" w:cs="Arial" w:eastAsia="Arial" w:hAnsi="Arial"/>
          <w:sz w:val="17"/>
          <w:szCs w:val="17"/>
          <w:color w:val="auto"/>
        </w:rPr>
      </w:pPr>
    </w:p>
    <w:p>
      <w:pPr>
        <w:ind w:right="440" w:firstLine="464"/>
        <w:spacing w:after="0" w:line="277" w:lineRule="auto"/>
        <w:tabs>
          <w:tab w:leader="none" w:pos="71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62" w:lineRule="exact"/>
        <w:rPr>
          <w:rFonts w:ascii="Arial" w:cs="Arial" w:eastAsia="Arial" w:hAnsi="Arial"/>
          <w:sz w:val="18"/>
          <w:szCs w:val="18"/>
          <w:color w:val="auto"/>
        </w:rPr>
      </w:pPr>
    </w:p>
    <w:p>
      <w:pPr>
        <w:ind w:left="700" w:hanging="236"/>
        <w:spacing w:after="0"/>
        <w:tabs>
          <w:tab w:leader="none" w:pos="7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No provision of this Indenture shall require the Trustee to expend or risk its own funds or incur any liability. The Trustee shall be under no</w:t>
      </w:r>
    </w:p>
    <w:p>
      <w:pPr>
        <w:spacing w:after="0" w:line="34"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obligation to exercise any of the rights or powers vested in it by this Indenture at the request or direction of any of the Holders unless such Holders shall have offered to the Trustee security or indemnity reasonably satisfactory to it against the costs, expenses and liabilities that might be incurred by it in compliance with such request or direction.</w:t>
      </w:r>
    </w:p>
    <w:p>
      <w:pPr>
        <w:spacing w:after="0" w:line="82" w:lineRule="exact"/>
        <w:rPr>
          <w:rFonts w:ascii="Arial" w:cs="Arial" w:eastAsia="Arial" w:hAnsi="Arial"/>
          <w:sz w:val="17"/>
          <w:szCs w:val="17"/>
          <w:color w:val="auto"/>
        </w:rPr>
      </w:pPr>
    </w:p>
    <w:p>
      <w:pPr>
        <w:jc w:val="both"/>
        <w:ind w:right="60" w:firstLine="464"/>
        <w:spacing w:after="0" w:line="264" w:lineRule="auto"/>
        <w:tabs>
          <w:tab w:leader="none" w:pos="68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Money held in trust by the Trustee need not be segregated from other funds and need not be held in an interest-bearing account, in each case except to the extent required by law or by any other provision of this Indenture. The Trustee (acting in any capacity hereunder) shall not be liable for interest on any money received by it hereunder unless the Trustee otherwise agrees in writing with the Company.</w:t>
      </w:r>
    </w:p>
    <w:p>
      <w:pPr>
        <w:spacing w:after="0" w:line="18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Notice of Defaults</w:t>
      </w:r>
      <w:r>
        <w:rPr>
          <w:rFonts w:ascii="Arial" w:cs="Arial" w:eastAsia="Arial" w:hAnsi="Arial"/>
          <w:sz w:val="16"/>
          <w:szCs w:val="16"/>
          <w:color w:val="auto"/>
        </w:rPr>
        <w:t xml:space="preserve">. If a default or Event of Default occurs and is continuing hereunder with respect to Securities of any series, and if it is known to the Trustee, the Trustee shall mail to the Holders of Securities of such series notice of such default or Event of default within 90 days after the Trustee gains knowledge of the default or Event of Default unless such default or Event of Default shall have been cured or waived before the giving of such notice. Except in the case of a default or Event of Default in payment of principal of, premium or interest on Securities of any series, the Trustee may withhold the notice if and so long as a committee of its Responsible Officers in good faith determines that withholding the notice is in the interests of the Holders of the Securities of such series. For the purpose of this Section and </w:t>
      </w:r>
      <w:r>
        <w:rPr>
          <w:rFonts w:ascii="Arial" w:cs="Arial" w:eastAsia="Arial" w:hAnsi="Arial"/>
          <w:sz w:val="16"/>
          <w:szCs w:val="16"/>
          <w:u w:val="single" w:color="auto"/>
          <w:color w:val="auto"/>
        </w:rPr>
        <w:t>Section 10.05</w:t>
      </w:r>
      <w:r>
        <w:rPr>
          <w:rFonts w:ascii="Arial" w:cs="Arial" w:eastAsia="Arial" w:hAnsi="Arial"/>
          <w:sz w:val="16"/>
          <w:szCs w:val="16"/>
          <w:color w:val="auto"/>
        </w:rPr>
        <w:t>, the term “</w:t>
      </w:r>
      <w:r>
        <w:rPr>
          <w:rFonts w:ascii="Arial" w:cs="Arial" w:eastAsia="Arial" w:hAnsi="Arial"/>
          <w:sz w:val="16"/>
          <w:szCs w:val="16"/>
          <w:b w:val="1"/>
          <w:bCs w:val="1"/>
          <w:i w:val="1"/>
          <w:iCs w:val="1"/>
          <w:color w:val="auto"/>
        </w:rPr>
        <w:t>default</w:t>
      </w:r>
      <w:r>
        <w:rPr>
          <w:rFonts w:ascii="Arial" w:cs="Arial" w:eastAsia="Arial" w:hAnsi="Arial"/>
          <w:sz w:val="16"/>
          <w:szCs w:val="16"/>
          <w:color w:val="auto"/>
        </w:rPr>
        <w:t>” means, with respect to Securities of any series, any event which is, or after notice or lapse of time or both would become, an Event of Default with respect to Securities of such series.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17" w:lineRule="exact"/>
        <w:rPr>
          <w:sz w:val="20"/>
          <w:szCs w:val="20"/>
          <w:color w:val="auto"/>
        </w:rPr>
      </w:pPr>
    </w:p>
    <w:p>
      <w:pPr>
        <w:ind w:left="460" w:right="20" w:firstLine="443"/>
        <w:spacing w:after="0" w:line="264" w:lineRule="auto"/>
        <w:tabs>
          <w:tab w:leader="none" w:pos="115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Trustee may conclusively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73" w:lineRule="exact"/>
        <w:rPr>
          <w:rFonts w:ascii="Arial" w:cs="Arial" w:eastAsia="Arial" w:hAnsi="Arial"/>
          <w:sz w:val="18"/>
          <w:szCs w:val="18"/>
          <w:color w:val="auto"/>
        </w:rPr>
      </w:pPr>
    </w:p>
    <w:p>
      <w:pPr>
        <w:ind w:left="460" w:right="20" w:firstLine="443"/>
        <w:spacing w:after="0" w:line="277" w:lineRule="auto"/>
        <w:tabs>
          <w:tab w:leader="none" w:pos="115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request or direction of a Guarantor mentioned herein shall be sufficiently evidenced by a Guarantor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274" w:right="299" w:bottom="1440" w:gutter="0" w:footer="0" w:header="0"/>
        </w:sectPr>
      </w:pPr>
    </w:p>
    <w:bookmarkStart w:id="188" w:name="page189"/>
    <w:bookmarkEnd w:id="188"/>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Request or Guarantor Order of such Guarantor, and any resolution of the Board of Directors shall be sufficiently evidenced by a Board Resolution and any resolution of a Guarantor’s Board of Directors may be sufficiently evidenced by a Guarantor’s Board Resolution;</w:t>
      </w:r>
    </w:p>
    <w:p>
      <w:pPr>
        <w:spacing w:after="0" w:line="62" w:lineRule="exact"/>
        <w:rPr>
          <w:sz w:val="20"/>
          <w:szCs w:val="20"/>
          <w:color w:val="auto"/>
        </w:rPr>
      </w:pPr>
    </w:p>
    <w:p>
      <w:pPr>
        <w:ind w:right="80" w:firstLine="443"/>
        <w:spacing w:after="0" w:line="302" w:lineRule="auto"/>
        <w:tabs>
          <w:tab w:leader="none" w:pos="69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whenever in the administration of this Indenture the Trustee shall deem it desirable that a matter be proved or established prior to taking, suffering or omitting any action hereunder, the Trustee (unless other evidence be herein specifically prescribed) shall be entitled to receive and may, in the absence of bad faith on its part, conclusively rely upon, and shall not be liable for any action it takes or omits to take in good faith in reliance upon, an Officers’ Certificate or, if such matter relates to a Guarantor, a Guarantor’s Officers’ Certificate of such Guarantor or an Opinion of Counsel;</w:t>
      </w:r>
    </w:p>
    <w:p>
      <w:pPr>
        <w:spacing w:after="0" w:line="46" w:lineRule="exact"/>
        <w:rPr>
          <w:rFonts w:ascii="Arial" w:cs="Arial" w:eastAsia="Arial" w:hAnsi="Arial"/>
          <w:sz w:val="16"/>
          <w:szCs w:val="16"/>
          <w:color w:val="auto"/>
        </w:rPr>
      </w:pPr>
    </w:p>
    <w:p>
      <w:pPr>
        <w:ind w:right="360" w:firstLine="443"/>
        <w:spacing w:after="0" w:line="342" w:lineRule="auto"/>
        <w:tabs>
          <w:tab w:leader="none" w:pos="69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15" w:lineRule="exact"/>
        <w:rPr>
          <w:rFonts w:ascii="Arial" w:cs="Arial" w:eastAsia="Arial" w:hAnsi="Arial"/>
          <w:sz w:val="16"/>
          <w:szCs w:val="16"/>
          <w:color w:val="auto"/>
        </w:rPr>
      </w:pPr>
    </w:p>
    <w:p>
      <w:pPr>
        <w:ind w:right="100" w:firstLine="443"/>
        <w:spacing w:after="0" w:line="286" w:lineRule="auto"/>
        <w:tabs>
          <w:tab w:leader="none" w:pos="693"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 direction of any of the Holders pursuant to this Indenture, unless such Holders shall have offered to the Trustee security or indemnity reasonably satisfactory to it against the costs, expenses and liabilities which might be incurred by it in compliance with such request or direction;</w:t>
      </w:r>
    </w:p>
    <w:p>
      <w:pPr>
        <w:spacing w:after="0" w:line="57" w:lineRule="exact"/>
        <w:rPr>
          <w:rFonts w:ascii="Arial" w:cs="Arial" w:eastAsia="Arial" w:hAnsi="Arial"/>
          <w:sz w:val="17"/>
          <w:szCs w:val="17"/>
          <w:color w:val="auto"/>
        </w:rPr>
      </w:pPr>
    </w:p>
    <w:p>
      <w:pPr>
        <w:ind w:firstLine="443"/>
        <w:spacing w:after="0" w:line="255" w:lineRule="auto"/>
        <w:tabs>
          <w:tab w:leader="none" w:pos="69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and, if applicable, the Guarantors, personally or by agent or attorney at the sole cost of the Company and shall incur no liability or additional liability of any kind by reason of such inquiry or investigation;</w:t>
      </w:r>
    </w:p>
    <w:p>
      <w:pPr>
        <w:spacing w:after="0" w:line="85" w:lineRule="exact"/>
        <w:rPr>
          <w:rFonts w:ascii="Arial" w:cs="Arial" w:eastAsia="Arial" w:hAnsi="Arial"/>
          <w:sz w:val="18"/>
          <w:szCs w:val="18"/>
          <w:color w:val="auto"/>
        </w:rPr>
      </w:pPr>
    </w:p>
    <w:p>
      <w:pPr>
        <w:ind w:right="220" w:firstLine="443"/>
        <w:spacing w:after="0" w:line="286" w:lineRule="auto"/>
        <w:tabs>
          <w:tab w:leader="none" w:pos="693"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and shall not be responsible for the supervision of officers and employees of such agents or attorneys;</w:t>
      </w:r>
    </w:p>
    <w:p>
      <w:pPr>
        <w:spacing w:after="0" w:line="57" w:lineRule="exact"/>
        <w:rPr>
          <w:rFonts w:ascii="Arial" w:cs="Arial" w:eastAsia="Arial" w:hAnsi="Arial"/>
          <w:sz w:val="17"/>
          <w:szCs w:val="17"/>
          <w:color w:val="auto"/>
        </w:rPr>
      </w:pPr>
    </w:p>
    <w:p>
      <w:pPr>
        <w:ind w:right="100" w:firstLine="443"/>
        <w:spacing w:after="0" w:line="286" w:lineRule="auto"/>
        <w:tabs>
          <w:tab w:leader="none" w:pos="693"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40"/>
          </w:cols>
          <w:pgMar w:left="700" w:top="274" w:right="259" w:bottom="1440" w:gutter="0" w:footer="0" w:header="0"/>
        </w:sectPr>
      </w:pPr>
    </w:p>
    <w:bookmarkStart w:id="189" w:name="page190"/>
    <w:bookmarkEnd w:id="189"/>
    <w:p>
      <w:pPr>
        <w:ind w:left="460" w:right="440" w:firstLine="443"/>
        <w:spacing w:after="0" w:line="277" w:lineRule="auto"/>
        <w:tabs>
          <w:tab w:leader="none" w:pos="1153" w:val="left"/>
        </w:tabs>
        <w:numPr>
          <w:ilvl w:val="0"/>
          <w:numId w:val="1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shall not be liable for any action taken, suffered or omitted to be taken by it in good faith and reasonably believed by it to be authorized or within the discretion or rights or powers conferred upon it by this Indenture;</w:t>
      </w:r>
    </w:p>
    <w:p>
      <w:pPr>
        <w:spacing w:after="0" w:line="62" w:lineRule="exact"/>
        <w:rPr>
          <w:rFonts w:ascii="Arial" w:cs="Arial" w:eastAsia="Arial" w:hAnsi="Arial"/>
          <w:sz w:val="18"/>
          <w:szCs w:val="18"/>
          <w:color w:val="auto"/>
        </w:rPr>
      </w:pPr>
    </w:p>
    <w:p>
      <w:pPr>
        <w:ind w:left="460" w:right="240" w:firstLine="443"/>
        <w:spacing w:after="0" w:line="264" w:lineRule="auto"/>
        <w:tabs>
          <w:tab w:leader="none" w:pos="124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 and</w:t>
      </w:r>
    </w:p>
    <w:p>
      <w:pPr>
        <w:spacing w:after="0" w:line="73" w:lineRule="exact"/>
        <w:rPr>
          <w:rFonts w:ascii="Arial" w:cs="Arial" w:eastAsia="Arial" w:hAnsi="Arial"/>
          <w:sz w:val="18"/>
          <w:szCs w:val="18"/>
          <w:color w:val="auto"/>
        </w:rPr>
      </w:pPr>
    </w:p>
    <w:p>
      <w:pPr>
        <w:ind w:left="460" w:right="180" w:firstLine="443"/>
        <w:spacing w:after="0" w:line="342" w:lineRule="auto"/>
        <w:tabs>
          <w:tab w:leader="none" w:pos="1236"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rights, privileges, protections, immunities and benefits given to the Trustee, including its rights to be indemnified, are extended to, and shall be enforceable by, the Trustee in each of its capacities hereunder, and to each agent, custodian and other Person employed to act hereunder.</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Not Responsible for Recitals or Issuance of Securities</w:t>
      </w:r>
      <w:r>
        <w:rPr>
          <w:rFonts w:ascii="Arial" w:cs="Arial" w:eastAsia="Arial" w:hAnsi="Arial"/>
          <w:sz w:val="18"/>
          <w:szCs w:val="18"/>
          <w:color w:val="auto"/>
        </w:rPr>
        <w:t>. The recitals contained herein and in the Securities, except the Trustee’s certificates of authentication, shall be taken as the statements of the Company, and the Trustee does not assume any responsibility for their correctness. The Trustee makes no representations as to the validity or sufficiency of this Indenture or of the Securities. The Trustee shall not be accountable for the use or application by the Company of Securities or the proceeds thereof.</w:t>
      </w:r>
    </w:p>
    <w:p>
      <w:pPr>
        <w:spacing w:after="0" w:line="18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May Hold Securities</w:t>
      </w:r>
      <w:r>
        <w:rPr>
          <w:rFonts w:ascii="Arial" w:cs="Arial" w:eastAsia="Arial" w:hAnsi="Arial"/>
          <w:sz w:val="18"/>
          <w:szCs w:val="18"/>
          <w:color w:val="auto"/>
        </w:rPr>
        <w:t xml:space="preserve">. The Trustee, any Authenticating Agent, any Paying Agent, any Security Registrar or any other agent of the Company or any Guarantor, in its individual or any other capacity, may become the owner or pledgee of Securities and, subject to </w:t>
      </w:r>
      <w:r>
        <w:rPr>
          <w:rFonts w:ascii="Arial" w:cs="Arial" w:eastAsia="Arial" w:hAnsi="Arial"/>
          <w:sz w:val="18"/>
          <w:szCs w:val="18"/>
          <w:u w:val="single" w:color="auto"/>
          <w:color w:val="auto"/>
        </w:rPr>
        <w:t>Sections 6.08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6.13</w:t>
      </w:r>
      <w:r>
        <w:rPr>
          <w:rFonts w:ascii="Arial" w:cs="Arial" w:eastAsia="Arial" w:hAnsi="Arial"/>
          <w:sz w:val="18"/>
          <w:szCs w:val="18"/>
          <w:color w:val="auto"/>
        </w:rPr>
        <w:t>, may otherwise deal with the Company or any Guarantor with the same rights it would have if it were not Trustee, Authenticating Agent, Paying Agent, Security Registrar or such other agent.</w:t>
      </w:r>
    </w:p>
    <w:p>
      <w:pPr>
        <w:spacing w:after="0" w:line="18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Money Held in Trust</w:t>
      </w:r>
      <w:r>
        <w:rPr>
          <w:rFonts w:ascii="Arial" w:cs="Arial" w:eastAsia="Arial" w:hAnsi="Arial"/>
          <w:sz w:val="18"/>
          <w:szCs w:val="18"/>
          <w:color w:val="auto"/>
        </w:rPr>
        <w:t>. Money held by the Trustee in trust hereunder need not be segregated from other funds except to the extent required by law. The Trustee shall be under no liability for interest on any money received by it hereunder except as otherwise agreed in writing with the Company or any Guarantor.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w:t>
      </w:r>
    </w:p>
    <w:p>
      <w:pPr>
        <w:spacing w:after="0" w:line="117" w:lineRule="exact"/>
        <w:rPr>
          <w:sz w:val="20"/>
          <w:szCs w:val="20"/>
          <w:color w:val="auto"/>
        </w:rPr>
      </w:pPr>
    </w:p>
    <w:p>
      <w:pPr>
        <w:ind w:right="120" w:firstLine="464"/>
        <w:spacing w:after="0" w:line="255" w:lineRule="auto"/>
        <w:tabs>
          <w:tab w:leader="none" w:pos="70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shall pay to the Trustee (in its capacity as Trustee, and, to the extent it has been appointed as such, as Paying Agent and Security Registrar) from time to time reasonable compensation for its acceptance of this Indenture and services hereunder in accordance with a written schedule provided by the Trustee to the Company. The Trustee’s compensation shall not be limited by any law on compensation of a trustee of an express trust. The Company shall reimburse the Trustee promptly upon request for all reasonable and customary disbursements, advances and reasonable out-of-pocket expenses incurred or made by it in addition to the compensation for its services, except those resulting from its own negligent action, negligent failure to act or willful misconduct. Such expenses shall include the reasonable and customary compensation, disbursements and expenses of the Trustee’s agents and counsel.</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74" w:right="279" w:bottom="1440" w:gutter="0" w:footer="0" w:header="0"/>
        </w:sectPr>
      </w:pPr>
    </w:p>
    <w:bookmarkStart w:id="190" w:name="page191"/>
    <w:bookmarkEnd w:id="190"/>
    <w:p>
      <w:pPr>
        <w:ind w:firstLine="464"/>
        <w:spacing w:after="0" w:line="269" w:lineRule="auto"/>
        <w:tabs>
          <w:tab w:leader="none" w:pos="711" w:val="left"/>
        </w:tabs>
        <w:numPr>
          <w:ilvl w:val="0"/>
          <w:numId w:val="1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indemnify the Trustee in its capacity against any and all losses, liabilities or reasonable out-of-pocket expenses incurred by it arising out of or in connection with the acceptance or administration of its duties under this Indenture, including the costs and expenses of enforcing this Indenture against the Company (including this Section 6.07) and defending itself against any claim (whether asserted by either of the Company or any Holder or any other person) or liability in connection with the exercise or performance of any of its powers or duties hereunder, except to the extent any such loss, liability or expense may be attributable to its negligence, bad faith or willful misconduct. The Trustee shall notify the Company promptly of any claim for which it may seek indemnity. Failure by the Trustee to so notify the Company shall not relieve the Company of its obligations hereunder. The Company shall defend the claim and the Trustee shall cooperate in the defense. The Trustee may elect to have separate counsel defend the claim, but the Company shall be obligated to pay the reasonable fees and expenses of such separate counsel only if the Company fails to assume the Trustee’s defense or there is a conflict of interest between the Company, on the one hand, and the Trustee, on the other hand, with respect to the claim, as reasonably determined by the Trustee. The Company need not pay for any settlement made without its consent, which consent shall not be unreasonably withheld. None of the Company nor the Guarantors need reimburse the Trustee for any expense or indemnity against liability or loss of the Trustee to the extent such expense, liability or loss is attributable to the negligence, bad faith or willful misconduct of the Trustee.</w:t>
      </w:r>
    </w:p>
    <w:p>
      <w:pPr>
        <w:spacing w:after="0" w:line="71" w:lineRule="exact"/>
        <w:rPr>
          <w:rFonts w:ascii="Arial" w:cs="Arial" w:eastAsia="Arial" w:hAnsi="Arial"/>
          <w:sz w:val="17"/>
          <w:szCs w:val="17"/>
          <w:color w:val="auto"/>
        </w:rPr>
      </w:pPr>
    </w:p>
    <w:p>
      <w:pPr>
        <w:ind w:right="60" w:firstLine="464"/>
        <w:spacing w:after="0" w:line="264" w:lineRule="auto"/>
        <w:tabs>
          <w:tab w:leader="none" w:pos="70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As security for the performance of the obligations of the Company under this Section the Trustee shall have a lien prior to the Securities of any series upon all property and funds held or collected by the Trustee as such, except funds held in trust for the payment of principal of (and premium, if any) or interest on Securities of such series. Such lien shall survive satisfaction and discharge of this Indenture.</w:t>
      </w:r>
    </w:p>
    <w:p>
      <w:pPr>
        <w:spacing w:after="0" w:line="73" w:lineRule="exact"/>
        <w:rPr>
          <w:rFonts w:ascii="Arial" w:cs="Arial" w:eastAsia="Arial" w:hAnsi="Arial"/>
          <w:sz w:val="18"/>
          <w:szCs w:val="18"/>
          <w:color w:val="auto"/>
        </w:rPr>
      </w:pPr>
    </w:p>
    <w:p>
      <w:pPr>
        <w:ind w:right="160" w:firstLine="464"/>
        <w:spacing w:after="0" w:line="259" w:lineRule="auto"/>
        <w:tabs>
          <w:tab w:leader="none" w:pos="71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Without limiting any rights available to the Trustee under applicable law, when the Trustee incurs expenses or renders services in connection with an Event of Default specified in </w:t>
      </w:r>
      <w:r>
        <w:rPr>
          <w:rFonts w:ascii="Arial" w:cs="Arial" w:eastAsia="Arial" w:hAnsi="Arial"/>
          <w:sz w:val="18"/>
          <w:szCs w:val="18"/>
          <w:u w:val="single" w:color="auto"/>
          <w:color w:val="auto"/>
        </w:rPr>
        <w:t>Section 5.01(5)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5.01(6)</w:t>
      </w:r>
      <w:r>
        <w:rPr>
          <w:rFonts w:ascii="Arial" w:cs="Arial" w:eastAsia="Arial" w:hAnsi="Arial"/>
          <w:sz w:val="18"/>
          <w:szCs w:val="18"/>
          <w:color w:val="auto"/>
        </w:rPr>
        <w:t>,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78" w:lineRule="exact"/>
        <w:rPr>
          <w:rFonts w:ascii="Arial" w:cs="Arial" w:eastAsia="Arial" w:hAnsi="Arial"/>
          <w:sz w:val="18"/>
          <w:szCs w:val="18"/>
          <w:color w:val="auto"/>
        </w:rPr>
      </w:pPr>
    </w:p>
    <w:p>
      <w:pPr>
        <w:ind w:left="700" w:hanging="236"/>
        <w:spacing w:after="0"/>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provisions of this Section shall survive the termination of this Indenture.</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Conflicting Interests</w:t>
      </w:r>
      <w:r>
        <w:rPr>
          <w:rFonts w:ascii="Arial" w:cs="Arial" w:eastAsia="Arial" w:hAnsi="Arial"/>
          <w:sz w:val="18"/>
          <w:szCs w:val="18"/>
          <w:color w:val="auto"/>
        </w:rPr>
        <w:t>. 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the Trust Indenture Act, the Trustee shall not be deemed to have a conflicting interest by virtue of being a trustee under this Indenture with respect to Securities of more than one series.</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 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has a combined capital and surplus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274" w:right="279" w:bottom="1440" w:gutter="0" w:footer="0" w:header="0"/>
        </w:sectPr>
      </w:pPr>
    </w:p>
    <w:bookmarkStart w:id="191" w:name="page192"/>
    <w:bookmarkEnd w:id="191"/>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at least $100,000,000 and has its Corporate Trust Office in the continental United States of America.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spacing w:after="0" w:line="158"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 xml:space="preserve">. No resignation or removal of the Trustee and no appointment of a successor Trustee pursuant to this Article shall become effective until the acceptance of appointment by the successor Trustee in accordance with the applicable requirements of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The Trustee may resign at any time with respect to the Securities of one or more series by giving written notice thereof to the Company. If the instrument of acceptance by a successor Trustee required by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shall not have been delivered to the Trustee within 60 days after the giving of such notice of resignation, the resigning Trustee may petition, at the expense of the Company, any court of competent jurisdiction for the appointment of a successor Trustee with respect to the Securities of such series.</w:t>
      </w:r>
    </w:p>
    <w:p>
      <w:pPr>
        <w:spacing w:after="0" w:line="18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 xml:space="preserve">The Trustee may be removed at any time with respect to the Securities of any series by Act of the Holders of a majority in principal amount of the Outstanding Securities of such series, delivered to the Trustee and to the Company. If the instrument of acceptance by a successor Trustee required by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shall not have been delivered to the Trustee within 30 days after the giving of a notice of removal pursuant to this paragraph, the Trustee being removed may petition, at the expense of the Company, any court of competent jurisdiction for the appointment of a successor Trustee with respect to the Securities of such series.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at any time:</w:t>
      </w:r>
    </w:p>
    <w:p>
      <w:pPr>
        <w:spacing w:after="0" w:line="117" w:lineRule="exact"/>
        <w:rPr>
          <w:sz w:val="20"/>
          <w:szCs w:val="20"/>
          <w:color w:val="auto"/>
        </w:rPr>
      </w:pPr>
    </w:p>
    <w:p>
      <w:pPr>
        <w:ind w:left="460" w:right="240" w:firstLine="443"/>
        <w:spacing w:after="0" w:line="277" w:lineRule="auto"/>
        <w:tabs>
          <w:tab w:leader="none" w:pos="115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the Trustee shall fail to comply with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after written request therefor by the Company or by any Holder who has been a bona fide Holder of a Security for at least six months, or</w:t>
      </w:r>
    </w:p>
    <w:p>
      <w:pPr>
        <w:spacing w:after="0" w:line="62" w:lineRule="exact"/>
        <w:rPr>
          <w:rFonts w:ascii="Arial" w:cs="Arial" w:eastAsia="Arial" w:hAnsi="Arial"/>
          <w:sz w:val="18"/>
          <w:szCs w:val="18"/>
          <w:color w:val="auto"/>
        </w:rPr>
      </w:pPr>
    </w:p>
    <w:p>
      <w:pPr>
        <w:ind w:left="460" w:right="180" w:firstLine="443"/>
        <w:spacing w:after="0" w:line="277" w:lineRule="auto"/>
        <w:tabs>
          <w:tab w:leader="none" w:pos="115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the Trustee shall cease to be eligible under </w:t>
      </w:r>
      <w:r>
        <w:rPr>
          <w:rFonts w:ascii="Arial" w:cs="Arial" w:eastAsia="Arial" w:hAnsi="Arial"/>
          <w:sz w:val="18"/>
          <w:szCs w:val="18"/>
          <w:u w:val="single" w:color="auto"/>
          <w:color w:val="auto"/>
        </w:rPr>
        <w:t>Section 6.09</w:t>
      </w:r>
      <w:r>
        <w:rPr>
          <w:rFonts w:ascii="Arial" w:cs="Arial" w:eastAsia="Arial" w:hAnsi="Arial"/>
          <w:sz w:val="18"/>
          <w:szCs w:val="18"/>
          <w:color w:val="auto"/>
        </w:rPr>
        <w:t xml:space="preserve"> and shall fail to resign after written request therefor by the Company or by any such Holder, or</w:t>
      </w:r>
    </w:p>
    <w:p>
      <w:pPr>
        <w:spacing w:after="0" w:line="62" w:lineRule="exact"/>
        <w:rPr>
          <w:rFonts w:ascii="Arial" w:cs="Arial" w:eastAsia="Arial" w:hAnsi="Arial"/>
          <w:sz w:val="18"/>
          <w:szCs w:val="18"/>
          <w:color w:val="auto"/>
        </w:rPr>
      </w:pPr>
    </w:p>
    <w:p>
      <w:pPr>
        <w:ind w:left="460" w:firstLine="443"/>
        <w:spacing w:after="0" w:line="264" w:lineRule="auto"/>
        <w:tabs>
          <w:tab w:leader="none" w:pos="115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73"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 xml:space="preserve">then, in any such case, (A) the Company by a Board Resolution may remove the Trustee with respect to all Securities, or (B) subject to </w:t>
      </w:r>
      <w:r>
        <w:rPr>
          <w:rFonts w:ascii="Arial" w:cs="Arial" w:eastAsia="Arial" w:hAnsi="Arial"/>
          <w:sz w:val="16"/>
          <w:szCs w:val="16"/>
          <w:u w:val="single" w:color="auto"/>
          <w:color w:val="auto"/>
        </w:rPr>
        <w:t>Section 5.14</w:t>
      </w:r>
      <w:r>
        <w:rPr>
          <w:rFonts w:ascii="Arial" w:cs="Arial" w:eastAsia="Arial" w:hAnsi="Arial"/>
          <w:sz w:val="16"/>
          <w:szCs w:val="16"/>
          <w:color w:val="auto"/>
        </w:rPr>
        <w:t>,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192" w:name="page193"/>
    <w:bookmarkEnd w:id="192"/>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If an instrument of acceptance by a successor Trustee shall not have been delivered to the Trustee within 30 days after the giving of such notice of removal, the Trustee being removed may petition, at the expense of the Company, any court of competent jurisdiction for the appointment of a successor Trustee with respect to the Securities of such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w:t>
      </w:r>
      <w:r>
        <w:rPr>
          <w:rFonts w:ascii="Arial" w:cs="Arial" w:eastAsia="Arial" w:hAnsi="Arial"/>
          <w:sz w:val="16"/>
          <w:szCs w:val="16"/>
          <w:u w:val="single" w:color="auto"/>
          <w:color w:val="auto"/>
        </w:rPr>
        <w:t>Section 6.11</w:t>
      </w:r>
      <w:r>
        <w:rPr>
          <w:rFonts w:ascii="Arial" w:cs="Arial" w:eastAsia="Arial" w:hAnsi="Arial"/>
          <w:sz w:val="16"/>
          <w:szCs w:val="16"/>
          <w:color w:val="auto"/>
        </w:rPr>
        <w:t>,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72"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 xml:space="preserve">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w:t>
      </w:r>
      <w:r>
        <w:rPr>
          <w:rFonts w:ascii="Arial" w:cs="Arial" w:eastAsia="Arial" w:hAnsi="Arial"/>
          <w:sz w:val="16"/>
          <w:szCs w:val="16"/>
          <w:u w:val="single" w:color="auto"/>
          <w:color w:val="auto"/>
        </w:rPr>
        <w:t>Section 1.06</w:t>
      </w:r>
      <w:r>
        <w:rPr>
          <w:rFonts w:ascii="Arial" w:cs="Arial" w:eastAsia="Arial" w:hAnsi="Arial"/>
          <w:sz w:val="16"/>
          <w:szCs w:val="16"/>
          <w:color w:val="auto"/>
        </w:rPr>
        <w:t>. Each notice shall include the name of the successor Trustee with respect to the Securities of such series and the address of its Corporate Trust Office.</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 In case of the appointment hereunder of a successor Trustee with respect to all Securities, every such successor Trustee so appointed shall execute, acknowledge and deliver to the Company, any Guarantor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9"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In case of the appointment hereunder of a successor Trustee with respect to the Securities of one or more (but not all) series, the Company, any Guarantor,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193" w:name="page194"/>
    <w:bookmarkEnd w:id="193"/>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69"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Upon request of any such successor Trustee, the Company and any Guarantor shall execute any and all instruments for more fully and certainly vesting in and confirming to such successor Trustee all such rights, powers and trusts referred to in the first or second preceding paragraph, as the case may be.</w:t>
      </w:r>
    </w:p>
    <w:p>
      <w:pPr>
        <w:spacing w:after="0" w:line="12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Merger, Conversion, Consolidation or Succession to Business</w:t>
      </w:r>
      <w:r>
        <w:rPr>
          <w:rFonts w:ascii="Arial" w:cs="Arial" w:eastAsia="Arial" w:hAnsi="Arial"/>
          <w:sz w:val="18"/>
          <w:szCs w:val="18"/>
          <w:color w:val="auto"/>
        </w:rPr>
        <w:t>.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9"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Preferential Collection of Claims Against Company</w:t>
      </w:r>
      <w:r>
        <w:rPr>
          <w:rFonts w:ascii="Arial" w:cs="Arial" w:eastAsia="Arial" w:hAnsi="Arial"/>
          <w:sz w:val="18"/>
          <w:szCs w:val="18"/>
          <w:color w:val="auto"/>
        </w:rPr>
        <w:t>. 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4" w:right="259" w:bottom="1440" w:gutter="0" w:footer="0" w:header="0"/>
        </w:sectPr>
      </w:pPr>
    </w:p>
    <w:bookmarkStart w:id="194" w:name="page195"/>
    <w:bookmarkEnd w:id="194"/>
    <w:p>
      <w:pPr>
        <w:ind w:firstLine="45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6.14. </w:t>
      </w:r>
      <w:r>
        <w:rPr>
          <w:rFonts w:ascii="Arial" w:cs="Arial" w:eastAsia="Arial" w:hAnsi="Arial"/>
          <w:sz w:val="17"/>
          <w:szCs w:val="17"/>
          <w:u w:val="single" w:color="auto"/>
          <w:color w:val="auto"/>
        </w:rPr>
        <w:t>Appointment of Authenticating Agent</w:t>
      </w:r>
      <w:r>
        <w:rPr>
          <w:rFonts w:ascii="Arial" w:cs="Arial" w:eastAsia="Arial" w:hAnsi="Arial"/>
          <w:sz w:val="17"/>
          <w:szCs w:val="17"/>
          <w:color w:val="auto"/>
        </w:rPr>
        <w:t xml:space="preserve">. The Trustee may appoint an Authenticating Agent or Agents with respect to any series of Securities which shall be authorized to act on behalf of the Trustee to authenticate the Securities of such Series issued upon original issue and upon exchange, registration of transfer, partial conversion or partial redemption or pursuant to </w:t>
      </w:r>
      <w:r>
        <w:rPr>
          <w:rFonts w:ascii="Arial" w:cs="Arial" w:eastAsia="Arial" w:hAnsi="Arial"/>
          <w:sz w:val="17"/>
          <w:szCs w:val="17"/>
          <w:u w:val="single" w:color="auto"/>
          <w:color w:val="auto"/>
        </w:rPr>
        <w:t>Section 3.06</w:t>
      </w:r>
      <w:r>
        <w:rPr>
          <w:rFonts w:ascii="Arial" w:cs="Arial" w:eastAsia="Arial" w:hAnsi="Arial"/>
          <w:sz w:val="17"/>
          <w:szCs w:val="17"/>
          <w:color w:val="auto"/>
        </w:rPr>
        <w:t>, and Securities of such series so authenticated shall be entitled to the benefits of this Indenture and shall be valid and obligatory for all purposes as if authenticated by the Trustee hereunder. Wherever reference is made in this Indenture to the authentication and delivery of Securities of such series by the Trustee or the Trustee’s certificate of authentication, such reference shall be deemed to include authentication and delivery on behalf of the Trustee by an Authenticating Agent so appointed with respect to such series and a certificate of authentication executed on behalf of the Trustee by an Authenticating Agent so appointed with respect to such series.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8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the Company, the Authenticating Agent or such successor corporation.</w:t>
      </w:r>
    </w:p>
    <w:p>
      <w:pPr>
        <w:spacing w:after="0" w:line="18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with respect to any series of Securities which shall be acceptable to the Company and shall give notice of such appointment to all Holders of Securities of such series in the manner provided in </w:t>
      </w:r>
      <w:r>
        <w:rPr>
          <w:rFonts w:ascii="Arial" w:cs="Arial" w:eastAsia="Arial" w:hAnsi="Arial"/>
          <w:sz w:val="16"/>
          <w:szCs w:val="16"/>
          <w:u w:val="single" w:color="auto"/>
          <w:color w:val="auto"/>
        </w:rPr>
        <w:t>Section 1.06</w:t>
      </w:r>
      <w:r>
        <w:rPr>
          <w:rFonts w:ascii="Arial" w:cs="Arial" w:eastAsia="Arial" w:hAnsi="Arial"/>
          <w:sz w:val="16"/>
          <w:szCs w:val="16"/>
          <w:color w:val="auto"/>
        </w:rPr>
        <w:t>. Any successor Authenticating Agent upon acceptance of its appointment hereunder shall become vested with all rights, powers and duties of its predecessor hereunder, with like effect as if originally named as an Authenticating Agent. No successor Authenticating Agent shall be appointed unless eligible under the provisions of this Section.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195" w:name="page196"/>
    <w:bookmarkEnd w:id="195"/>
    <w:p>
      <w:pPr>
        <w:ind w:right="1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Trustee agrees to pay to each Authenticating Agent from time to time reasonable compensation for its services under this Section, and the Trustee shall be entitled to be reimbursed by the Company for such payments, subject to the provisions of </w:t>
      </w:r>
      <w:r>
        <w:rPr>
          <w:rFonts w:ascii="Arial" w:cs="Arial" w:eastAsia="Arial" w:hAnsi="Arial"/>
          <w:sz w:val="18"/>
          <w:szCs w:val="18"/>
          <w:u w:val="single" w:color="auto"/>
          <w:color w:val="auto"/>
        </w:rPr>
        <w:t>Section 6.07</w:t>
      </w:r>
      <w:r>
        <w:rPr>
          <w:rFonts w:ascii="Arial" w:cs="Arial" w:eastAsia="Arial" w:hAnsi="Arial"/>
          <w:sz w:val="18"/>
          <w:szCs w:val="18"/>
          <w:color w:val="auto"/>
        </w:rPr>
        <w: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 appointment is made pursuant to this Section with respect to Securities of any series, the Securities of such series may have endorsed thereon, in addition to the Trustee’s certificate of authentication, an alternate certificate of authentication in the following form: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ectPr>
          <w:pgSz w:w="11900" w:h="16838" w:orient="portrait"/>
          <w:cols w:equalWidth="0" w:num="1">
            <w:col w:w="11420"/>
          </w:cols>
          <w:pgMar w:left="240" w:top="274" w:right="239" w:bottom="1440" w:gutter="0" w:footer="0" w:header="0"/>
        </w:sect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AS TRUSTEE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422" w:lineRule="exact"/>
        <w:rPr>
          <w:sz w:val="20"/>
          <w:szCs w:val="20"/>
          <w:color w:val="auto"/>
        </w:rPr>
      </w:pPr>
    </w:p>
    <w:p>
      <w:pPr>
        <w:sectPr>
          <w:pgSz w:w="11900" w:h="16838" w:orient="portrait"/>
          <w:cols w:equalWidth="0" w:num="2">
            <w:col w:w="8080" w:space="720"/>
            <w:col w:w="2620"/>
          </w:cols>
          <w:pgMar w:left="240" w:top="274" w:right="239" w:bottom="1440" w:gutter="0" w:footer="0" w:header="0"/>
          <w:type w:val="continuous"/>
        </w:sectPr>
      </w:pP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1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Company to Furnish Trustee Names and Addresses of Holders</w:t>
      </w:r>
      <w:r>
        <w:rPr>
          <w:rFonts w:ascii="Arial" w:cs="Arial" w:eastAsia="Arial" w:hAnsi="Arial"/>
          <w:sz w:val="18"/>
          <w:szCs w:val="18"/>
          <w:color w:val="auto"/>
        </w:rPr>
        <w:t>. The Company and any Guarantor will furnish or cause to be furnished to the Trustee</w:t>
      </w:r>
    </w:p>
    <w:p>
      <w:pPr>
        <w:spacing w:after="0" w:line="62" w:lineRule="exact"/>
        <w:rPr>
          <w:sz w:val="20"/>
          <w:szCs w:val="20"/>
          <w:color w:val="auto"/>
        </w:rPr>
      </w:pPr>
    </w:p>
    <w:p>
      <w:pPr>
        <w:ind w:left="460" w:right="160" w:firstLine="443"/>
        <w:spacing w:after="0" w:line="342" w:lineRule="auto"/>
        <w:tabs>
          <w:tab w:leader="none" w:pos="115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semi-annually, not later than May 15 and November 15 in each year, a list, in such form as the Trustee may reasonably require, of the names and addresses of the Holders of Securities of each series as of the immediately preceding May 1 or November 1 as the case may be, and</w:t>
      </w:r>
    </w:p>
    <w:p>
      <w:pPr>
        <w:spacing w:after="0" w:line="15" w:lineRule="exact"/>
        <w:rPr>
          <w:rFonts w:ascii="Arial" w:cs="Arial" w:eastAsia="Arial" w:hAnsi="Arial"/>
          <w:sz w:val="16"/>
          <w:szCs w:val="16"/>
          <w:color w:val="auto"/>
        </w:rPr>
      </w:pPr>
    </w:p>
    <w:p>
      <w:pPr>
        <w:ind w:left="460" w:right="120" w:firstLine="443"/>
        <w:spacing w:after="0" w:line="308" w:lineRule="auto"/>
        <w:tabs>
          <w:tab w:leader="none" w:pos="1153"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at such other times as the Trustee may request in writing, within 30 days after the receipt by the Company or such Guarantor, respectively, of any such request, a list of similar form and content as of a date not more than 15 days prior to the time such list is furnished;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excluding from any such list names and addresses received by the Trustee in its capacity as Security Registrar.</w:t>
      </w:r>
    </w:p>
    <w:p>
      <w:pPr>
        <w:spacing w:after="0" w:line="22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Preservation of Information; Communications to Holders</w:t>
      </w:r>
      <w:r>
        <w:rPr>
          <w:rFonts w:ascii="Arial" w:cs="Arial" w:eastAsia="Arial" w:hAnsi="Arial"/>
          <w:sz w:val="18"/>
          <w:szCs w:val="18"/>
          <w:color w:val="auto"/>
        </w:rPr>
        <w:t xml:space="preserve">. The Trustee shall preserve, in as current a form as is reasonably practicable, the names and addresses of Holders contained in the most recent list furnished to the Trustee as provided in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and the names and addresses of Holders received by the Trustee in its capacity as Security Registrar. The Trustee may destroy any list furnished to it as provided in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upon receipt of a new list so furnished.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type w:val="continuous"/>
        </w:sectPr>
      </w:pPr>
    </w:p>
    <w:bookmarkStart w:id="196" w:name="page197"/>
    <w:bookmarkEnd w:id="196"/>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rights of Holders to communicate with other Holders with respect to their rights under this Indenture or under the Securities, and the corresponding rights and privileges of the Trustee, shall be as provided by the Trust Indenture Act.</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Every Holder of Securities, by receiving and holding the same, agrees with the Company, any Guarantor and the Trustee that neither of the Company nor the Guarantors (if applicable) nor the Trustee nor any agent of any of them shall be held accountable by reason of any disclosure of information as to names and addresses of Holders made pursuant to the Trust Indenture Act.</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Reports by Trustee</w:t>
      </w:r>
      <w:r>
        <w:rPr>
          <w:rFonts w:ascii="Arial" w:cs="Arial" w:eastAsia="Arial" w:hAnsi="Arial"/>
          <w:sz w:val="18"/>
          <w:szCs w:val="18"/>
          <w:color w:val="auto"/>
        </w:rPr>
        <w:t>. The Trustee shall transmit to Holders such reports concerning the Trustee and its actions under this Indenture as may be required pursuant to the Trust Indenture Act at the times and in the manner provided pursuant thereto.</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Reports so required to be transmitted at stated intervals of not more than 12 months shall be transmitted no later than April 15 and shall be dated as of April 1 in each calendar year, commencing in 2013.</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copy of each such report shall, at the time of such transmission to Holders, be filed by the Trustee with each stock exchange upon which any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Securities are listed, with the Commission and with the Company and any Guarantor. The Company and any Guarantor will notify the Trustee when 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Securities are listed on any stock exchange and of any delisting thereof.</w:t>
      </w:r>
    </w:p>
    <w:p>
      <w:pPr>
        <w:spacing w:after="0" w:line="21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Reports by Company and Guarantors</w:t>
      </w:r>
      <w:r>
        <w:rPr>
          <w:rFonts w:ascii="Arial" w:cs="Arial" w:eastAsia="Arial" w:hAnsi="Arial"/>
          <w:sz w:val="17"/>
          <w:szCs w:val="17"/>
          <w:color w:val="auto"/>
        </w:rPr>
        <w:t xml:space="preserve">. The Company and any Guarantor shall file with the Trustee and the Commission, and transmit to Holders, such information, documents and other reports, and such summaries thereof, as may be required pursuant to the Trust Indenture Act, if any, at the times and in the manner provided pursuant to such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information, documents or reports required to be filed with the Commission pursuant to Section 13 or 15(d) of the Exchange Act need not be filed with the Trustee until the 15th day after the same are actually filed with the Commission.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compliance by the Company or any Guarantor with any of their covenants hereunder (as to which the Trustee is entitled to rely exclusively on Officers’ Certificates or Guarantor’s Officers’ Certificates, as the case may be).</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21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Company May Consolidate, Etc., Only on Certain Terms</w:t>
      </w:r>
      <w:r>
        <w:rPr>
          <w:rFonts w:ascii="Arial" w:cs="Arial" w:eastAsia="Arial" w:hAnsi="Arial"/>
          <w:sz w:val="18"/>
          <w:szCs w:val="18"/>
          <w:color w:val="auto"/>
        </w:rPr>
        <w:t>. The Company shall not, in a single transaction or a series of related transactions, consolidate with or merge into any other Person or sell, convey, transfer or lease all or substantially all its properties and assets to any Person, and the Company shall not permit any Person to consolidate with or merge into the Company, unless:</w:t>
      </w:r>
    </w:p>
    <w:p>
      <w:pPr>
        <w:spacing w:after="0" w:line="73" w:lineRule="exact"/>
        <w:rPr>
          <w:sz w:val="20"/>
          <w:szCs w:val="20"/>
          <w:color w:val="auto"/>
        </w:rPr>
      </w:pPr>
    </w:p>
    <w:p>
      <w:pPr>
        <w:ind w:left="460" w:right="80" w:firstLine="443"/>
        <w:spacing w:after="0" w:line="277" w:lineRule="auto"/>
        <w:tabs>
          <w:tab w:leader="none" w:pos="115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case the Company shall consolidate with or merge into another Person or sell, convey, transfer or lease all or substantially all its properties and assets to any Person, the Person formed by such consolidation or into which the Company is merged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74" w:right="259" w:bottom="1440" w:gutter="0" w:footer="0" w:header="0"/>
        </w:sectPr>
      </w:pPr>
    </w:p>
    <w:bookmarkStart w:id="197" w:name="page198"/>
    <w:bookmarkEnd w:id="197"/>
    <w:p>
      <w:pPr>
        <w:ind w:left="460"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Person which acquires by sale, conveyance or transfer, or which leases, all or substantially all the properties and assets of the Company shall be a corporation, partnership or trust, shall be organized and validly existing under the laws of the United States, any state thereof or the District of Columbia and shall expressly assume, by an indenture supplemental hereto, executed and delivered to the Trustee, in form reasonably satisfactory to the Trustee, the due and punctual payment of the principal of and any premium and interest on all the Securities and the performance or observance of every covenant of this Indenture on the part of the Company to be performed or observed and, for each Security that by its terms provides for conversion, shall have provided for the right to convert such Security in accordance with its terms;</w:t>
      </w:r>
    </w:p>
    <w:p>
      <w:pPr>
        <w:spacing w:after="0" w:line="70" w:lineRule="exact"/>
        <w:rPr>
          <w:sz w:val="20"/>
          <w:szCs w:val="20"/>
          <w:color w:val="auto"/>
        </w:rPr>
      </w:pPr>
    </w:p>
    <w:p>
      <w:pPr>
        <w:ind w:left="460" w:right="400" w:firstLine="443"/>
        <w:spacing w:after="0" w:line="312" w:lineRule="auto"/>
        <w:tabs>
          <w:tab w:leader="none" w:pos="1153"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and</w:t>
      </w:r>
    </w:p>
    <w:p>
      <w:pPr>
        <w:spacing w:after="0" w:line="38" w:lineRule="exact"/>
        <w:rPr>
          <w:rFonts w:ascii="Arial" w:cs="Arial" w:eastAsia="Arial" w:hAnsi="Arial"/>
          <w:sz w:val="16"/>
          <w:szCs w:val="16"/>
          <w:color w:val="auto"/>
        </w:rPr>
      </w:pPr>
    </w:p>
    <w:p>
      <w:pPr>
        <w:ind w:left="460" w:right="260" w:firstLine="443"/>
        <w:spacing w:after="0" w:line="312" w:lineRule="auto"/>
        <w:tabs>
          <w:tab w:leader="none" w:pos="1153"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each stating that such consolidation, merger, sale,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Successor Substituted</w:t>
      </w:r>
      <w:r>
        <w:rPr>
          <w:rFonts w:ascii="Arial" w:cs="Arial" w:eastAsia="Arial" w:hAnsi="Arial"/>
          <w:sz w:val="18"/>
          <w:szCs w:val="18"/>
          <w:color w:val="auto"/>
        </w:rPr>
        <w:t xml:space="preserve">. Upon any consolidation of the Company with, or merger of the Company into, any other Person or any sale, conveyance, transfer or lease of all or substantially all the properties and assets of the Company in accordance with </w:t>
      </w:r>
      <w:r>
        <w:rPr>
          <w:rFonts w:ascii="Arial" w:cs="Arial" w:eastAsia="Arial" w:hAnsi="Arial"/>
          <w:sz w:val="18"/>
          <w:szCs w:val="18"/>
          <w:u w:val="single" w:color="auto"/>
          <w:color w:val="auto"/>
        </w:rPr>
        <w:t>Section 8.01</w:t>
      </w:r>
      <w:r>
        <w:rPr>
          <w:rFonts w:ascii="Arial" w:cs="Arial" w:eastAsia="Arial" w:hAnsi="Arial"/>
          <w:sz w:val="18"/>
          <w:szCs w:val="18"/>
          <w:color w:val="auto"/>
        </w:rPr>
        <w:t>, the successor Person formed by such consolidation or into which the Company is merged or to which such sale,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INDENTURES</w:t>
      </w:r>
    </w:p>
    <w:p>
      <w:pPr>
        <w:spacing w:after="0" w:line="21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Consent of Holders</w:t>
      </w:r>
      <w:r>
        <w:rPr>
          <w:rFonts w:ascii="Arial" w:cs="Arial" w:eastAsia="Arial" w:hAnsi="Arial"/>
          <w:sz w:val="18"/>
          <w:szCs w:val="18"/>
          <w:color w:val="auto"/>
        </w:rPr>
        <w:t xml:space="preserve">. Except as may otherwise be provided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for all or any specific Securities of any series, without the consent of any Holders, the Company, when authorized by a Board Resolution, each of the Guarantors, when authorized by a Guarantor’s Board Resolution of such Guarantor, and the Trustee, at any time and from time to time, may enter into one or more indentures supplemental hereto, in form satisfactory to the Trustee, for any of the following purposes:</w:t>
      </w:r>
    </w:p>
    <w:p>
      <w:pPr>
        <w:spacing w:after="0" w:line="79" w:lineRule="exact"/>
        <w:rPr>
          <w:sz w:val="20"/>
          <w:szCs w:val="20"/>
          <w:color w:val="auto"/>
        </w:rPr>
      </w:pPr>
    </w:p>
    <w:p>
      <w:pPr>
        <w:ind w:left="460" w:right="220" w:firstLine="443"/>
        <w:spacing w:after="0" w:line="308" w:lineRule="auto"/>
        <w:tabs>
          <w:tab w:leader="none" w:pos="1153"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to evidence the succession of another Person to the Company or a Guarantor and the assumption by any such successor of the covenants of the Company or such Guarantor herein and in the Securities or the Guarantees of such Guarantor, as the case may be; or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274" w:right="279" w:bottom="1440" w:gutter="0" w:footer="0" w:header="0"/>
        </w:sectPr>
      </w:pPr>
    </w:p>
    <w:bookmarkStart w:id="198" w:name="page199"/>
    <w:bookmarkEnd w:id="198"/>
    <w:p>
      <w:pPr>
        <w:ind w:firstLine="443"/>
        <w:spacing w:after="0" w:line="276" w:lineRule="auto"/>
        <w:tabs>
          <w:tab w:leader="none" w:pos="693" w:val="left"/>
        </w:tabs>
        <w:numPr>
          <w:ilvl w:val="1"/>
          <w:numId w:val="1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add to the covenants of the Company or any Guarantor for the benefit of the Holders of all or any Securities of any series (and if such covenants are to be for the benefit of less than all Securities of such series, stating that such covenants are expressly being included solely for the benefit of such Securities within such series) or to surrender any right or power herein conferred upon the Company or any Guarantor with regard to all or any Securities of any series (and if any such surrender is to be made with regard to less than all Securities of such series, stating that such surrender is expressly being made solely with regard to such Securities within such series); or</w:t>
      </w:r>
    </w:p>
    <w:p>
      <w:pPr>
        <w:spacing w:after="0" w:line="64" w:lineRule="exact"/>
        <w:rPr>
          <w:rFonts w:ascii="Arial" w:cs="Arial" w:eastAsia="Arial" w:hAnsi="Arial"/>
          <w:sz w:val="17"/>
          <w:szCs w:val="17"/>
          <w:color w:val="auto"/>
        </w:rPr>
      </w:pPr>
    </w:p>
    <w:p>
      <w:pPr>
        <w:ind w:right="220" w:firstLine="443"/>
        <w:spacing w:after="0" w:line="264" w:lineRule="auto"/>
        <w:tabs>
          <w:tab w:leader="none" w:pos="693"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to add any additional Events of Default for the benefit of the Holders of all or any Securities of any series (and if such additional Events of Default are to be for the benefit of less than all Securities of such series, stating that such additional Events of Default are expressly being included solely for the benefit of such Securities within such series); or</w:t>
      </w:r>
    </w:p>
    <w:p>
      <w:pPr>
        <w:spacing w:after="0" w:line="73" w:lineRule="exact"/>
        <w:rPr>
          <w:rFonts w:ascii="Arial" w:cs="Arial" w:eastAsia="Arial" w:hAnsi="Arial"/>
          <w:sz w:val="18"/>
          <w:szCs w:val="18"/>
          <w:color w:val="auto"/>
        </w:rPr>
      </w:pPr>
    </w:p>
    <w:p>
      <w:pPr>
        <w:ind w:firstLine="443"/>
        <w:spacing w:after="0" w:line="264" w:lineRule="auto"/>
        <w:tabs>
          <w:tab w:leader="none" w:pos="693"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73" w:lineRule="exact"/>
        <w:rPr>
          <w:rFonts w:ascii="Arial" w:cs="Arial" w:eastAsia="Arial" w:hAnsi="Arial"/>
          <w:sz w:val="18"/>
          <w:szCs w:val="18"/>
          <w:color w:val="auto"/>
        </w:rPr>
      </w:pPr>
    </w:p>
    <w:p>
      <w:pPr>
        <w:ind w:firstLine="443"/>
        <w:spacing w:after="0" w:line="285" w:lineRule="auto"/>
        <w:tabs>
          <w:tab w:leader="none" w:pos="693" w:val="left"/>
        </w:tabs>
        <w:numPr>
          <w:ilvl w:val="1"/>
          <w:numId w:val="145"/>
        </w:numPr>
        <w:rPr>
          <w:rFonts w:ascii="Arial" w:cs="Arial" w:eastAsia="Arial" w:hAnsi="Arial"/>
          <w:sz w:val="16"/>
          <w:szCs w:val="16"/>
          <w:color w:val="auto"/>
        </w:rPr>
      </w:pPr>
      <w:r>
        <w:rPr>
          <w:rFonts w:ascii="Arial" w:cs="Arial" w:eastAsia="Arial" w:hAnsi="Arial"/>
          <w:sz w:val="16"/>
          <w:szCs w:val="16"/>
          <w:color w:val="auto"/>
        </w:rPr>
        <w:t>to add to, change or eliminate any of the provisions of this Indenture in respect of all or any Securities of any series or any Guarantees thereof (and if such addition, change or elimination is to apply with respect to less than all Securities of such series or Guarantees thereof, stating that it is expressly being made to apply solely with respect to such Securities within such series or Guarantees thereof), provided that any such addition, change or elimination (A) shall neither (i) apply to any Security of any series or Guarantee thereof created prior to the execution of such supplemental indenture and entitled to the benefit of such provision nor (ii) modify the rights of the Holder of any such Security with respect to such provision or</w:t>
      </w:r>
    </w:p>
    <w:p>
      <w:pPr>
        <w:spacing w:after="0" w:line="2" w:lineRule="exact"/>
        <w:rPr>
          <w:rFonts w:ascii="Arial" w:cs="Arial" w:eastAsia="Arial" w:hAnsi="Arial"/>
          <w:sz w:val="16"/>
          <w:szCs w:val="16"/>
          <w:color w:val="auto"/>
        </w:rPr>
      </w:pPr>
    </w:p>
    <w:p>
      <w:pPr>
        <w:ind w:left="280" w:hanging="276"/>
        <w:spacing w:after="0"/>
        <w:tabs>
          <w:tab w:leader="none" w:pos="2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shall become effective only when there is no such Security Outstanding; or</w:t>
      </w:r>
    </w:p>
    <w:p>
      <w:pPr>
        <w:spacing w:after="0" w:line="102" w:lineRule="exact"/>
        <w:rPr>
          <w:rFonts w:ascii="Arial" w:cs="Arial" w:eastAsia="Arial" w:hAnsi="Arial"/>
          <w:sz w:val="18"/>
          <w:szCs w:val="18"/>
          <w:color w:val="auto"/>
        </w:rPr>
      </w:pPr>
    </w:p>
    <w:p>
      <w:pPr>
        <w:ind w:left="700" w:hanging="257"/>
        <w:spacing w:after="0"/>
        <w:tabs>
          <w:tab w:leader="none" w:pos="7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to secure the Securities or any Guarantees; or</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 xml:space="preserve">to establish the form or terms of all or any Securities of any series and any Guarantees thereof as permitted by </w:t>
      </w:r>
      <w:r>
        <w:rPr>
          <w:rFonts w:ascii="Arial" w:cs="Arial" w:eastAsia="Arial" w:hAnsi="Arial"/>
          <w:sz w:val="16"/>
          <w:szCs w:val="16"/>
          <w:u w:val="single" w:color="auto"/>
          <w:color w:val="auto"/>
        </w:rPr>
        <w:t>Sections 2.01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3.01</w:t>
      </w:r>
      <w:r>
        <w:rPr>
          <w:rFonts w:ascii="Arial" w:cs="Arial" w:eastAsia="Arial" w:hAnsi="Arial"/>
          <w:sz w:val="16"/>
          <w:szCs w:val="16"/>
          <w:color w:val="auto"/>
        </w:rPr>
        <w:t>; or</w:t>
      </w:r>
    </w:p>
    <w:p>
      <w:pPr>
        <w:spacing w:after="0" w:line="140" w:lineRule="exact"/>
        <w:rPr>
          <w:rFonts w:ascii="Arial" w:cs="Arial" w:eastAsia="Arial" w:hAnsi="Arial"/>
          <w:sz w:val="16"/>
          <w:szCs w:val="16"/>
          <w:color w:val="auto"/>
        </w:rPr>
      </w:pPr>
    </w:p>
    <w:p>
      <w:pPr>
        <w:jc w:val="both"/>
        <w:ind w:right="280" w:firstLine="443"/>
        <w:spacing w:after="0" w:line="264" w:lineRule="auto"/>
        <w:tabs>
          <w:tab w:leader="none" w:pos="693"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xml:space="preserve">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w:t>
      </w:r>
      <w:r>
        <w:rPr>
          <w:rFonts w:ascii="Arial" w:cs="Arial" w:eastAsia="Arial" w:hAnsi="Arial"/>
          <w:sz w:val="18"/>
          <w:szCs w:val="18"/>
          <w:u w:val="single" w:color="auto"/>
          <w:color w:val="auto"/>
        </w:rPr>
        <w:t>Section 6.11</w:t>
      </w:r>
      <w:r>
        <w:rPr>
          <w:rFonts w:ascii="Arial" w:cs="Arial" w:eastAsia="Arial" w:hAnsi="Arial"/>
          <w:sz w:val="18"/>
          <w:szCs w:val="18"/>
          <w:color w:val="auto"/>
        </w:rPr>
        <w:t>; or</w:t>
      </w:r>
    </w:p>
    <w:p>
      <w:pPr>
        <w:spacing w:after="0" w:line="73" w:lineRule="exact"/>
        <w:rPr>
          <w:rFonts w:ascii="Arial" w:cs="Arial" w:eastAsia="Arial" w:hAnsi="Arial"/>
          <w:sz w:val="18"/>
          <w:szCs w:val="18"/>
          <w:color w:val="auto"/>
        </w:rPr>
      </w:pPr>
    </w:p>
    <w:p>
      <w:pPr>
        <w:jc w:val="both"/>
        <w:ind w:right="140" w:firstLine="443"/>
        <w:spacing w:after="0" w:line="264" w:lineRule="auto"/>
        <w:tabs>
          <w:tab w:leader="none" w:pos="693"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to add to or change any of the provisions of this Indenture with respect to any Securities that by their terms may be converted into securities or other property other than Securities of the same series and of like tenor, in order to permit or facilitate the issuance, payment or conversion of such Securities; or</w:t>
      </w:r>
    </w:p>
    <w:p>
      <w:pPr>
        <w:spacing w:after="0" w:line="11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00"/>
          </w:cols>
          <w:pgMar w:left="700" w:top="274" w:right="299" w:bottom="1440" w:gutter="0" w:footer="0" w:header="0"/>
        </w:sectPr>
      </w:pPr>
    </w:p>
    <w:bookmarkStart w:id="199" w:name="page200"/>
    <w:bookmarkEnd w:id="199"/>
    <w:p>
      <w:pPr>
        <w:ind w:left="460" w:right="80" w:firstLine="443"/>
        <w:spacing w:after="0" w:line="312" w:lineRule="auto"/>
        <w:tabs>
          <w:tab w:leader="none" w:pos="1243" w:val="left"/>
        </w:tabs>
        <w:numPr>
          <w:ilvl w:val="1"/>
          <w:numId w:val="1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add any Person as an additional Guarantor under this Indenture, to add additional Guarantees or additional Guarantors in respect of any Outstanding Securities under this Indenture, or to evidence the release and discharge of any Guarantor from its obligations under its Guarantees of any Securities and its obligations under this Indenture in respect of any Securities in accordance with the terms of this Indenture; or</w:t>
      </w:r>
    </w:p>
    <w:p>
      <w:pPr>
        <w:spacing w:after="0" w:line="38" w:lineRule="exact"/>
        <w:rPr>
          <w:rFonts w:ascii="Arial" w:cs="Arial" w:eastAsia="Arial" w:hAnsi="Arial"/>
          <w:sz w:val="16"/>
          <w:szCs w:val="16"/>
          <w:color w:val="auto"/>
        </w:rPr>
      </w:pPr>
    </w:p>
    <w:p>
      <w:pPr>
        <w:ind w:left="460" w:right="60" w:firstLine="443"/>
        <w:spacing w:after="0" w:line="259" w:lineRule="auto"/>
        <w:tabs>
          <w:tab w:leader="none" w:pos="1236"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to conform the text of this Indenture or any Securities or any Guarantee endorsed thereon to any provision of the “Description of the Notes” (or comparable) section in any offering memorandum, prospectus or prospectus supplement of the Company prepared from time to time after the date of this Indenture with respect to the offer and sale of Securities of any series, to the extent that such provision was intended to be a verbatim recitation of a provision of this Indenture, the Securities or such Guarantee; or</w:t>
      </w:r>
    </w:p>
    <w:p>
      <w:pPr>
        <w:spacing w:after="0" w:line="78" w:lineRule="exact"/>
        <w:rPr>
          <w:rFonts w:ascii="Arial" w:cs="Arial" w:eastAsia="Arial" w:hAnsi="Arial"/>
          <w:sz w:val="18"/>
          <w:szCs w:val="18"/>
          <w:color w:val="auto"/>
        </w:rPr>
      </w:pPr>
    </w:p>
    <w:p>
      <w:pPr>
        <w:ind w:left="460" w:firstLine="443"/>
        <w:spacing w:after="0" w:line="291" w:lineRule="auto"/>
        <w:tabs>
          <w:tab w:leader="none" w:pos="1243" w:val="left"/>
        </w:tabs>
        <w:numPr>
          <w:ilvl w:val="1"/>
          <w:numId w:val="147"/>
        </w:numPr>
        <w:rPr>
          <w:rFonts w:ascii="Arial" w:cs="Arial" w:eastAsia="Arial" w:hAnsi="Arial"/>
          <w:sz w:val="16"/>
          <w:szCs w:val="16"/>
          <w:color w:val="auto"/>
        </w:rPr>
      </w:pPr>
      <w:r>
        <w:rPr>
          <w:rFonts w:ascii="Arial" w:cs="Arial" w:eastAsia="Arial" w:hAnsi="Arial"/>
          <w:sz w:val="16"/>
          <w:szCs w:val="16"/>
          <w:color w:val="auto"/>
        </w:rPr>
        <w:t>to cure any ambiguity, to correct or supplement any provision herein which may be defective or inconsistent with any other provision herein, or to make any other provisions with respect to matters or questions arising under this Indenture, provided that such action pursuant to this Clause</w:t>
      </w:r>
    </w:p>
    <w:p>
      <w:pPr>
        <w:ind w:left="800" w:hanging="336"/>
        <w:spacing w:after="0"/>
        <w:tabs>
          <w:tab w:leader="none" w:pos="8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shall not adversely affect the interests of the Holders of Securities of any series in any material respect.</w:t>
      </w:r>
    </w:p>
    <w:p>
      <w:pPr>
        <w:spacing w:after="0" w:line="21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Trustee is hereby authorized to join with the Company and the Guarantors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8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Supplemental Indentures With Consent of Holders</w:t>
      </w:r>
      <w:r>
        <w:rPr>
          <w:rFonts w:ascii="Arial" w:cs="Arial" w:eastAsia="Arial" w:hAnsi="Arial"/>
          <w:sz w:val="16"/>
          <w:szCs w:val="16"/>
          <w:color w:val="auto"/>
        </w:rPr>
        <w:t xml:space="preserve">. Except as may otherwise be provided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for all or any specific Securities of any series or Guarantees thereof, with the consent of the Holders of a majority in principal amount (including consents obtained in connection with a purchase of, or tender offer or exchange offer for, Securities) of the Outstanding Securities of all series affected by such supplemental indenture (considered together as one class for this purpose and such affected Securities potentially being Securities of the same or different series and, with respect to any series, potentially comprising fewer than all the Securities of such series), by Act of said Holders delivered to the Company and the Trustee, the Company, when authorized by a Board Resolution, each of the Guarantors when authorized by a Guarantor’s Board Resolution of such Guarantor,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or any Guarantees of such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supplemental indenture shall, without the consent of the Holder of each Outstanding Security affected thereby (including consents obtained in connection with a purchase of, or tender offer or exchange offer for, Securities),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274" w:right="279" w:bottom="1440" w:gutter="0" w:footer="0" w:header="0"/>
        </w:sectPr>
      </w:pPr>
    </w:p>
    <w:bookmarkStart w:id="200" w:name="page201"/>
    <w:bookmarkEnd w:id="200"/>
    <w:p>
      <w:pPr>
        <w:ind w:left="460" w:right="40" w:firstLine="443"/>
        <w:spacing w:after="0" w:line="255" w:lineRule="auto"/>
        <w:tabs>
          <w:tab w:leader="none" w:pos="1153"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w:t>
      </w:r>
      <w:r>
        <w:rPr>
          <w:rFonts w:ascii="Arial" w:cs="Arial" w:eastAsia="Arial" w:hAnsi="Arial"/>
          <w:sz w:val="18"/>
          <w:szCs w:val="18"/>
          <w:u w:val="single" w:color="auto"/>
          <w:color w:val="auto"/>
        </w:rPr>
        <w:t>Section 5.02</w:t>
      </w:r>
      <w:r>
        <w:rPr>
          <w:rFonts w:ascii="Arial" w:cs="Arial" w:eastAsia="Arial" w:hAnsi="Arial"/>
          <w:sz w:val="18"/>
          <w:szCs w:val="18"/>
          <w:color w:val="auto"/>
        </w:rPr>
        <w:t>, or permit the Company to redeem any Security if, absent such supplemental indenture, the Company would not be permitted to do so, or change any Place of Payment where, or the coin or currency in which, any Security or any premium or interest thereon is payable, or impair the right to institute suit for the enforcement of any such payment on or after the Stated Maturity thereof (or, in the case of redemption, on or after the Redemption Date), or</w:t>
      </w:r>
    </w:p>
    <w:p>
      <w:pPr>
        <w:spacing w:after="0" w:line="81" w:lineRule="exact"/>
        <w:rPr>
          <w:rFonts w:ascii="Arial" w:cs="Arial" w:eastAsia="Arial" w:hAnsi="Arial"/>
          <w:sz w:val="18"/>
          <w:szCs w:val="18"/>
          <w:color w:val="auto"/>
        </w:rPr>
      </w:pPr>
    </w:p>
    <w:p>
      <w:pPr>
        <w:ind w:left="460" w:right="520" w:firstLine="443"/>
        <w:spacing w:after="0" w:line="277" w:lineRule="auto"/>
        <w:tabs>
          <w:tab w:leader="none" w:pos="115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any Security provides that the Holder may require the Company to repurchase or convert such Security, impair such Holder’s right to require repurchase or conversion of such Security on the terms provided therein, or</w:t>
      </w:r>
    </w:p>
    <w:p>
      <w:pPr>
        <w:spacing w:after="0" w:line="62" w:lineRule="exact"/>
        <w:rPr>
          <w:rFonts w:ascii="Arial" w:cs="Arial" w:eastAsia="Arial" w:hAnsi="Arial"/>
          <w:sz w:val="18"/>
          <w:szCs w:val="18"/>
          <w:color w:val="auto"/>
        </w:rPr>
      </w:pPr>
    </w:p>
    <w:p>
      <w:pPr>
        <w:ind w:left="460" w:right="40" w:firstLine="443"/>
        <w:spacing w:after="0" w:line="279" w:lineRule="auto"/>
        <w:tabs>
          <w:tab w:leader="none" w:pos="1153" w:val="left"/>
        </w:tabs>
        <w:numPr>
          <w:ilvl w:val="0"/>
          <w:numId w:val="149"/>
        </w:numPr>
        <w:rPr>
          <w:rFonts w:ascii="Arial" w:cs="Arial" w:eastAsia="Arial" w:hAnsi="Arial"/>
          <w:sz w:val="17"/>
          <w:szCs w:val="17"/>
          <w:color w:val="auto"/>
        </w:rPr>
      </w:pPr>
      <w:r>
        <w:rPr>
          <w:rFonts w:ascii="Arial" w:cs="Arial" w:eastAsia="Arial" w:hAnsi="Arial"/>
          <w:sz w:val="17"/>
          <w:szCs w:val="17"/>
          <w:color w:val="auto"/>
        </w:rPr>
        <w:t>reduce the percentage in principal amount of the Outstanding Securities of any one or more series (considered separately or together as one class, as applicable, and whether comprising the same or different series or less than all the Securities of a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63" w:lineRule="exact"/>
        <w:rPr>
          <w:rFonts w:ascii="Arial" w:cs="Arial" w:eastAsia="Arial" w:hAnsi="Arial"/>
          <w:sz w:val="17"/>
          <w:szCs w:val="17"/>
          <w:color w:val="auto"/>
        </w:rPr>
      </w:pPr>
    </w:p>
    <w:p>
      <w:pPr>
        <w:ind w:left="460" w:right="360" w:firstLine="443"/>
        <w:spacing w:after="0" w:line="277" w:lineRule="auto"/>
        <w:tabs>
          <w:tab w:leader="none" w:pos="115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any Security is guaranteed by the Guarantee of any Guarantor, release such Guarantor from any of its obligations under such Guarantee except in accordance with the terms of this Indenture; or</w:t>
      </w:r>
    </w:p>
    <w:p>
      <w:pPr>
        <w:spacing w:after="0" w:line="62" w:lineRule="exact"/>
        <w:rPr>
          <w:rFonts w:ascii="Arial" w:cs="Arial" w:eastAsia="Arial" w:hAnsi="Arial"/>
          <w:sz w:val="18"/>
          <w:szCs w:val="18"/>
          <w:color w:val="auto"/>
        </w:rPr>
      </w:pPr>
    </w:p>
    <w:p>
      <w:pPr>
        <w:ind w:left="460" w:right="160" w:firstLine="443"/>
        <w:spacing w:after="0" w:line="257" w:lineRule="auto"/>
        <w:tabs>
          <w:tab w:leader="none" w:pos="115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Section,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except to increase any such percentage or to provide that certain other provisions of this Indenture cannot be modified or waived without the consent of the Holder of each Outstanding Security affected thereby;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this clause shall not be deemed to require the consent of any Holder with respect to changes in the references to “</w:t>
      </w:r>
      <w:r>
        <w:rPr>
          <w:rFonts w:ascii="Arial" w:cs="Arial" w:eastAsia="Arial" w:hAnsi="Arial"/>
          <w:sz w:val="18"/>
          <w:szCs w:val="18"/>
          <w:b w:val="1"/>
          <w:bCs w:val="1"/>
          <w:i w:val="1"/>
          <w:iCs w:val="1"/>
          <w:color w:val="auto"/>
        </w:rPr>
        <w:t>the Trustee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concomitant changes in this Section and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or the deletion of this proviso, in accordance with the requirements of </w:t>
      </w:r>
      <w:r>
        <w:rPr>
          <w:rFonts w:ascii="Arial" w:cs="Arial" w:eastAsia="Arial" w:hAnsi="Arial"/>
          <w:sz w:val="18"/>
          <w:szCs w:val="18"/>
          <w:u w:val="single" w:color="auto"/>
          <w:color w:val="auto"/>
        </w:rPr>
        <w:t>Sections 6.11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9.01(8)</w:t>
      </w:r>
      <w:r>
        <w:rPr>
          <w:rFonts w:ascii="Arial" w:cs="Arial" w:eastAsia="Arial" w:hAnsi="Arial"/>
          <w:sz w:val="18"/>
          <w:szCs w:val="18"/>
          <w:color w:val="auto"/>
        </w:rPr>
        <w:t>.</w:t>
      </w:r>
    </w:p>
    <w:p>
      <w:pPr>
        <w:spacing w:after="0" w:line="18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 supplemental indenture which changes or eliminates any covenant or other provision of this Indenture which has expressly been included solely for the benefit of one or more particular Securities or series of Securities, or which modifies the rights of the Holders of such Securities or series with respect to such covenant or other provision, shall be deemed not to affect the rights under this Indenture of the Holders of any other Securities or of any other series, as applicable.</w:t>
      </w:r>
    </w:p>
    <w:p>
      <w:pPr>
        <w:spacing w:after="0" w:line="18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It shall not be necessary for any Act of Holders under this Section to approve the particular form of any proposed supplemental indenture, but it shall be sufficient if such Act shall approve the substance thereof. A consent to any indenture supplemental hereto by or on behalf of any Holder of Securities given in connection with a purchase of, or tender or exchange offer for, such Holder’s Securities will not be rendered invalid by such purchase, tender or exchange.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201" w:name="page202"/>
    <w:bookmarkEnd w:id="201"/>
    <w:p>
      <w:pPr>
        <w:ind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9.03. </w:t>
      </w:r>
      <w:r>
        <w:rPr>
          <w:rFonts w:ascii="Arial" w:cs="Arial" w:eastAsia="Arial" w:hAnsi="Arial"/>
          <w:sz w:val="17"/>
          <w:szCs w:val="17"/>
          <w:u w:val="single" w:color="auto"/>
          <w:color w:val="auto"/>
        </w:rPr>
        <w:t>Execution of Supplemental Indentures</w:t>
      </w:r>
      <w:r>
        <w:rPr>
          <w:rFonts w:ascii="Arial" w:cs="Arial" w:eastAsia="Arial" w:hAnsi="Arial"/>
          <w:sz w:val="17"/>
          <w:szCs w:val="17"/>
          <w:color w:val="auto"/>
        </w:rPr>
        <w:t xml:space="preserve">. In executing, or accepting the additional trusts created by, any supplemental indenture permitted by this Article or the modifications thereby of the trusts created by this Indenture, the Trustee shall be entitled to receive, and (subject to </w:t>
      </w:r>
      <w:r>
        <w:rPr>
          <w:rFonts w:ascii="Arial" w:cs="Arial" w:eastAsia="Arial" w:hAnsi="Arial"/>
          <w:sz w:val="17"/>
          <w:szCs w:val="17"/>
          <w:u w:val="single" w:color="auto"/>
          <w:color w:val="auto"/>
        </w:rPr>
        <w:t>Section 6.01</w:t>
      </w:r>
      <w:r>
        <w:rPr>
          <w:rFonts w:ascii="Arial" w:cs="Arial" w:eastAsia="Arial" w:hAnsi="Arial"/>
          <w:sz w:val="17"/>
          <w:szCs w:val="17"/>
          <w:color w:val="auto"/>
        </w:rPr>
        <w:t>) shall be fully protected in relying upon, an Opinion of Counsel and Officers’ Certificate and Guarantor’s Officers’ Certificate, as the case may be,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Conformity with Trust Indenture Act</w:t>
      </w:r>
      <w:r>
        <w:rPr>
          <w:rFonts w:ascii="Arial" w:cs="Arial" w:eastAsia="Arial" w:hAnsi="Arial"/>
          <w:sz w:val="18"/>
          <w:szCs w:val="18"/>
          <w:color w:val="auto"/>
        </w:rPr>
        <w:t>. Every supplemental indenture executed pursuant to this Article shall conform to the requirements of the Trust Indenture Act.</w:t>
      </w:r>
    </w:p>
    <w:p>
      <w:pPr>
        <w:spacing w:after="0" w:line="17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Reference in Securities to Supplemental Indentures</w:t>
      </w:r>
      <w:r>
        <w:rPr>
          <w:rFonts w:ascii="Arial" w:cs="Arial" w:eastAsia="Arial" w:hAnsi="Arial"/>
          <w:sz w:val="17"/>
          <w:szCs w:val="17"/>
          <w:color w:val="auto"/>
        </w:rPr>
        <w: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if applicable, the Guarantors and authenticated and delivered by the Trustee in exchange for Outstanding Securities of such series.</w:t>
      </w:r>
    </w:p>
    <w:p>
      <w:pPr>
        <w:spacing w:after="0" w:line="173"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Subordination Unimpaired</w:t>
      </w:r>
      <w:r>
        <w:rPr>
          <w:rFonts w:ascii="Arial" w:cs="Arial" w:eastAsia="Arial" w:hAnsi="Arial"/>
          <w:sz w:val="18"/>
          <w:szCs w:val="18"/>
          <w:color w:val="auto"/>
        </w:rPr>
        <w:t xml:space="preserve">. No supplemental indenture shall adversely affect the interests of any holder of Senior Debt then outstanding under </w:t>
      </w:r>
      <w:r>
        <w:rPr>
          <w:rFonts w:ascii="Arial" w:cs="Arial" w:eastAsia="Arial" w:hAnsi="Arial"/>
          <w:sz w:val="18"/>
          <w:szCs w:val="18"/>
          <w:u w:val="single" w:color="auto"/>
          <w:color w:val="auto"/>
        </w:rPr>
        <w:t>Article XV</w:t>
      </w:r>
      <w:r>
        <w:rPr>
          <w:rFonts w:ascii="Arial" w:cs="Arial" w:eastAsia="Arial" w:hAnsi="Arial"/>
          <w:sz w:val="18"/>
          <w:szCs w:val="18"/>
          <w:color w:val="auto"/>
        </w:rPr>
        <w:t xml:space="preserve"> or of any holder of Senior Guarantor Debt then outstanding under the last paragraph of </w:t>
      </w:r>
      <w:r>
        <w:rPr>
          <w:rFonts w:ascii="Arial" w:cs="Arial" w:eastAsia="Arial" w:hAnsi="Arial"/>
          <w:sz w:val="18"/>
          <w:szCs w:val="18"/>
          <w:u w:val="single" w:color="auto"/>
          <w:color w:val="auto"/>
        </w:rPr>
        <w:t>Section 14.01</w:t>
      </w:r>
      <w:r>
        <w:rPr>
          <w:rFonts w:ascii="Arial" w:cs="Arial" w:eastAsia="Arial" w:hAnsi="Arial"/>
          <w:sz w:val="18"/>
          <w:szCs w:val="18"/>
          <w:color w:val="auto"/>
        </w:rPr>
        <w:t xml:space="preserve"> in any material respect unless each holder of Senior Debt or Senior Guarantor Debt so affected (or the group or representative thereof authorized or required to consent thereto pursuant to the instrument creating or evidencing, or pursuant to which there is outstanding, such Senior Debt or Senior Guarantor Debt) consents to such supplemental indenture in writing.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Payment of Principal, Premium and Interest</w:t>
      </w:r>
      <w:r>
        <w:rPr>
          <w:rFonts w:ascii="Arial" w:cs="Arial" w:eastAsia="Arial" w:hAnsi="Arial"/>
          <w:sz w:val="18"/>
          <w:szCs w:val="18"/>
          <w:color w:val="auto"/>
        </w:rPr>
        <w:t>. 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202" w:name="page203"/>
    <w:bookmarkEnd w:id="202"/>
    <w:p>
      <w:pPr>
        <w:ind w:right="6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10.02. </w:t>
      </w:r>
      <w:r>
        <w:rPr>
          <w:rFonts w:ascii="Arial" w:cs="Arial" w:eastAsia="Arial" w:hAnsi="Arial"/>
          <w:sz w:val="16"/>
          <w:szCs w:val="16"/>
          <w:u w:val="single" w:color="auto"/>
          <w:color w:val="auto"/>
        </w:rPr>
        <w:t>Maintenance of Office or Agency</w:t>
      </w:r>
      <w:r>
        <w:rPr>
          <w:rFonts w:ascii="Arial" w:cs="Arial" w:eastAsia="Arial" w:hAnsi="Arial"/>
          <w:sz w:val="16"/>
          <w:szCs w:val="16"/>
          <w:color w:val="auto"/>
        </w:rPr>
        <w:t>. 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may be surrendered for conversion and where notices and demands to or upon the Company or any Guarantor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and each Guarantor hereby appoints the Trustee as its agent to receive all such presentations, surrenders, notices and demands.</w:t>
      </w:r>
    </w:p>
    <w:p>
      <w:pPr>
        <w:spacing w:after="0" w:line="16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88"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 xml:space="preserve">With respect to any Global Security, and except as otherwise may be specified for such Global Security as contemplated by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the Corporate Trust Office of the Trustee shall be the Place of Payment where such Global Security may be presented or surrendered for payment or for registration of transfer or exchange, or where successor Securities may be delivered in exchange therefor,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such payment, presentation, surrender or delivery effected pursuant to the Applicable Procedures of the Depositary for such Global Security shall be deemed to have been effected at the Place of Payment for such Global Security in accordance with the provisions of this Indenture.</w:t>
      </w:r>
    </w:p>
    <w:p>
      <w:pPr>
        <w:spacing w:after="0" w:line="1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u w:val="single" w:color="auto"/>
          <w:color w:val="auto"/>
        </w:rPr>
        <w:t>Money for Securities Payments to Be Held in Trust</w:t>
      </w:r>
      <w:r>
        <w:rPr>
          <w:rFonts w:ascii="Arial" w:cs="Arial" w:eastAsia="Arial" w:hAnsi="Arial"/>
          <w:sz w:val="16"/>
          <w:szCs w:val="16"/>
          <w:color w:val="auto"/>
        </w:rPr>
        <w:t>. 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54"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 xml:space="preserve">Whenever the Company shall have one or more Paying Agents for any series of Securities, it will, on or prior to 12:30 P.M., New York City time, on each due date of the principal of or any premium or interest on any Securities of that series, deposit (or, if the Company has deposited any trust funds with a trustee pursuant to </w:t>
      </w:r>
      <w:r>
        <w:rPr>
          <w:rFonts w:ascii="Arial" w:cs="Arial" w:eastAsia="Arial" w:hAnsi="Arial"/>
          <w:sz w:val="16"/>
          <w:szCs w:val="16"/>
          <w:u w:val="single" w:color="auto"/>
          <w:color w:val="auto"/>
        </w:rPr>
        <w:t>Section 13.04(1)</w:t>
      </w:r>
      <w:r>
        <w:rPr>
          <w:rFonts w:ascii="Arial" w:cs="Arial" w:eastAsia="Arial" w:hAnsi="Arial"/>
          <w:sz w:val="16"/>
          <w:szCs w:val="16"/>
          <w:color w:val="auto"/>
        </w:rPr>
        <w:t>, cause such trustee to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4" w:right="259" w:bottom="1440" w:gutter="0" w:footer="0" w:header="0"/>
        </w:sectPr>
      </w:pPr>
    </w:p>
    <w:bookmarkStart w:id="203" w:name="page204"/>
    <w:bookmarkEnd w:id="203"/>
    <w:p>
      <w:pPr>
        <w:ind w:right="6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73"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shall be paid to the Company on Company Request (or if deposited by a Guarantor, paid to such Guarantor on Guarantor Request), or (if then held by the Company) shall be discharged from such trust; and the Holder of such Security shall thereafter, as an unsecured general creditor, look only to the Company or such Guarantor, as the case may be, for payment thereof, and all liability of the Trustee or such Paying Agent with respect to such trust money, and all liability of the Company as trustee thereof, shall thereupon cease;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Trustee or such Paying Agent, before being required to make any such repayment, shall, at the expense of the Company, cause to be published once, in </w:t>
      </w:r>
      <w:r>
        <w:rPr>
          <w:rFonts w:ascii="Arial" w:cs="Arial" w:eastAsia="Arial" w:hAnsi="Arial"/>
          <w:sz w:val="16"/>
          <w:szCs w:val="16"/>
          <w:i w:val="1"/>
          <w:iCs w:val="1"/>
          <w:color w:val="auto"/>
        </w:rPr>
        <w:t>The New York Times</w:t>
      </w:r>
      <w:r>
        <w:rPr>
          <w:rFonts w:ascii="Arial" w:cs="Arial" w:eastAsia="Arial" w:hAnsi="Arial"/>
          <w:sz w:val="16"/>
          <w:szCs w:val="16"/>
          <w:color w:val="auto"/>
        </w:rPr>
        <w:t xml:space="preserve"> or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(national edition), notice that such money remains unclaimed and that, after a date specified therein, which shall not be less than 30 days from the date of such publication, any unclaimed balance of such money then remaining will be repaid to the Company, or the applicable Guarantor as the case may be.</w:t>
      </w:r>
    </w:p>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Corporate Existence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the Company will do or cause to be done all things necessary to preserve and keep in full force and effect its corporate existence, rights (charter and statutory), licenses and franchises;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will not be required to preserve any such right, license or franchise if it shall determine that the preservation thereof is no longer desirable in the conduct of the business of the Company.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Statement by Officers as to Default</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70" w:lineRule="auto"/>
        <w:tabs>
          <w:tab w:leader="none" w:pos="701"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Company shall deliver to the Trustee, within 120 days after the end of each fiscal year of the Company ending after the date hereof, an Officers’ Certificate, stating that a review of the activities of the Company during the preceding fiscal year has been made under the supervision of the signing Officers with a view to determining whether the Company has kept, observed, performed and fulfilled its obligations under this Indenture with respect to the Securities of each series Outstanding and further stating, as to each such Officer signing such certificate, that to the best of such Officer’s actual knowledge, the Company has kept, observed, performed and fulfilled its obligations under this Indenture with respect to Securities of such series and is not in default in the performance and observance of any of the material terms, provisions and conditions of this Indenture with respect to Securities of such series, in each case, so as not to result in any default or Event of Default with respect to Securities of such series (or, if a default or Event of Default with respect to Securities of such series shall have occurred and be continuing, describing all such defaults or Events of Default of which such Officer may have knowledge and what action the Company is taking or propose to take with respect thereto).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204" w:name="page205"/>
    <w:bookmarkEnd w:id="204"/>
    <w:p>
      <w:pPr>
        <w:ind w:firstLine="464"/>
        <w:spacing w:after="0" w:line="288" w:lineRule="auto"/>
        <w:tabs>
          <w:tab w:leader="none" w:pos="711" w:val="left"/>
        </w:tabs>
        <w:numPr>
          <w:ilvl w:val="0"/>
          <w:numId w:val="1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So long as any Securities of a series to which </w:t>
      </w:r>
      <w:r>
        <w:rPr>
          <w:rFonts w:ascii="Arial" w:cs="Arial" w:eastAsia="Arial" w:hAnsi="Arial"/>
          <w:sz w:val="16"/>
          <w:szCs w:val="16"/>
          <w:u w:val="single" w:color="auto"/>
          <w:color w:val="auto"/>
        </w:rPr>
        <w:t>Article XIV</w:t>
      </w:r>
      <w:r>
        <w:rPr>
          <w:rFonts w:ascii="Arial" w:cs="Arial" w:eastAsia="Arial" w:hAnsi="Arial"/>
          <w:sz w:val="16"/>
          <w:szCs w:val="16"/>
          <w:color w:val="auto"/>
        </w:rPr>
        <w:t xml:space="preserve"> has been made applicable are Outstanding, each Guarantor with respect to Securities of such series Outstanding shall deliver to the Trustee, within 120 days after the end of each fiscal year of the Company ending after the date hereof, a Guarantor’s Officers’ Certificate with respect to such Guarantor, stating that a review of the activities of such Guarantor during the preceding fiscal year has been made under the supervision of the signing Officers with a view to determining whether such Guarantor has kept, observed, performed and fulfilled its obligations under this Indenture with respect to the Securities of such series and further stating, as to each such Officer signing such certificate, that to the best of such Officer’s actual knowledge, such Guarantor has kept, observed, performed and fulfilled its obligations under this Indenture with respect to Securities of such series and is not in default in the performance and observance of any of the material terms, provisions and conditions of this Indenture with respect to Securities of such series, in each case, so as not to result in any default or Event of Default with respect to Securities of such series (or, if a default or Event of Default with respect to Securities of such series shall have occurred and be continuing, describing all such defaults or Events of Default of which such Officer may have knowledge and what action such Guarantor is taking or proposes to take with respect thereto).</w:t>
      </w:r>
    </w:p>
    <w:p>
      <w:pPr>
        <w:spacing w:after="0" w:line="16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10.06. </w:t>
      </w:r>
      <w:r>
        <w:rPr>
          <w:rFonts w:ascii="Arial" w:cs="Arial" w:eastAsia="Arial" w:hAnsi="Arial"/>
          <w:sz w:val="16"/>
          <w:szCs w:val="16"/>
          <w:u w:val="single" w:color="auto"/>
          <w:color w:val="auto"/>
        </w:rPr>
        <w:t>Waiver of Certain Covenants</w:t>
      </w:r>
      <w:r>
        <w:rPr>
          <w:rFonts w:ascii="Arial" w:cs="Arial" w:eastAsia="Arial" w:hAnsi="Arial"/>
          <w:sz w:val="16"/>
          <w:szCs w:val="16"/>
          <w:color w:val="auto"/>
        </w:rPr>
        <w:t xml:space="preserve">. Except as otherwise provided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for all or any Securities of any series, the Company may, with respect to all or any Securities of any series, omit in any particular instance to comply with any term, provision or condition set forth in Section</w:t>
      </w:r>
    </w:p>
    <w:p>
      <w:pPr>
        <w:ind w:right="20"/>
        <w:spacing w:after="0" w:line="268" w:lineRule="auto"/>
        <w:rPr>
          <w:sz w:val="20"/>
          <w:szCs w:val="20"/>
          <w:color w:val="auto"/>
        </w:rPr>
      </w:pPr>
      <w:r>
        <w:rPr>
          <w:rFonts w:ascii="Arial" w:cs="Arial" w:eastAsia="Arial" w:hAnsi="Arial"/>
          <w:sz w:val="17"/>
          <w:szCs w:val="17"/>
          <w:color w:val="auto"/>
        </w:rPr>
        <w:t xml:space="preserve">10.04 or in any covenant provided pursuant to </w:t>
      </w:r>
      <w:r>
        <w:rPr>
          <w:rFonts w:ascii="Arial" w:cs="Arial" w:eastAsia="Arial" w:hAnsi="Arial"/>
          <w:sz w:val="17"/>
          <w:szCs w:val="17"/>
          <w:u w:val="single" w:color="auto"/>
          <w:color w:val="auto"/>
        </w:rPr>
        <w:t>Section 3.01(18)</w:t>
      </w:r>
      <w:r>
        <w:rPr>
          <w:rFonts w:ascii="Arial" w:cs="Arial" w:eastAsia="Arial" w:hAnsi="Arial"/>
          <w:sz w:val="17"/>
          <w:szCs w:val="17"/>
          <w:color w:val="auto"/>
        </w:rPr>
        <w:t xml:space="preserve">, </w:t>
      </w:r>
      <w:r>
        <w:rPr>
          <w:rFonts w:ascii="Arial" w:cs="Arial" w:eastAsia="Arial" w:hAnsi="Arial"/>
          <w:sz w:val="17"/>
          <w:szCs w:val="17"/>
          <w:u w:val="single" w:color="auto"/>
          <w:color w:val="auto"/>
        </w:rPr>
        <w:t>9.01(2)</w:t>
      </w:r>
      <w:r>
        <w:rPr>
          <w:rFonts w:ascii="Arial" w:cs="Arial" w:eastAsia="Arial" w:hAnsi="Arial"/>
          <w:sz w:val="17"/>
          <w:szCs w:val="17"/>
          <w:color w:val="auto"/>
        </w:rPr>
        <w:t xml:space="preserve">, </w:t>
      </w:r>
      <w:r>
        <w:rPr>
          <w:rFonts w:ascii="Arial" w:cs="Arial" w:eastAsia="Arial" w:hAnsi="Arial"/>
          <w:sz w:val="17"/>
          <w:szCs w:val="17"/>
          <w:u w:val="single" w:color="auto"/>
          <w:color w:val="auto"/>
        </w:rPr>
        <w:t>9.01(6)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9.01(7)</w:t>
      </w:r>
      <w:r>
        <w:rPr>
          <w:rFonts w:ascii="Arial" w:cs="Arial" w:eastAsia="Arial" w:hAnsi="Arial"/>
          <w:sz w:val="17"/>
          <w:szCs w:val="17"/>
          <w:color w:val="auto"/>
        </w:rPr>
        <w:t xml:space="preserve"> for the benefit of the Holders of such series or in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if, before the time for such compliance, the Holders of a majority in principal amount (including waivers obtained in connection with a purchase of, or tender offer or exchange offer for, Securities) of all Outstanding Securities affected by such waiver (considered together as one class for this purpose and such affected Securities potentially being Securities of the same or different series and, with respect to any particular series, potentially comprising fewer than all the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 A waiver of compliance given by or on behalf of any Holder of Securities in connection with a purchase of, or tender or exchange offer for, such Holder’s Securities will not be rendered invalid by such purchase, tender or exchange.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OF SECURITIES</w:t>
      </w:r>
    </w:p>
    <w:p>
      <w:pPr>
        <w:spacing w:after="0" w:line="211"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 xml:space="preserve">Section 11.01. </w:t>
      </w:r>
      <w:r>
        <w:rPr>
          <w:rFonts w:ascii="Arial" w:cs="Arial" w:eastAsia="Arial" w:hAnsi="Arial"/>
          <w:sz w:val="17"/>
          <w:szCs w:val="17"/>
          <w:u w:val="single" w:color="auto"/>
          <w:color w:val="auto"/>
        </w:rPr>
        <w:t>Applicability of Article</w:t>
      </w:r>
      <w:r>
        <w:rPr>
          <w:rFonts w:ascii="Arial" w:cs="Arial" w:eastAsia="Arial" w:hAnsi="Arial"/>
          <w:sz w:val="17"/>
          <w:szCs w:val="17"/>
          <w:color w:val="auto"/>
        </w:rPr>
        <w:t xml:space="preserve">. Securities of any series which are redeemable before their Stated Maturity shall be redeemable in accordance with their terms and (except as otherwise specified as contemplated by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for such Securities) in accordance with this Article.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205" w:name="page206"/>
    <w:bookmarkEnd w:id="205"/>
    <w:p>
      <w:pPr>
        <w:ind w:right="10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11.02. </w:t>
      </w:r>
      <w:r>
        <w:rPr>
          <w:rFonts w:ascii="Arial" w:cs="Arial" w:eastAsia="Arial" w:hAnsi="Arial"/>
          <w:sz w:val="16"/>
          <w:szCs w:val="16"/>
          <w:u w:val="single" w:color="auto"/>
          <w:color w:val="auto"/>
        </w:rPr>
        <w:t>Election to Redeem; Notice to Trustee</w:t>
      </w:r>
      <w:r>
        <w:rPr>
          <w:rFonts w:ascii="Arial" w:cs="Arial" w:eastAsia="Arial" w:hAnsi="Arial"/>
          <w:sz w:val="16"/>
          <w:szCs w:val="16"/>
          <w:color w:val="auto"/>
        </w:rPr>
        <w:t xml:space="preserve">. The election of the Company to redeem any Securities shall be established in or pursuant to a Board Resolution or in another manner specified as contemplated by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for such Securities. In case of any redemption at the election of the Company of less than all the Securities of any series (including any such redemption affecting only a single Security), the Company shall, at least 5 Business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(1) prior to the expiration of any restriction on such redemption provided in the terms of such Securities or elsewhere in this Indenture, or (2) pursuant to an election of the Company that is subject to a condition specified in the terms of the Securities of the series to be redeemed, the Company shall furnish the Trustee with an Officers’ Certificate evidencing compliance with such restriction or condition.</w:t>
      </w:r>
    </w:p>
    <w:p>
      <w:pPr>
        <w:spacing w:after="0" w:line="166"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u w:val="single" w:color="auto"/>
          <w:color w:val="auto"/>
        </w:rPr>
        <w:t>Selection by Trustee of Securities to Be Redeemed</w:t>
      </w:r>
      <w:r>
        <w:rPr>
          <w:rFonts w:ascii="Arial" w:cs="Arial" w:eastAsia="Arial" w:hAnsi="Arial"/>
          <w:sz w:val="17"/>
          <w:szCs w:val="17"/>
          <w:color w:val="auto"/>
        </w:rPr>
        <w:t>. 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40 days prior to the Redemption Date by the Trustee, from the Outstanding Securities of such series not previously called for redemption, by such method as the Trustee shall deem fair and appropriate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40 days prior to the Redemption Date by the Trustee, from the Outstanding Securities of such series and specified tenor not previously called for redemption in accordance with the preceding sentence.</w:t>
      </w:r>
    </w:p>
    <w:p>
      <w:pPr>
        <w:spacing w:after="0" w:line="182"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If any Security selected for partial redemption is converted in part before termination of the conversion right with respect to the portion of the Security so selected, the converted portion of such Security shall be deemed (so far as it may be) to be the portion selected for redemption. Securities which have been converted during a selection of Securities to be redeemed shall be treated by the Trustee as Outstanding for the purpose of such selection.</w:t>
      </w:r>
    </w:p>
    <w:p>
      <w:pPr>
        <w:spacing w:after="0" w:line="14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Trustee shall promptly notify the Company and each Security Registrar in writing of the Securities selected for redemption as aforesaid and, in case of any Securities selected for partial redemption as aforesaid, the principal amount thereof to be redeemed.</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8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4" w:right="239" w:bottom="1440" w:gutter="0" w:footer="0" w:header="0"/>
        </w:sectPr>
      </w:pPr>
    </w:p>
    <w:bookmarkStart w:id="206" w:name="page207"/>
    <w:bookmarkEnd w:id="206"/>
    <w:p>
      <w:pPr>
        <w:ind w:right="1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11.04.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 xml:space="preserve">. Notice of redemption shall be given in the manner provided in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not less than 30 days nor more than 60 days prior to the Redemption Date (or within such period as otherwise specified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for the relevant Securities), to each Holder of Securities to be redeemed, at his address appearing in the Security Register.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notices of redemption shall identify the Securities to be redeemed (including CUSIP numbers, if any) and shall state:</w:t>
      </w:r>
    </w:p>
    <w:p>
      <w:pPr>
        <w:spacing w:after="0" w:line="117" w:lineRule="exact"/>
        <w:rPr>
          <w:sz w:val="20"/>
          <w:szCs w:val="20"/>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ind w:left="460" w:right="20" w:firstLine="443"/>
        <w:spacing w:after="0" w:line="312" w:lineRule="auto"/>
        <w:tabs>
          <w:tab w:leader="none" w:pos="1153"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38" w:lineRule="exact"/>
        <w:rPr>
          <w:rFonts w:ascii="Arial" w:cs="Arial" w:eastAsia="Arial" w:hAnsi="Arial"/>
          <w:sz w:val="16"/>
          <w:szCs w:val="16"/>
          <w:color w:val="auto"/>
        </w:rPr>
      </w:pPr>
    </w:p>
    <w:p>
      <w:pPr>
        <w:ind w:left="460" w:right="120" w:firstLine="443"/>
        <w:spacing w:after="0" w:line="277" w:lineRule="auto"/>
        <w:tabs>
          <w:tab w:leader="none" w:pos="115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place or places where each such Security is to be surrendered for payment of the Redemption Price,</w:t>
      </w:r>
    </w:p>
    <w:p>
      <w:pPr>
        <w:spacing w:after="0" w:line="117" w:lineRule="exact"/>
        <w:rPr>
          <w:rFonts w:ascii="Arial" w:cs="Arial" w:eastAsia="Arial" w:hAnsi="Arial"/>
          <w:sz w:val="18"/>
          <w:szCs w:val="18"/>
          <w:color w:val="auto"/>
        </w:rPr>
      </w:pPr>
    </w:p>
    <w:p>
      <w:pPr>
        <w:ind w:left="460" w:right="400" w:firstLine="443"/>
        <w:spacing w:after="0" w:line="277" w:lineRule="auto"/>
        <w:tabs>
          <w:tab w:leader="none" w:pos="115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for any Securities that by their terms may be converted, the terms of conversion, the date on which the right to convert the Security to be redeemed will terminate and the place or places where such Securities may be surrendered for conversion,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 xml:space="preserve">. Prior to 11:00 A.M., New York City time, on any Redemption Date, the Company shall deposit with the Trustee or with a Paying Agent (or, if the Company is acting as its own Paying Agent, segregate and hold in trust as provided in </w:t>
      </w:r>
      <w:r>
        <w:rPr>
          <w:rFonts w:ascii="Arial" w:cs="Arial" w:eastAsia="Arial" w:hAnsi="Arial"/>
          <w:sz w:val="18"/>
          <w:szCs w:val="18"/>
          <w:u w:val="single" w:color="auto"/>
          <w:color w:val="auto"/>
        </w:rPr>
        <w:t>Section 10.03</w:t>
      </w:r>
      <w:r>
        <w:rPr>
          <w:rFonts w:ascii="Arial" w:cs="Arial" w:eastAsia="Arial" w:hAnsi="Arial"/>
          <w:sz w:val="18"/>
          <w:szCs w:val="18"/>
          <w:color w:val="auto"/>
        </w:rPr>
        <w:t>) an amount of money sufficient to pay the Redemption Price of, and (except if the Redemption Date shall be an Interest Payment Date) accrued interest on, all the Securities which are to be redeemed on that date, other than any Securities called for redemption on that date which have been converted prior to the date of such deposit.</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274" w:right="279" w:bottom="1440" w:gutter="0" w:footer="0" w:header="0"/>
        </w:sectPr>
      </w:pPr>
    </w:p>
    <w:bookmarkStart w:id="207" w:name="page208"/>
    <w:bookmarkEnd w:id="207"/>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any Security called for redemption is converted, any money deposited with the Trustee or with any Paying Agent or so segregated and held in trust for the redemption of such Security shall (subject to any right of the Holder of such Security or any Predecessor Security to receive interest as provided in the last paragraph of </w:t>
      </w: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or in the terms of such Security) be paid to the Company upon Company Request or, if then held by the Company, shall be discharged from such trust.</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11.06. </w:t>
      </w:r>
      <w:r>
        <w:rPr>
          <w:rFonts w:ascii="Arial" w:cs="Arial" w:eastAsia="Arial" w:hAnsi="Arial"/>
          <w:sz w:val="17"/>
          <w:szCs w:val="17"/>
          <w:u w:val="single" w:color="auto"/>
          <w:color w:val="auto"/>
        </w:rPr>
        <w:t>Securities Payable on Redemption Date</w:t>
      </w:r>
      <w:r>
        <w:rPr>
          <w:rFonts w:ascii="Arial" w:cs="Arial" w:eastAsia="Arial" w:hAnsi="Arial"/>
          <w:sz w:val="17"/>
          <w:szCs w:val="17"/>
          <w:color w:val="auto"/>
        </w:rPr>
        <w:t xml:space="preserve">. 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unless otherwise specified as contemplated by</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3.01</w:t>
      </w:r>
      <w:r>
        <w:rPr>
          <w:rFonts w:ascii="Arial" w:cs="Arial" w:eastAsia="Arial" w:hAnsi="Arial"/>
          <w:sz w:val="17"/>
          <w:szCs w:val="17"/>
          <w:color w:val="auto"/>
        </w:rPr>
        <w:t>, installments of interest whose Stated Maturity is on or prior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Redemption Date will be payable to the Holders of such Securities, or one or more Predecessor Securities, registered as such at the close of business on the relevant Record Dates according to their terms and the provisions of </w:t>
      </w:r>
      <w:r>
        <w:rPr>
          <w:rFonts w:ascii="Arial" w:cs="Arial" w:eastAsia="Arial" w:hAnsi="Arial"/>
          <w:sz w:val="17"/>
          <w:szCs w:val="17"/>
          <w:u w:val="single" w:color="auto"/>
          <w:color w:val="auto"/>
        </w:rPr>
        <w:t>Section 3.07</w:t>
      </w:r>
      <w:r>
        <w:rPr>
          <w:rFonts w:ascii="Arial" w:cs="Arial" w:eastAsia="Arial" w:hAnsi="Arial"/>
          <w:sz w:val="17"/>
          <w:szCs w:val="17"/>
          <w:color w:val="auto"/>
        </w:rPr>
        <w:t>.</w:t>
      </w:r>
    </w:p>
    <w:p>
      <w:pPr>
        <w:spacing w:after="0" w:line="17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Securities Redeemed in Part</w:t>
      </w:r>
      <w:r>
        <w:rPr>
          <w:rFonts w:ascii="Arial" w:cs="Arial" w:eastAsia="Arial" w:hAnsi="Arial"/>
          <w:sz w:val="18"/>
          <w:szCs w:val="18"/>
          <w:color w:val="auto"/>
        </w:rPr>
        <w:t>. 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and, if applicable, the Guarantors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9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11.08. </w:t>
      </w:r>
      <w:r>
        <w:rPr>
          <w:rFonts w:ascii="Arial" w:cs="Arial" w:eastAsia="Arial" w:hAnsi="Arial"/>
          <w:sz w:val="17"/>
          <w:szCs w:val="17"/>
          <w:u w:val="single" w:color="auto"/>
          <w:color w:val="auto"/>
        </w:rPr>
        <w:t>No Limit on Repurchases</w:t>
      </w:r>
      <w:r>
        <w:rPr>
          <w:rFonts w:ascii="Arial" w:cs="Arial" w:eastAsia="Arial" w:hAnsi="Arial"/>
          <w:sz w:val="17"/>
          <w:szCs w:val="17"/>
          <w:color w:val="auto"/>
        </w:rPr>
        <w:t>. Nothing in this Indenture or the Securities shall prohibit or limit the right of the Company or any Affiliate of the Company to repurchase Securities from time to time at any price in open market purchases or private transactions at negotiated prices, by tender offer or otherwise, in each case without any notice to or consent by Holders. Any Securities purchased by the Company or any Affiliate of the Company may, to the extent permitted by law and at the discretion of the Company, be held, resold or delivered to the Trustee for cancellation. Any such Securities delivered to the Trustee for cancellation may not be resold and shall be disposed of as directed by Company Order.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274" w:right="299" w:bottom="1440" w:gutter="0" w:footer="0" w:header="0"/>
        </w:sectPr>
      </w:pPr>
    </w:p>
    <w:bookmarkStart w:id="208" w:name="page209"/>
    <w:bookmarkEnd w:id="20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SINKING FUNDS</w:t>
      </w:r>
    </w:p>
    <w:p>
      <w:pPr>
        <w:spacing w:after="0" w:line="21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xml:space="preserve">. The provisions of this Article shall be applicable to any sinking fund for the retirement of Securities of any series except as otherwise specified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for such Securities.</w:t>
      </w:r>
    </w:p>
    <w:p>
      <w:pPr>
        <w:spacing w:after="0" w:line="170" w:lineRule="exact"/>
        <w:rPr>
          <w:sz w:val="20"/>
          <w:szCs w:val="20"/>
          <w:color w:val="auto"/>
        </w:rPr>
      </w:pPr>
    </w:p>
    <w:p>
      <w:pPr>
        <w:ind w:right="340" w:firstLine="456"/>
        <w:spacing w:after="0" w:line="302" w:lineRule="auto"/>
        <w:rPr>
          <w:sz w:val="20"/>
          <w:szCs w:val="20"/>
          <w:color w:val="auto"/>
        </w:rPr>
      </w:pPr>
      <w:r>
        <w:rPr>
          <w:rFonts w:ascii="Arial" w:cs="Arial" w:eastAsia="Arial" w:hAnsi="Arial"/>
          <w:sz w:val="16"/>
          <w:szCs w:val="16"/>
          <w:color w:val="auto"/>
        </w:rPr>
        <w:t>The minimum amount of any sinking fund payment provided for by the terms of any Securities is herein referred to as a “</w:t>
      </w:r>
      <w:r>
        <w:rPr>
          <w:rFonts w:ascii="Arial" w:cs="Arial" w:eastAsia="Arial" w:hAnsi="Arial"/>
          <w:sz w:val="16"/>
          <w:szCs w:val="16"/>
          <w:b w:val="1"/>
          <w:bCs w:val="1"/>
          <w:i w:val="1"/>
          <w:iCs w:val="1"/>
          <w:color w:val="auto"/>
        </w:rPr>
        <w:t>mandatory sinking fund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and any payment in excess of such minimum amount provided for by the terms of such Securities is herein referred to as an “</w:t>
      </w:r>
      <w:r>
        <w:rPr>
          <w:rFonts w:ascii="Arial" w:cs="Arial" w:eastAsia="Arial" w:hAnsi="Arial"/>
          <w:sz w:val="16"/>
          <w:szCs w:val="16"/>
          <w:b w:val="1"/>
          <w:bCs w:val="1"/>
          <w:i w:val="1"/>
          <w:iCs w:val="1"/>
          <w:color w:val="auto"/>
        </w:rPr>
        <w:t>optional sinking fund payment</w:t>
      </w:r>
      <w:r>
        <w:rPr>
          <w:rFonts w:ascii="Arial" w:cs="Arial" w:eastAsia="Arial" w:hAnsi="Arial"/>
          <w:sz w:val="16"/>
          <w:szCs w:val="16"/>
          <w:color w:val="auto"/>
        </w:rPr>
        <w:t>.” If provided for by the terms of any Securities, the cash amount of any sinking fund payment may be subject to reduction as provided in</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Section 12.02</w:t>
      </w:r>
      <w:r>
        <w:rPr>
          <w:rFonts w:ascii="Arial" w:cs="Arial" w:eastAsia="Arial" w:hAnsi="Arial"/>
          <w:sz w:val="16"/>
          <w:szCs w:val="16"/>
          <w:color w:val="auto"/>
        </w:rPr>
        <w:t>. Each sinking fund payment shall be applied to the redemption of Securities as provided for by the terms of such Securities.</w:t>
      </w:r>
    </w:p>
    <w:p>
      <w:pPr>
        <w:spacing w:after="0" w:line="15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 xml:space="preserve">. The Company (1) may deliver Outstanding Securities of a series (other than any previously called for redemption) and (2) may apply as a credit Securities of a series which have been converted in accordance with their terms or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Securities to be so credited have not been previously so credited. The Securities to be so credited shall be received and credited for such purpose by the Trustee at the Redemption Price, as specified in the Securities so to be redeemed (or at such other prices as may be specified for such Securities as contemplated in </w:t>
      </w:r>
      <w:r>
        <w:rPr>
          <w:rFonts w:ascii="Arial" w:cs="Arial" w:eastAsia="Arial" w:hAnsi="Arial"/>
          <w:sz w:val="18"/>
          <w:szCs w:val="18"/>
          <w:u w:val="single" w:color="auto"/>
          <w:color w:val="auto"/>
        </w:rPr>
        <w:t>Section 3.01</w:t>
      </w:r>
      <w:r>
        <w:rPr>
          <w:rFonts w:ascii="Arial" w:cs="Arial" w:eastAsia="Arial" w:hAnsi="Arial"/>
          <w:sz w:val="18"/>
          <w:szCs w:val="18"/>
          <w:color w:val="auto"/>
        </w:rPr>
        <w:t>), for redemption through operation of the sinking fund and the amount of such sinking fund payment shall be reduced accordingly.</w:t>
      </w:r>
    </w:p>
    <w:p>
      <w:pPr>
        <w:spacing w:after="0" w:line="19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Section 12.03. </w:t>
      </w:r>
      <w:r>
        <w:rPr>
          <w:rFonts w:ascii="Arial" w:cs="Arial" w:eastAsia="Arial" w:hAnsi="Arial"/>
          <w:sz w:val="17"/>
          <w:szCs w:val="17"/>
          <w:u w:val="single" w:color="auto"/>
          <w:color w:val="auto"/>
        </w:rPr>
        <w:t>Redemption of Securities for Sinking Fund</w:t>
      </w:r>
      <w:r>
        <w:rPr>
          <w:rFonts w:ascii="Arial" w:cs="Arial" w:eastAsia="Arial" w:hAnsi="Arial"/>
          <w:sz w:val="17"/>
          <w:szCs w:val="17"/>
          <w:color w:val="auto"/>
        </w:rPr>
        <w:t xml:space="preserve">. Not less than 45 days (or such shorter period as shall be satisfactory to the Trustee)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w:t>
      </w:r>
      <w:r>
        <w:rPr>
          <w:rFonts w:ascii="Arial" w:cs="Arial" w:eastAsia="Arial" w:hAnsi="Arial"/>
          <w:sz w:val="17"/>
          <w:szCs w:val="17"/>
          <w:u w:val="single" w:color="auto"/>
          <w:color w:val="auto"/>
        </w:rPr>
        <w:t>Section 12.02</w:t>
      </w:r>
      <w:r>
        <w:rPr>
          <w:rFonts w:ascii="Arial" w:cs="Arial" w:eastAsia="Arial" w:hAnsi="Arial"/>
          <w:sz w:val="17"/>
          <w:szCs w:val="17"/>
          <w:color w:val="auto"/>
        </w:rPr>
        <w:t xml:space="preserve"> and will also deliver to the Trustee any Securities to be so delivered. Not less than 30 days prior to each such sinking fund payment date, the Trustee shall select the Securities to be redeemed upon such sinking fund payment date in the manner specified in </w:t>
      </w:r>
      <w:r>
        <w:rPr>
          <w:rFonts w:ascii="Arial" w:cs="Arial" w:eastAsia="Arial" w:hAnsi="Arial"/>
          <w:sz w:val="17"/>
          <w:szCs w:val="17"/>
          <w:u w:val="single" w:color="auto"/>
          <w:color w:val="auto"/>
        </w:rPr>
        <w:t>Section 11.03</w:t>
      </w:r>
      <w:r>
        <w:rPr>
          <w:rFonts w:ascii="Arial" w:cs="Arial" w:eastAsia="Arial" w:hAnsi="Arial"/>
          <w:sz w:val="17"/>
          <w:szCs w:val="17"/>
          <w:color w:val="auto"/>
        </w:rPr>
        <w:t xml:space="preserve"> and cause notice of the redemption thereof to be given in the name of and at the expense of the Company in the manner provided in </w:t>
      </w:r>
      <w:r>
        <w:rPr>
          <w:rFonts w:ascii="Arial" w:cs="Arial" w:eastAsia="Arial" w:hAnsi="Arial"/>
          <w:sz w:val="17"/>
          <w:szCs w:val="17"/>
          <w:u w:val="single" w:color="auto"/>
          <w:color w:val="auto"/>
        </w:rPr>
        <w:t>Section 11.04</w:t>
      </w:r>
      <w:r>
        <w:rPr>
          <w:rFonts w:ascii="Arial" w:cs="Arial" w:eastAsia="Arial" w:hAnsi="Arial"/>
          <w:sz w:val="17"/>
          <w:szCs w:val="17"/>
          <w:color w:val="auto"/>
        </w:rPr>
        <w:t xml:space="preserve">. Such notice having been duly given, the redemption of such Securities shall be made upon the terms and in the manner stated in </w:t>
      </w:r>
      <w:r>
        <w:rPr>
          <w:rFonts w:ascii="Arial" w:cs="Arial" w:eastAsia="Arial" w:hAnsi="Arial"/>
          <w:sz w:val="17"/>
          <w:szCs w:val="17"/>
          <w:u w:val="single" w:color="auto"/>
          <w:color w:val="auto"/>
        </w:rPr>
        <w:t>Sections 11.06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11.07</w:t>
      </w:r>
      <w:r>
        <w:rPr>
          <w:rFonts w:ascii="Arial" w:cs="Arial" w:eastAsia="Arial" w:hAnsi="Arial"/>
          <w:sz w:val="17"/>
          <w:szCs w:val="17"/>
          <w:color w:val="auto"/>
        </w:rPr>
        <w: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270" w:right="279" w:bottom="1440" w:gutter="0" w:footer="0" w:header="0"/>
        </w:sectPr>
      </w:pPr>
    </w:p>
    <w:bookmarkStart w:id="209" w:name="page210"/>
    <w:bookmarkEnd w:id="20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DEFEASANCE AND COVENANT DEFEASANCE</w:t>
      </w:r>
    </w:p>
    <w:p>
      <w:pPr>
        <w:spacing w:after="0" w:line="21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 xml:space="preserve">Section 13.01. </w:t>
      </w:r>
      <w:r>
        <w:rPr>
          <w:rFonts w:ascii="Arial" w:cs="Arial" w:eastAsia="Arial" w:hAnsi="Arial"/>
          <w:sz w:val="16"/>
          <w:szCs w:val="16"/>
          <w:u w:val="single" w:color="auto"/>
          <w:color w:val="auto"/>
        </w:rPr>
        <w:t>Company’s Option to Effect Defeasance or Covenant Defeasance</w:t>
      </w:r>
      <w:r>
        <w:rPr>
          <w:rFonts w:ascii="Arial" w:cs="Arial" w:eastAsia="Arial" w:hAnsi="Arial"/>
          <w:sz w:val="16"/>
          <w:szCs w:val="16"/>
          <w:color w:val="auto"/>
        </w:rPr>
        <w:t xml:space="preserve">. Unless otherwise designated pursuant to </w:t>
      </w:r>
      <w:r>
        <w:rPr>
          <w:rFonts w:ascii="Arial" w:cs="Arial" w:eastAsia="Arial" w:hAnsi="Arial"/>
          <w:sz w:val="16"/>
          <w:szCs w:val="16"/>
          <w:u w:val="single" w:color="auto"/>
          <w:color w:val="auto"/>
        </w:rPr>
        <w:t>Section 3.01(15)</w:t>
      </w:r>
      <w:r>
        <w:rPr>
          <w:rFonts w:ascii="Arial" w:cs="Arial" w:eastAsia="Arial" w:hAnsi="Arial"/>
          <w:sz w:val="16"/>
          <w:szCs w:val="16"/>
          <w:color w:val="auto"/>
        </w:rPr>
        <w:t xml:space="preserve">, the Securities of any series of Securities shall be subject to defeasance or covenant defeasance pursuant to such </w:t>
      </w:r>
      <w:r>
        <w:rPr>
          <w:rFonts w:ascii="Arial" w:cs="Arial" w:eastAsia="Arial" w:hAnsi="Arial"/>
          <w:sz w:val="16"/>
          <w:szCs w:val="16"/>
          <w:u w:val="single" w:color="auto"/>
          <w:color w:val="auto"/>
        </w:rPr>
        <w:t>Section 13.02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13.03</w:t>
      </w:r>
      <w:r>
        <w:rPr>
          <w:rFonts w:ascii="Arial" w:cs="Arial" w:eastAsia="Arial" w:hAnsi="Arial"/>
          <w:sz w:val="16"/>
          <w:szCs w:val="16"/>
          <w:color w:val="auto"/>
        </w:rPr>
        <w:t xml:space="preserve">, in accordance with any applicable requirements provided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and upon compliance with the conditions set forth below in this Article. The Company may elect, at its option, at any time, to have </w:t>
      </w:r>
      <w:r>
        <w:rPr>
          <w:rFonts w:ascii="Arial" w:cs="Arial" w:eastAsia="Arial" w:hAnsi="Arial"/>
          <w:sz w:val="16"/>
          <w:szCs w:val="16"/>
          <w:u w:val="single" w:color="auto"/>
          <w:color w:val="auto"/>
        </w:rPr>
        <w:t>Section 13.02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13.03</w:t>
      </w:r>
      <w:r>
        <w:rPr>
          <w:rFonts w:ascii="Arial" w:cs="Arial" w:eastAsia="Arial" w:hAnsi="Arial"/>
          <w:sz w:val="16"/>
          <w:szCs w:val="16"/>
          <w:color w:val="auto"/>
        </w:rPr>
        <w:t xml:space="preserve"> applied to any Securities or any series of Securities so subject to defeasance or covenant defeasance. Any such election shall be evidenced by a Board Resolution or in another manner specified as contemplated by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for such Securities.</w:t>
      </w:r>
    </w:p>
    <w:p>
      <w:pPr>
        <w:spacing w:after="0" w:line="15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13.02. </w:t>
      </w:r>
      <w:r>
        <w:rPr>
          <w:rFonts w:ascii="Arial" w:cs="Arial" w:eastAsia="Arial" w:hAnsi="Arial"/>
          <w:sz w:val="16"/>
          <w:szCs w:val="16"/>
          <w:u w:val="single" w:color="auto"/>
          <w:color w:val="auto"/>
        </w:rPr>
        <w:t>Defeasance and Discharge</w:t>
      </w:r>
      <w:r>
        <w:rPr>
          <w:rFonts w:ascii="Arial" w:cs="Arial" w:eastAsia="Arial" w:hAnsi="Arial"/>
          <w:sz w:val="16"/>
          <w:szCs w:val="16"/>
          <w:color w:val="auto"/>
        </w:rPr>
        <w:t xml:space="preserve">. Upon the Company’s exercise of its option (if any) to have this Section applied to any Securities or any series of Securities, as the case may be, the Company shall be deemed to have been discharged from its obligations, and the provisions of </w:t>
      </w:r>
      <w:r>
        <w:rPr>
          <w:rFonts w:ascii="Arial" w:cs="Arial" w:eastAsia="Arial" w:hAnsi="Arial"/>
          <w:sz w:val="16"/>
          <w:szCs w:val="16"/>
          <w:u w:val="single" w:color="auto"/>
          <w:color w:val="auto"/>
        </w:rPr>
        <w:t>Article XV</w:t>
      </w:r>
      <w:r>
        <w:rPr>
          <w:rFonts w:ascii="Arial" w:cs="Arial" w:eastAsia="Arial" w:hAnsi="Arial"/>
          <w:sz w:val="16"/>
          <w:szCs w:val="16"/>
          <w:color w:val="auto"/>
        </w:rPr>
        <w:t xml:space="preserve"> (and the provisions of the last paragraph of </w:t>
      </w:r>
      <w:r>
        <w:rPr>
          <w:rFonts w:ascii="Arial" w:cs="Arial" w:eastAsia="Arial" w:hAnsi="Arial"/>
          <w:sz w:val="16"/>
          <w:szCs w:val="16"/>
          <w:u w:val="single" w:color="auto"/>
          <w:color w:val="auto"/>
        </w:rPr>
        <w:t>Section 14.01</w:t>
      </w:r>
      <w:r>
        <w:rPr>
          <w:rFonts w:ascii="Arial" w:cs="Arial" w:eastAsia="Arial" w:hAnsi="Arial"/>
          <w:sz w:val="16"/>
          <w:szCs w:val="16"/>
          <w:color w:val="auto"/>
        </w:rPr>
        <w:t xml:space="preserve">) shall cease to be effective, with respect to such Securities as provided in this Section on and after the date the conditions set forth in </w:t>
      </w:r>
      <w:r>
        <w:rPr>
          <w:rFonts w:ascii="Arial" w:cs="Arial" w:eastAsia="Arial" w:hAnsi="Arial"/>
          <w:sz w:val="16"/>
          <w:szCs w:val="16"/>
          <w:u w:val="single" w:color="auto"/>
          <w:color w:val="auto"/>
        </w:rPr>
        <w:t>Section 13.04</w:t>
      </w:r>
      <w:r>
        <w:rPr>
          <w:rFonts w:ascii="Arial" w:cs="Arial" w:eastAsia="Arial" w:hAnsi="Arial"/>
          <w:sz w:val="16"/>
          <w:szCs w:val="16"/>
          <w:color w:val="auto"/>
        </w:rPr>
        <w:t xml:space="preserve"> are satisfied (hereinafter called “</w:t>
      </w:r>
      <w:r>
        <w:rPr>
          <w:rFonts w:ascii="Arial" w:cs="Arial" w:eastAsia="Arial" w:hAnsi="Arial"/>
          <w:sz w:val="16"/>
          <w:szCs w:val="16"/>
          <w:b w:val="1"/>
          <w:bCs w:val="1"/>
          <w:i w:val="1"/>
          <w:iCs w:val="1"/>
          <w:color w:val="auto"/>
        </w:rPr>
        <w:t>Defeasance</w:t>
      </w:r>
      <w:r>
        <w:rPr>
          <w:rFonts w:ascii="Arial" w:cs="Arial" w:eastAsia="Arial" w:hAnsi="Arial"/>
          <w:sz w:val="16"/>
          <w:szCs w:val="16"/>
          <w:color w:val="auto"/>
        </w:rPr>
        <w:t xml:space="preserve">”). For this purpose, such Defeasance means that the Company and the Guarantors of the Securities shall be deemed to have paid and discharged the entire indebtedness represented by such Securities and to have satisfied all their other respective obligations under such Securities and this Indenture insofar as such Securities or such Guarantees are concerned (and the Trustee, at the expense of the Company, shall execute proper instruments acknowledging the same), subject to the following which shall survive until otherwise terminated or discharged hereunder: (1) the rights of Holders of such Securities to receive, solely from the trust fund described in </w:t>
      </w:r>
      <w:r>
        <w:rPr>
          <w:rFonts w:ascii="Arial" w:cs="Arial" w:eastAsia="Arial" w:hAnsi="Arial"/>
          <w:sz w:val="16"/>
          <w:szCs w:val="16"/>
          <w:u w:val="single" w:color="auto"/>
          <w:color w:val="auto"/>
        </w:rPr>
        <w:t>Section 13.04(1)</w:t>
      </w:r>
      <w:r>
        <w:rPr>
          <w:rFonts w:ascii="Arial" w:cs="Arial" w:eastAsia="Arial" w:hAnsi="Arial"/>
          <w:sz w:val="16"/>
          <w:szCs w:val="16"/>
          <w:color w:val="auto"/>
        </w:rPr>
        <w:t xml:space="preserve"> and as more fully set forth in such Section, payments in respect of the principal of and any premium and interest on such Securities when payments are due, or, if applicable, to convert such Securities in accordance with their terms, (2) the obligations of the Company and the Guarantors of the Securities of such series with respect to such Securities under </w:t>
      </w:r>
      <w:r>
        <w:rPr>
          <w:rFonts w:ascii="Arial" w:cs="Arial" w:eastAsia="Arial" w:hAnsi="Arial"/>
          <w:sz w:val="16"/>
          <w:szCs w:val="16"/>
          <w:u w:val="single" w:color="auto"/>
          <w:color w:val="auto"/>
        </w:rPr>
        <w:t>Sections 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w:t>
      </w:r>
      <w:r>
        <w:rPr>
          <w:rFonts w:ascii="Arial" w:cs="Arial" w:eastAsia="Arial" w:hAnsi="Arial"/>
          <w:sz w:val="16"/>
          <w:szCs w:val="16"/>
          <w:u w:val="single" w:color="auto"/>
          <w:color w:val="auto"/>
        </w:rPr>
        <w:t>3.06</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10.03</w:t>
      </w:r>
      <w:r>
        <w:rPr>
          <w:rFonts w:ascii="Arial" w:cs="Arial" w:eastAsia="Arial" w:hAnsi="Arial"/>
          <w:sz w:val="16"/>
          <w:szCs w:val="16"/>
          <w:color w:val="auto"/>
        </w:rPr>
        <w:t xml:space="preserve">, and, if applicable, their obligations with respect to the conversion of such Securities, (3) the rights, powers, trusts, duties and immunities of the Trustee hereunder and (4) this Article. Subject to compliance with this Article, the Company may exercise its option (if any) to have this Section applied to any Securities notwithstanding the prior exercise of its option (if any) to have </w:t>
      </w:r>
      <w:r>
        <w:rPr>
          <w:rFonts w:ascii="Arial" w:cs="Arial" w:eastAsia="Arial" w:hAnsi="Arial"/>
          <w:sz w:val="16"/>
          <w:szCs w:val="16"/>
          <w:u w:val="single" w:color="auto"/>
          <w:color w:val="auto"/>
        </w:rPr>
        <w:t>Section 13.03</w:t>
      </w:r>
      <w:r>
        <w:rPr>
          <w:rFonts w:ascii="Arial" w:cs="Arial" w:eastAsia="Arial" w:hAnsi="Arial"/>
          <w:sz w:val="16"/>
          <w:szCs w:val="16"/>
          <w:color w:val="auto"/>
        </w:rPr>
        <w:t xml:space="preserve"> applied to such Securities. Upon the effectiveness of Defeasance with respect to any series of Securities, each Guarantor of the Securities of such series shall (except as provided in clause (2) of the next preceding sentence) be automatically and unconditionally released and discharged from all of its obligations under its Guarantee of the Securities of such series and all of its other obligations under this Indenture in respect of the Securities of such series, without any action by the Company, any Guarantor or the Trustee and without the consent of the Holders of any Securities.</w:t>
      </w:r>
    </w:p>
    <w:p>
      <w:pPr>
        <w:spacing w:after="0" w:line="17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Covenant Defeasance</w:t>
      </w:r>
      <w:r>
        <w:rPr>
          <w:rFonts w:ascii="Arial" w:cs="Arial" w:eastAsia="Arial" w:hAnsi="Arial"/>
          <w:sz w:val="18"/>
          <w:szCs w:val="18"/>
          <w:color w:val="auto"/>
        </w:rPr>
        <w:t xml:space="preserve">. Upon the Company’s exercise of its option (if any) to have this Section applied to any Securities or any series of Securities, as the case may be, (1) the Company shall be released from its obligations under Section 10.04 and any covenants provided pursuant to </w:t>
      </w:r>
      <w:r>
        <w:rPr>
          <w:rFonts w:ascii="Arial" w:cs="Arial" w:eastAsia="Arial" w:hAnsi="Arial"/>
          <w:sz w:val="18"/>
          <w:szCs w:val="18"/>
          <w:u w:val="single" w:color="auto"/>
          <w:color w:val="auto"/>
        </w:rPr>
        <w:t>Section 3.01(18)</w:t>
      </w:r>
      <w:r>
        <w:rPr>
          <w:rFonts w:ascii="Arial" w:cs="Arial" w:eastAsia="Arial" w:hAnsi="Arial"/>
          <w:sz w:val="18"/>
          <w:szCs w:val="18"/>
          <w:color w:val="auto"/>
        </w:rPr>
        <w:t xml:space="preserve">, </w:t>
      </w:r>
      <w:r>
        <w:rPr>
          <w:rFonts w:ascii="Arial" w:cs="Arial" w:eastAsia="Arial" w:hAnsi="Arial"/>
          <w:sz w:val="18"/>
          <w:szCs w:val="18"/>
          <w:u w:val="single" w:color="auto"/>
          <w:color w:val="auto"/>
        </w:rPr>
        <w:t>9.01(2)</w:t>
      </w:r>
      <w:r>
        <w:rPr>
          <w:rFonts w:ascii="Arial" w:cs="Arial" w:eastAsia="Arial" w:hAnsi="Arial"/>
          <w:sz w:val="18"/>
          <w:szCs w:val="18"/>
          <w:color w:val="auto"/>
        </w:rPr>
        <w:t xml:space="preserve">, </w:t>
      </w:r>
      <w:r>
        <w:rPr>
          <w:rFonts w:ascii="Arial" w:cs="Arial" w:eastAsia="Arial" w:hAnsi="Arial"/>
          <w:sz w:val="18"/>
          <w:szCs w:val="18"/>
          <w:u w:val="single" w:color="auto"/>
          <w:color w:val="auto"/>
        </w:rPr>
        <w:t>9.01(6)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9.01(7)</w:t>
      </w:r>
      <w:r>
        <w:rPr>
          <w:rFonts w:ascii="Arial" w:cs="Arial" w:eastAsia="Arial" w:hAnsi="Arial"/>
          <w:sz w:val="18"/>
          <w:szCs w:val="18"/>
          <w:color w:val="auto"/>
        </w:rPr>
        <w:t xml:space="preserve"> for the benefit of the Holders of such Securities, (2) the occurrence of any event specified in </w:t>
      </w:r>
      <w:r>
        <w:rPr>
          <w:rFonts w:ascii="Arial" w:cs="Arial" w:eastAsia="Arial" w:hAnsi="Arial"/>
          <w:sz w:val="18"/>
          <w:szCs w:val="18"/>
          <w:u w:val="single" w:color="auto"/>
          <w:color w:val="auto"/>
        </w:rPr>
        <w:t>Sections 5.01(4)</w:t>
      </w:r>
      <w:r>
        <w:rPr>
          <w:rFonts w:ascii="Arial" w:cs="Arial" w:eastAsia="Arial" w:hAnsi="Arial"/>
          <w:sz w:val="18"/>
          <w:szCs w:val="18"/>
          <w:color w:val="auto"/>
        </w:rPr>
        <w:t xml:space="preserve"> (with respect to Section 10.04 and any such covenants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270" w:right="279" w:bottom="1440" w:gutter="0" w:footer="0" w:header="0"/>
        </w:sectPr>
      </w:pPr>
    </w:p>
    <w:bookmarkStart w:id="210" w:name="page211"/>
    <w:bookmarkEnd w:id="210"/>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provided pursuant to </w:t>
      </w:r>
      <w:r>
        <w:rPr>
          <w:rFonts w:ascii="Arial" w:cs="Arial" w:eastAsia="Arial" w:hAnsi="Arial"/>
          <w:sz w:val="17"/>
          <w:szCs w:val="17"/>
          <w:u w:val="single" w:color="auto"/>
          <w:color w:val="auto"/>
        </w:rPr>
        <w:t>Section 3.01(18)</w:t>
      </w:r>
      <w:r>
        <w:rPr>
          <w:rFonts w:ascii="Arial" w:cs="Arial" w:eastAsia="Arial" w:hAnsi="Arial"/>
          <w:sz w:val="17"/>
          <w:szCs w:val="17"/>
          <w:color w:val="auto"/>
        </w:rPr>
        <w:t xml:space="preserve">, </w:t>
      </w:r>
      <w:r>
        <w:rPr>
          <w:rFonts w:ascii="Arial" w:cs="Arial" w:eastAsia="Arial" w:hAnsi="Arial"/>
          <w:sz w:val="17"/>
          <w:szCs w:val="17"/>
          <w:u w:val="single" w:color="auto"/>
          <w:color w:val="auto"/>
        </w:rPr>
        <w:t>9.01(2)</w:t>
      </w:r>
      <w:r>
        <w:rPr>
          <w:rFonts w:ascii="Arial" w:cs="Arial" w:eastAsia="Arial" w:hAnsi="Arial"/>
          <w:sz w:val="17"/>
          <w:szCs w:val="17"/>
          <w:color w:val="auto"/>
        </w:rPr>
        <w:t xml:space="preserve">, </w:t>
      </w:r>
      <w:r>
        <w:rPr>
          <w:rFonts w:ascii="Arial" w:cs="Arial" w:eastAsia="Arial" w:hAnsi="Arial"/>
          <w:sz w:val="17"/>
          <w:szCs w:val="17"/>
          <w:u w:val="single" w:color="auto"/>
          <w:color w:val="auto"/>
        </w:rPr>
        <w:t>9.01(6)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9.01(7))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5.01(8)</w:t>
      </w:r>
      <w:r>
        <w:rPr>
          <w:rFonts w:ascii="Arial" w:cs="Arial" w:eastAsia="Arial" w:hAnsi="Arial"/>
          <w:sz w:val="17"/>
          <w:szCs w:val="17"/>
          <w:color w:val="auto"/>
        </w:rPr>
        <w:t xml:space="preserve"> shall be deemed not to be or result in an Event of Default and (3) and the provisions of </w:t>
      </w:r>
      <w:r>
        <w:rPr>
          <w:rFonts w:ascii="Arial" w:cs="Arial" w:eastAsia="Arial" w:hAnsi="Arial"/>
          <w:sz w:val="17"/>
          <w:szCs w:val="17"/>
          <w:u w:val="single" w:color="auto"/>
          <w:color w:val="auto"/>
        </w:rPr>
        <w:t>Article XV</w:t>
      </w:r>
      <w:r>
        <w:rPr>
          <w:rFonts w:ascii="Arial" w:cs="Arial" w:eastAsia="Arial" w:hAnsi="Arial"/>
          <w:sz w:val="17"/>
          <w:szCs w:val="17"/>
          <w:color w:val="auto"/>
        </w:rPr>
        <w:t xml:space="preserve"> (and the provisions of the last paragraph of </w:t>
      </w:r>
      <w:r>
        <w:rPr>
          <w:rFonts w:ascii="Arial" w:cs="Arial" w:eastAsia="Arial" w:hAnsi="Arial"/>
          <w:sz w:val="17"/>
          <w:szCs w:val="17"/>
          <w:u w:val="single" w:color="auto"/>
          <w:color w:val="auto"/>
        </w:rPr>
        <w:t>Section 14.01</w:t>
      </w:r>
      <w:r>
        <w:rPr>
          <w:rFonts w:ascii="Arial" w:cs="Arial" w:eastAsia="Arial" w:hAnsi="Arial"/>
          <w:sz w:val="17"/>
          <w:szCs w:val="17"/>
          <w:color w:val="auto"/>
        </w:rPr>
        <w:t xml:space="preserve">) shall cease to be effective, in each case with respect to such Securities as provided in this Section on and after the date the conditions set forth in </w:t>
      </w:r>
      <w:r>
        <w:rPr>
          <w:rFonts w:ascii="Arial" w:cs="Arial" w:eastAsia="Arial" w:hAnsi="Arial"/>
          <w:sz w:val="17"/>
          <w:szCs w:val="17"/>
          <w:u w:val="single" w:color="auto"/>
          <w:color w:val="auto"/>
        </w:rPr>
        <w:t>Section 13.04</w:t>
      </w:r>
      <w:r>
        <w:rPr>
          <w:rFonts w:ascii="Arial" w:cs="Arial" w:eastAsia="Arial" w:hAnsi="Arial"/>
          <w:sz w:val="17"/>
          <w:szCs w:val="17"/>
          <w:color w:val="auto"/>
        </w:rPr>
        <w:t xml:space="preserve"> are satisfied (hereinafter called “</w:t>
      </w:r>
      <w:r>
        <w:rPr>
          <w:rFonts w:ascii="Arial" w:cs="Arial" w:eastAsia="Arial" w:hAnsi="Arial"/>
          <w:sz w:val="17"/>
          <w:szCs w:val="17"/>
          <w:b w:val="1"/>
          <w:bCs w:val="1"/>
          <w:i w:val="1"/>
          <w:iCs w:val="1"/>
          <w:color w:val="auto"/>
        </w:rPr>
        <w:t>Covenant Defeasance</w:t>
      </w:r>
      <w:r>
        <w:rPr>
          <w:rFonts w:ascii="Arial" w:cs="Arial" w:eastAsia="Arial" w:hAnsi="Arial"/>
          <w:sz w:val="17"/>
          <w:szCs w:val="17"/>
          <w:color w:val="auto"/>
        </w:rPr>
        <w:t xml:space="preserve">”). For this purpose, such Covenant Defeasance means that, with respect to such Securities, the Company and any Guarantor may omit to comply with and shall have no liability in respect of any term, condition or limitation set forth in any such specified Section (to the extent so specified in the case of </w:t>
      </w:r>
      <w:r>
        <w:rPr>
          <w:rFonts w:ascii="Arial" w:cs="Arial" w:eastAsia="Arial" w:hAnsi="Arial"/>
          <w:sz w:val="17"/>
          <w:szCs w:val="17"/>
          <w:u w:val="single" w:color="auto"/>
          <w:color w:val="auto"/>
        </w:rPr>
        <w:t>Section 5.01(4))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XV</w:t>
      </w:r>
      <w:r>
        <w:rPr>
          <w:rFonts w:ascii="Arial" w:cs="Arial" w:eastAsia="Arial" w:hAnsi="Arial"/>
          <w:sz w:val="17"/>
          <w:szCs w:val="17"/>
          <w:color w:val="auto"/>
        </w:rPr>
        <w:t xml:space="preserve"> or the last paragraph of </w:t>
      </w:r>
      <w:r>
        <w:rPr>
          <w:rFonts w:ascii="Arial" w:cs="Arial" w:eastAsia="Arial" w:hAnsi="Arial"/>
          <w:sz w:val="17"/>
          <w:szCs w:val="17"/>
          <w:u w:val="single" w:color="auto"/>
          <w:color w:val="auto"/>
        </w:rPr>
        <w:t>Section 14.01</w:t>
      </w:r>
      <w:r>
        <w:rPr>
          <w:rFonts w:ascii="Arial" w:cs="Arial" w:eastAsia="Arial" w:hAnsi="Arial"/>
          <w:sz w:val="17"/>
          <w:szCs w:val="17"/>
          <w:color w:val="auto"/>
        </w:rPr>
        <w:t>, whether directly or indirectly by reason of any reference elsewhere herein to any such Section or by reason of any reference in any such Section to any other provision herein or in any other document, but the remainder of this Indenture and such Securities and any Guarantees thereof shall be unaffected thereby.</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13.04. </w:t>
      </w:r>
      <w:r>
        <w:rPr>
          <w:rFonts w:ascii="Arial" w:cs="Arial" w:eastAsia="Arial" w:hAnsi="Arial"/>
          <w:sz w:val="17"/>
          <w:szCs w:val="17"/>
          <w:u w:val="single" w:color="auto"/>
          <w:color w:val="auto"/>
        </w:rPr>
        <w:t>Conditions to Defeasance or Covenant Defeasance</w:t>
      </w:r>
      <w:r>
        <w:rPr>
          <w:rFonts w:ascii="Arial" w:cs="Arial" w:eastAsia="Arial" w:hAnsi="Arial"/>
          <w:sz w:val="17"/>
          <w:szCs w:val="17"/>
          <w:color w:val="auto"/>
        </w:rPr>
        <w:t xml:space="preserve">. The following shall be the conditions to the application of </w:t>
      </w:r>
      <w:r>
        <w:rPr>
          <w:rFonts w:ascii="Arial" w:cs="Arial" w:eastAsia="Arial" w:hAnsi="Arial"/>
          <w:sz w:val="17"/>
          <w:szCs w:val="17"/>
          <w:u w:val="single" w:color="auto"/>
          <w:color w:val="auto"/>
        </w:rPr>
        <w:t>Section 13.02</w:t>
      </w:r>
      <w:r>
        <w:rPr>
          <w:rFonts w:ascii="Arial" w:cs="Arial" w:eastAsia="Arial" w:hAnsi="Arial"/>
          <w:sz w:val="17"/>
          <w:szCs w:val="17"/>
          <w:color w:val="auto"/>
        </w:rPr>
        <w:t xml:space="preserve">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13.03</w:t>
      </w:r>
      <w:r>
        <w:rPr>
          <w:rFonts w:ascii="Arial" w:cs="Arial" w:eastAsia="Arial" w:hAnsi="Arial"/>
          <w:sz w:val="18"/>
          <w:szCs w:val="18"/>
          <w:color w:val="auto"/>
        </w:rPr>
        <w:t xml:space="preserve"> to any Securities or any series of Securities, as the case may be:</w:t>
      </w:r>
    </w:p>
    <w:p>
      <w:pPr>
        <w:spacing w:after="0" w:line="103" w:lineRule="exact"/>
        <w:rPr>
          <w:sz w:val="20"/>
          <w:szCs w:val="20"/>
          <w:color w:val="auto"/>
        </w:rPr>
      </w:pPr>
    </w:p>
    <w:p>
      <w:pPr>
        <w:ind w:left="460" w:firstLine="443"/>
        <w:spacing w:after="0" w:line="285" w:lineRule="auto"/>
        <w:tabs>
          <w:tab w:leader="none" w:pos="1153"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The Company shall irrevocably have deposited or caused to be deposited with the Trustee (or another trustee which satisfies the requirements contemplated by </w:t>
      </w:r>
      <w:r>
        <w:rPr>
          <w:rFonts w:ascii="Arial" w:cs="Arial" w:eastAsia="Arial" w:hAnsi="Arial"/>
          <w:sz w:val="16"/>
          <w:szCs w:val="16"/>
          <w:u w:val="single" w:color="auto"/>
          <w:color w:val="auto"/>
        </w:rPr>
        <w:t>Section 6.09</w:t>
      </w:r>
      <w:r>
        <w:rPr>
          <w:rFonts w:ascii="Arial" w:cs="Arial" w:eastAsia="Arial" w:hAnsi="Arial"/>
          <w:sz w:val="16"/>
          <w:szCs w:val="16"/>
          <w:color w:val="auto"/>
        </w:rPr>
        <w:t xml:space="preserve"> and agrees to comply with the provisions of this Article applicable to it) as trust funds in trust for the purpose of making the following payments, specifically pledged as security for, and dedicated solely to, the benefits of the Holders of such Securities, (A) money in an amount, or (B) U.S. Government Obligations which through the scheduled payment of principal and interest in respect thereof in accordance with their terms will provide, not later than one day before the due date of any payment, money in an amount, or (C) such other obligations or arrangements as may be specified as contemplated by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with respect to such Securities, or (D) a combination thereof, in each case sufficient,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 As used herein, “</w:t>
      </w:r>
      <w:r>
        <w:rPr>
          <w:rFonts w:ascii="Arial" w:cs="Arial" w:eastAsia="Arial" w:hAnsi="Arial"/>
          <w:sz w:val="16"/>
          <w:szCs w:val="16"/>
          <w:b w:val="1"/>
          <w:bCs w:val="1"/>
          <w:i w:val="1"/>
          <w:iCs w:val="1"/>
          <w:color w:val="auto"/>
        </w:rPr>
        <w:t>U.S.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Government Obligation</w:t>
      </w:r>
      <w:r>
        <w:rPr>
          <w:rFonts w:ascii="Arial" w:cs="Arial" w:eastAsia="Arial" w:hAnsi="Arial"/>
          <w:sz w:val="16"/>
          <w:szCs w:val="16"/>
          <w:color w:val="auto"/>
        </w:rPr>
        <w:t>” means (x) any security which is (i) a direct obligation of the United States of America for the payment of which the full faith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274" w:right="279" w:bottom="1440" w:gutter="0" w:footer="0" w:header="0"/>
        </w:sectPr>
      </w:pPr>
    </w:p>
    <w:bookmarkStart w:id="211" w:name="page212"/>
    <w:bookmarkEnd w:id="211"/>
    <w:p>
      <w:pPr>
        <w:ind w:right="40" w:firstLine="443"/>
        <w:spacing w:after="0" w:line="288" w:lineRule="auto"/>
        <w:tabs>
          <w:tab w:leader="none" w:pos="693" w:val="left"/>
        </w:tabs>
        <w:numPr>
          <w:ilvl w:val="1"/>
          <w:numId w:val="1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the event of an election to have </w:t>
      </w:r>
      <w:r>
        <w:rPr>
          <w:rFonts w:ascii="Arial" w:cs="Arial" w:eastAsia="Arial" w:hAnsi="Arial"/>
          <w:sz w:val="16"/>
          <w:szCs w:val="16"/>
          <w:u w:val="single" w:color="auto"/>
          <w:color w:val="auto"/>
        </w:rPr>
        <w:t>Section 13.02</w:t>
      </w:r>
      <w:r>
        <w:rPr>
          <w:rFonts w:ascii="Arial" w:cs="Arial" w:eastAsia="Arial" w:hAnsi="Arial"/>
          <w:sz w:val="16"/>
          <w:szCs w:val="16"/>
          <w:color w:val="auto"/>
        </w:rPr>
        <w:t xml:space="preserve">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instrument, there has been a change in the applicable Federal income tax law, in either case (A) or</w:t>
      </w:r>
    </w:p>
    <w:p>
      <w:pPr>
        <w:ind w:right="160" w:firstLine="4"/>
        <w:spacing w:after="0" w:line="254" w:lineRule="auto"/>
        <w:tabs>
          <w:tab w:leader="none" w:pos="28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81" w:lineRule="exact"/>
        <w:rPr>
          <w:rFonts w:ascii="Arial" w:cs="Arial" w:eastAsia="Arial" w:hAnsi="Arial"/>
          <w:sz w:val="18"/>
          <w:szCs w:val="18"/>
          <w:color w:val="auto"/>
        </w:rPr>
      </w:pPr>
    </w:p>
    <w:p>
      <w:pPr>
        <w:ind w:right="80" w:firstLine="443"/>
        <w:spacing w:after="0" w:line="302" w:lineRule="auto"/>
        <w:tabs>
          <w:tab w:leader="none" w:pos="693" w:val="left"/>
        </w:tabs>
        <w:numPr>
          <w:ilvl w:val="1"/>
          <w:numId w:val="155"/>
        </w:numPr>
        <w:rPr>
          <w:rFonts w:ascii="Arial" w:cs="Arial" w:eastAsia="Arial" w:hAnsi="Arial"/>
          <w:sz w:val="16"/>
          <w:szCs w:val="16"/>
          <w:color w:val="auto"/>
        </w:rPr>
      </w:pPr>
      <w:r>
        <w:rPr>
          <w:rFonts w:ascii="Arial" w:cs="Arial" w:eastAsia="Arial" w:hAnsi="Arial"/>
          <w:sz w:val="16"/>
          <w:szCs w:val="16"/>
          <w:color w:val="auto"/>
        </w:rPr>
        <w:t xml:space="preserve">In the event of an election to have </w:t>
      </w:r>
      <w:r>
        <w:rPr>
          <w:rFonts w:ascii="Arial" w:cs="Arial" w:eastAsia="Arial" w:hAnsi="Arial"/>
          <w:sz w:val="16"/>
          <w:szCs w:val="16"/>
          <w:u w:val="single" w:color="auto"/>
          <w:color w:val="auto"/>
        </w:rPr>
        <w:t>Section 13.03</w:t>
      </w:r>
      <w:r>
        <w:rPr>
          <w:rFonts w:ascii="Arial" w:cs="Arial" w:eastAsia="Arial" w:hAnsi="Arial"/>
          <w:sz w:val="16"/>
          <w:szCs w:val="16"/>
          <w:color w:val="auto"/>
        </w:rPr>
        <w:t xml:space="preserve">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46" w:lineRule="exact"/>
        <w:rPr>
          <w:rFonts w:ascii="Arial" w:cs="Arial" w:eastAsia="Arial" w:hAnsi="Arial"/>
          <w:sz w:val="16"/>
          <w:szCs w:val="16"/>
          <w:color w:val="auto"/>
        </w:rPr>
      </w:pPr>
    </w:p>
    <w:p>
      <w:pPr>
        <w:ind w:right="160" w:firstLine="443"/>
        <w:spacing w:after="0" w:line="277" w:lineRule="auto"/>
        <w:tabs>
          <w:tab w:leader="none" w:pos="69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62" w:lineRule="exact"/>
        <w:rPr>
          <w:rFonts w:ascii="Arial" w:cs="Arial" w:eastAsia="Arial" w:hAnsi="Arial"/>
          <w:sz w:val="18"/>
          <w:szCs w:val="18"/>
          <w:color w:val="auto"/>
        </w:rPr>
      </w:pPr>
    </w:p>
    <w:p>
      <w:pPr>
        <w:jc w:val="both"/>
        <w:ind w:right="20" w:firstLine="443"/>
        <w:spacing w:after="0" w:line="259" w:lineRule="auto"/>
        <w:tabs>
          <w:tab w:leader="none" w:pos="69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No event which is, or after notice or lapse of time or both would become, an Event of Default with respect to such Securities or any other Securities (other than such an event or Event of Default with respect to such Securities resulting solely from the incurrence of indebtedness or other borrowing of funds, or the grant of liens securing such indebtedness or other borrowing, all or a portion of which are to be applied to such deposit) shall have occurred and be continuing at the time of such deposit.</w:t>
      </w:r>
    </w:p>
    <w:p>
      <w:pPr>
        <w:spacing w:after="0" w:line="78" w:lineRule="exact"/>
        <w:rPr>
          <w:rFonts w:ascii="Arial" w:cs="Arial" w:eastAsia="Arial" w:hAnsi="Arial"/>
          <w:sz w:val="18"/>
          <w:szCs w:val="18"/>
          <w:color w:val="auto"/>
        </w:rPr>
      </w:pPr>
    </w:p>
    <w:p>
      <w:pPr>
        <w:ind w:right="360" w:firstLine="443"/>
        <w:spacing w:after="0" w:line="342" w:lineRule="auto"/>
        <w:tabs>
          <w:tab w:leader="none" w:pos="693" w:val="left"/>
        </w:tabs>
        <w:numPr>
          <w:ilvl w:val="1"/>
          <w:numId w:val="155"/>
        </w:numPr>
        <w:rPr>
          <w:rFonts w:ascii="Arial" w:cs="Arial" w:eastAsia="Arial" w:hAnsi="Arial"/>
          <w:sz w:val="16"/>
          <w:szCs w:val="16"/>
          <w:color w:val="auto"/>
        </w:rPr>
      </w:pPr>
      <w:r>
        <w:rPr>
          <w:rFonts w:ascii="Arial" w:cs="Arial" w:eastAsia="Arial" w:hAnsi="Arial"/>
          <w:sz w:val="16"/>
          <w:szCs w:val="16"/>
          <w:color w:val="auto"/>
        </w:rPr>
        <w:t>Such Defeasance or Covenant Defeasance shall not result in a breach or violation of, or constitute a default under, any other agreement or instrument (other than this Indenture insofar as such Securities are concerned) to which the Company is a party or by which it is bound.</w:t>
      </w:r>
    </w:p>
    <w:p>
      <w:pPr>
        <w:spacing w:after="0" w:line="15" w:lineRule="exact"/>
        <w:rPr>
          <w:rFonts w:ascii="Arial" w:cs="Arial" w:eastAsia="Arial" w:hAnsi="Arial"/>
          <w:sz w:val="16"/>
          <w:szCs w:val="16"/>
          <w:color w:val="auto"/>
        </w:rPr>
      </w:pPr>
    </w:p>
    <w:p>
      <w:pPr>
        <w:ind w:right="440" w:firstLine="443"/>
        <w:spacing w:after="0" w:line="264" w:lineRule="auto"/>
        <w:tabs>
          <w:tab w:leader="none" w:pos="69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preferring the Holders of such Securities over the other creditors of the Company or with the intent of defeating, hindering, delaying or defrauding creditors of the Company.</w:t>
      </w:r>
    </w:p>
    <w:p>
      <w:pPr>
        <w:spacing w:after="0" w:line="73" w:lineRule="exact"/>
        <w:rPr>
          <w:rFonts w:ascii="Arial" w:cs="Arial" w:eastAsia="Arial" w:hAnsi="Arial"/>
          <w:sz w:val="18"/>
          <w:szCs w:val="18"/>
          <w:color w:val="auto"/>
        </w:rPr>
      </w:pPr>
    </w:p>
    <w:p>
      <w:pPr>
        <w:ind w:firstLine="443"/>
        <w:spacing w:after="0" w:line="277" w:lineRule="auto"/>
        <w:tabs>
          <w:tab w:leader="none" w:pos="69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60"/>
          </w:cols>
          <w:pgMar w:left="700" w:top="274" w:right="239" w:bottom="1440" w:gutter="0" w:footer="0" w:header="0"/>
        </w:sectPr>
      </w:pPr>
    </w:p>
    <w:bookmarkStart w:id="212" w:name="page213"/>
    <w:bookmarkEnd w:id="212"/>
    <w:p>
      <w:pPr>
        <w:ind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13.05. </w:t>
      </w:r>
      <w:r>
        <w:rPr>
          <w:rFonts w:ascii="Arial" w:cs="Arial" w:eastAsia="Arial" w:hAnsi="Arial"/>
          <w:sz w:val="17"/>
          <w:szCs w:val="17"/>
          <w:u w:val="single" w:color="auto"/>
          <w:color w:val="auto"/>
        </w:rPr>
        <w:t>Deposited Money and U.S. Government Obligations to Be Held in Trust; Miscellaneous Provisions</w:t>
      </w:r>
      <w:r>
        <w:rPr>
          <w:rFonts w:ascii="Arial" w:cs="Arial" w:eastAsia="Arial" w:hAnsi="Arial"/>
          <w:sz w:val="17"/>
          <w:szCs w:val="17"/>
          <w:color w:val="auto"/>
        </w:rPr>
        <w:t xml:space="preserve">. Subject to the provisions of the last paragraph of </w:t>
      </w:r>
      <w:r>
        <w:rPr>
          <w:rFonts w:ascii="Arial" w:cs="Arial" w:eastAsia="Arial" w:hAnsi="Arial"/>
          <w:sz w:val="17"/>
          <w:szCs w:val="17"/>
          <w:u w:val="single" w:color="auto"/>
          <w:color w:val="auto"/>
        </w:rPr>
        <w:t>Section 10.03</w:t>
      </w:r>
      <w:r>
        <w:rPr>
          <w:rFonts w:ascii="Arial" w:cs="Arial" w:eastAsia="Arial" w:hAnsi="Arial"/>
          <w:sz w:val="17"/>
          <w:szCs w:val="17"/>
          <w:color w:val="auto"/>
        </w:rPr>
        <w:t xml:space="preserve">, all money and U.S. Government Obligations (including the proceeds thereof) deposited with the Trustee or other qualifying trustee (solely for purposes of this Section and </w:t>
      </w:r>
      <w:r>
        <w:rPr>
          <w:rFonts w:ascii="Arial" w:cs="Arial" w:eastAsia="Arial" w:hAnsi="Arial"/>
          <w:sz w:val="17"/>
          <w:szCs w:val="17"/>
          <w:u w:val="single" w:color="auto"/>
          <w:color w:val="auto"/>
        </w:rPr>
        <w:t>Section 13.06</w:t>
      </w:r>
      <w:r>
        <w:rPr>
          <w:rFonts w:ascii="Arial" w:cs="Arial" w:eastAsia="Arial" w:hAnsi="Arial"/>
          <w:sz w:val="17"/>
          <w:szCs w:val="17"/>
          <w:color w:val="auto"/>
        </w:rPr>
        <w:t>, the Trustee and any such other trustee are referred to collectively as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 xml:space="preserve">”) pursuant to </w:t>
      </w:r>
      <w:r>
        <w:rPr>
          <w:rFonts w:ascii="Arial" w:cs="Arial" w:eastAsia="Arial" w:hAnsi="Arial"/>
          <w:sz w:val="17"/>
          <w:szCs w:val="17"/>
          <w:u w:val="single" w:color="auto"/>
          <w:color w:val="auto"/>
        </w:rPr>
        <w:t>Section 13.04</w:t>
      </w:r>
      <w:r>
        <w:rPr>
          <w:rFonts w:ascii="Arial" w:cs="Arial" w:eastAsia="Arial" w:hAnsi="Arial"/>
          <w:sz w:val="17"/>
          <w:szCs w:val="17"/>
          <w:color w:val="auto"/>
        </w:rPr>
        <w:t xml:space="preserve"> in respect of any Securities shall be held in trust and applied by the Trustee, in accordance with the provisions of such Securities and this Indenture, to the payment, either directly or through any such Paying Agent (including the Company acting as its own Paying Agent or any Guarantor of the Securities of the applicable series or any Subsidiary or Affiliate of the Company or any such Guarantor acting as Paying Agent) as the Trustee may determine, to the Holders of such Securities, of all sums due and to become due thereon in respect of principal and any premium and interest, but money and U.S. Government Obligations so held in trust need not be segregated from other funds except to the extent required by law. Money and U.S. Government Obligations (including the proceeds thereof) so held in trust shall not be subject to the provisions of </w:t>
      </w:r>
      <w:r>
        <w:rPr>
          <w:rFonts w:ascii="Arial" w:cs="Arial" w:eastAsia="Arial" w:hAnsi="Arial"/>
          <w:sz w:val="17"/>
          <w:szCs w:val="17"/>
          <w:u w:val="single" w:color="auto"/>
          <w:color w:val="auto"/>
        </w:rPr>
        <w:t>Article XV</w:t>
      </w:r>
      <w:r>
        <w:rPr>
          <w:rFonts w:ascii="Arial" w:cs="Arial" w:eastAsia="Arial" w:hAnsi="Arial"/>
          <w:sz w:val="17"/>
          <w:szCs w:val="17"/>
          <w:color w:val="auto"/>
        </w:rPr>
        <w:t xml:space="preserve">, provided that the applicable conditions of </w:t>
      </w:r>
      <w:r>
        <w:rPr>
          <w:rFonts w:ascii="Arial" w:cs="Arial" w:eastAsia="Arial" w:hAnsi="Arial"/>
          <w:sz w:val="17"/>
          <w:szCs w:val="17"/>
          <w:u w:val="single" w:color="auto"/>
          <w:color w:val="auto"/>
        </w:rPr>
        <w:t>Section 13.04</w:t>
      </w:r>
      <w:r>
        <w:rPr>
          <w:rFonts w:ascii="Arial" w:cs="Arial" w:eastAsia="Arial" w:hAnsi="Arial"/>
          <w:sz w:val="17"/>
          <w:szCs w:val="17"/>
          <w:color w:val="auto"/>
        </w:rPr>
        <w:t xml:space="preserve"> have been satisfied.</w:t>
      </w:r>
    </w:p>
    <w:p>
      <w:pPr>
        <w:spacing w:after="0" w:line="17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The Company shall pay and indemnify the Trustee against any tax, fee or other charge imposed on or assessed against the U.S. Government Obligations deposited pursuant to </w:t>
      </w:r>
      <w:r>
        <w:rPr>
          <w:rFonts w:ascii="Arial" w:cs="Arial" w:eastAsia="Arial" w:hAnsi="Arial"/>
          <w:sz w:val="18"/>
          <w:szCs w:val="18"/>
          <w:u w:val="single" w:color="auto"/>
          <w:color w:val="auto"/>
        </w:rPr>
        <w:t>Section 13.04</w:t>
      </w:r>
      <w:r>
        <w:rPr>
          <w:rFonts w:ascii="Arial" w:cs="Arial" w:eastAsia="Arial" w:hAnsi="Arial"/>
          <w:sz w:val="18"/>
          <w:szCs w:val="18"/>
          <w:color w:val="auto"/>
        </w:rPr>
        <w:t xml:space="preserve"> or the principal and interest received in respect thereof other than any such tax, fee or other charge which by law is for the account of the Holders of Outstanding Securities.</w:t>
      </w:r>
    </w:p>
    <w:p>
      <w:pPr>
        <w:spacing w:after="0" w:line="18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 xml:space="preserve">Anything in this Article to the contrary notwithstanding, the Trustee shall deliver or pay to the Company from time to time upon Company Request any money or U.S. Government Obligations held by it as provided in </w:t>
      </w:r>
      <w:r>
        <w:rPr>
          <w:rFonts w:ascii="Arial" w:cs="Arial" w:eastAsia="Arial" w:hAnsi="Arial"/>
          <w:sz w:val="16"/>
          <w:szCs w:val="16"/>
          <w:u w:val="single" w:color="auto"/>
          <w:color w:val="auto"/>
        </w:rPr>
        <w:t>Section 13.04</w:t>
      </w:r>
      <w:r>
        <w:rPr>
          <w:rFonts w:ascii="Arial" w:cs="Arial" w:eastAsia="Arial" w:hAnsi="Arial"/>
          <w:sz w:val="16"/>
          <w:szCs w:val="16"/>
          <w:color w:val="auto"/>
        </w:rPr>
        <w:t xml:space="preserve">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15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13.06. </w:t>
      </w:r>
      <w:r>
        <w:rPr>
          <w:rFonts w:ascii="Arial" w:cs="Arial" w:eastAsia="Arial" w:hAnsi="Arial"/>
          <w:sz w:val="16"/>
          <w:szCs w:val="16"/>
          <w:u w:val="single" w:color="auto"/>
          <w:color w:val="auto"/>
        </w:rPr>
        <w:t>Reinstatement</w:t>
      </w:r>
      <w:r>
        <w:rPr>
          <w:rFonts w:ascii="Arial" w:cs="Arial" w:eastAsia="Arial" w:hAnsi="Arial"/>
          <w:sz w:val="16"/>
          <w:szCs w:val="16"/>
          <w:color w:val="auto"/>
        </w:rPr>
        <w:t xml:space="preserve">. If the Trustee or the Paying Agent is unable to apply any money in accordance with this Article with respect to any Securities by reason of any order or judgment of any court or governmental authority enjoining, restraining or otherwise prohibiting such application, then the respective obligations under this Indenture and such Securities and, if applicable, Guarantees of such Securities from which the Company and the applicable Guarantors have been discharged or released pursuant to </w:t>
      </w:r>
      <w:r>
        <w:rPr>
          <w:rFonts w:ascii="Arial" w:cs="Arial" w:eastAsia="Arial" w:hAnsi="Arial"/>
          <w:sz w:val="16"/>
          <w:szCs w:val="16"/>
          <w:u w:val="single" w:color="auto"/>
          <w:color w:val="auto"/>
        </w:rPr>
        <w:t>Section 13.02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13.03</w:t>
      </w:r>
      <w:r>
        <w:rPr>
          <w:rFonts w:ascii="Arial" w:cs="Arial" w:eastAsia="Arial" w:hAnsi="Arial"/>
          <w:sz w:val="16"/>
          <w:szCs w:val="16"/>
          <w:color w:val="auto"/>
        </w:rPr>
        <w:t xml:space="preserve"> shall be revived and reinstated as though no deposit had occurred pursuant to this Article with respect to such Securities, until such time as the Trustee or Paying Agent is permitted to apply all money held in trust pursuant to</w:t>
      </w:r>
    </w:p>
    <w:p>
      <w:pPr>
        <w:spacing w:after="0" w:line="2"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u w:val="single" w:color="auto"/>
          <w:color w:val="auto"/>
        </w:rPr>
        <w:t>Section 13.05</w:t>
      </w:r>
      <w:r>
        <w:rPr>
          <w:rFonts w:ascii="Arial" w:cs="Arial" w:eastAsia="Arial" w:hAnsi="Arial"/>
          <w:sz w:val="16"/>
          <w:szCs w:val="16"/>
          <w:color w:val="auto"/>
        </w:rPr>
        <w:t xml:space="preserve"> with respect to such Securities in accordance with this Article;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Company or any Guarantor makes any payment of principal of or any premium or interest on any such Security following such reinstatement of its obligations, the Company or such Guarantor, as the case may be, shall be subrogated to the rights (if any) of the Holders of such Securities to receive such payment from the money so held in trust.</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74" w:right="259" w:bottom="1440" w:gutter="0" w:footer="0" w:header="0"/>
        </w:sectPr>
      </w:pPr>
    </w:p>
    <w:bookmarkStart w:id="213" w:name="page214"/>
    <w:bookmarkEnd w:id="213"/>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XIV</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GUARANTEES</w:t>
      </w:r>
    </w:p>
    <w:p>
      <w:pPr>
        <w:spacing w:after="0" w:line="2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Guarantees</w:t>
      </w:r>
      <w:r>
        <w:rPr>
          <w:rFonts w:ascii="Arial" w:cs="Arial" w:eastAsia="Arial" w:hAnsi="Arial"/>
          <w:sz w:val="18"/>
          <w:szCs w:val="18"/>
          <w:color w:val="auto"/>
        </w:rPr>
        <w:t xml:space="preserve">. Securities of any series that are to be guaranteed by the Guarantees of any Guarantors shall be guaranteed by such Guarantors as shall be established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with respect to the Securities of such series. The Persons who shall initially be the Guarantors of the Securities of any such series may, but need not, include any or all of the Initial Guarantors and may include any and all such other Persons as the Company may determine;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prior to the authentication and delivery upon original issuance of Securities that are to be guaranteed by a Person that is not an Initial Guarantor, the Company, the Trustee and such Person shall enter into a supplemental indenture pursuant to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hereof whereby such Person shall become a Guarantor under this Indenture.</w:t>
      </w:r>
    </w:p>
    <w:p>
      <w:pPr>
        <w:spacing w:after="0" w:line="193" w:lineRule="exact"/>
        <w:rPr>
          <w:sz w:val="20"/>
          <w:szCs w:val="20"/>
          <w:color w:val="auto"/>
        </w:rPr>
      </w:pPr>
    </w:p>
    <w:p>
      <w:pPr>
        <w:jc w:val="both"/>
        <w:ind w:right="640" w:firstLine="456"/>
        <w:spacing w:after="0" w:line="286" w:lineRule="auto"/>
        <w:rPr>
          <w:sz w:val="20"/>
          <w:szCs w:val="20"/>
          <w:color w:val="auto"/>
        </w:rPr>
      </w:pPr>
      <w:r>
        <w:rPr>
          <w:rFonts w:ascii="Arial" w:cs="Arial" w:eastAsia="Arial" w:hAnsi="Arial"/>
          <w:sz w:val="17"/>
          <w:szCs w:val="17"/>
          <w:color w:val="auto"/>
        </w:rPr>
        <w:t xml:space="preserve">Securities of any series that are to be guaranteed by the Guarantees of any Guarantors shall be guaranteed in accordance with the terms of such Guarantees as established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with respect to such Securities and such Guarantees thereof and (except as otherwise specified as contemplated by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for such Securities and such Guarantees thereof) in accordance with this Article.</w:t>
      </w:r>
    </w:p>
    <w:p>
      <w:pPr>
        <w:spacing w:after="0" w:line="16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Each Guarantor of any Security hereby fully and unconditionally guarantees to each Holder of such Security, and to the Trustee on behalf of such Holder, the due and punctual payment of the principal of, and premium, if any, and interest, if any, on such Security when and as the same shall become due and payable, whether at the Stated Maturity, by declaration of acceleration, call for redemption or otherwise, in accordance with the terms of such Security and of this Indenture. In case of the failure of the Company punctually to make any such payment, such Guarantor hereby agrees to cause such payment to be made punctually when and as the same shall become due and payable, whether at the Stated Maturity or by declaration of acceleration, call for redemption or otherwise, and as if such payment were made by the Company.</w:t>
      </w:r>
    </w:p>
    <w:p>
      <w:pPr>
        <w:spacing w:after="0" w:line="19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The Guarantor of any Security hereby agrees that its obligations hereunder shall be absolute and unconditional irrespective of, and shall be unaffected by, any invalidity, irregularity or unenforceability of such Security or this Indenture, any failure to enforce the provisions of such Security or this Indenture, or any waiver, modification or indulgence granted to the Company with respect thereto, by the Holder of such Security or the Trustee or any other circumstance which may otherwise constitute a legal or equitable discharge or defense of a surety or guarantor;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notwithstanding the foregoing, no such waiver, modification or indulgence shall, without the consent of any Guarantor, increase the principal amount of such Security, or increase the interest rate thereon, change any redemption provisions thereof (including any change to increase any premium payable upon redemption thereof) or change the Stated Maturity of any payment thereon, or increase the principal amount of any Original Issue Discount Security that would be due and payable upon a declaration of acceleration or the maturity thereof pursuant to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of this Indenture.</w:t>
      </w:r>
    </w:p>
    <w:p>
      <w:pPr>
        <w:spacing w:after="0" w:line="179"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The Guarantor of any Security hereby waives the benefits of diligence, presentment, demand for payment, any requirement that the Trustee or any of the Holders exhaust any right or take any action against the Company or any other Person, filing of claims with a court in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70" w:right="259" w:bottom="1440" w:gutter="0" w:footer="0" w:header="0"/>
        </w:sectPr>
      </w:pPr>
    </w:p>
    <w:bookmarkStart w:id="214" w:name="page215"/>
    <w:bookmarkEnd w:id="214"/>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event of insolvency or bankruptcy of the Company, any right to require a proceeding first against the Company, protest or notice with respect to any Security or the indebtedness evidenced thereby and all demands whatsoever, and covenants that its obligations hereunder will not be discharged in respect of such Security except by complete performance of the obligations of such Guarantor contained in such Security and in this Indenture. Any Guarantee of any Guarantor hereunder shall constitute a guaranty of payment and not of collection. The Guarantor of any Security hereby agrees that, in the event of a default in payment of principal, or premium, if any, or interest, if any, on such Security, whether at its Stated Maturity, by declaration of acceleration, call for redemption or otherwise, legal proceedings may be instituted by the Trustee on behalf of, or by, the Holder of such Security, subject to the terms and conditions set forth in this Indenture, directly against such Guarantor to enforce the obligation of such Guarantor hereunder without first proceeding against the Company.</w:t>
      </w:r>
    </w:p>
    <w:p>
      <w:pPr>
        <w:spacing w:after="0" w:line="192"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obligations of the Guarantor of any Security hereunder with respect to such Security shall be continuing and irrevocable until the date upon which the entire principal of, premium, if any, and interest, if any, on such Security has been, or has been deemed pursuant to the provisions of Article Four of this Indenture to have been, paid in full or otherwise discharged.</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 Guarantor of any Security shall be subrogated to all rights of the Holders of such Security against the Company in respect of any amounts paid by the Guarantor on account of such Security pursuant to the provisions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Guarantor shall not be entitled to enforce or to receive any payments arising out of, or based upon, such right of subrogation until the principal of, and premium, if any, and interest, if any, on all Securities issued hereunder that are due and payable shall have been paid in full.</w:t>
      </w:r>
    </w:p>
    <w:p>
      <w:pPr>
        <w:spacing w:after="0" w:line="18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Guarantee by any Guarantor of any Security shall remain in full force and effect and continue notwithstanding any petition filed by or against the Company for liquidation or reorganization, the Company becoming insolvent or making an assignment for the benefit of creditors or a receiver or trustee being appointed for all or any significant part of the Company’s assets, and shall, to the fullest extent permitted by law, continue to be effective or reinstated, as the case may be, if at any time payment of such Security, is, pursuant to applicable law, rescinded or reduced in amount, or must otherwise be restored or returned by any Holder of such Security, whether as a “voidable preference,” “fraudulent transfer,” or otherwise, all as though such payment or performance had not been made. In the event that any payment, or any part thereof, is rescinded, reduced, restored or returned on a Security, such Security shall, to the fullest extent permitted by law, be reinstated and deemed paid only by such amount paid and not so rescinded, reduced, restored or returned.</w:t>
      </w:r>
    </w:p>
    <w:p>
      <w:pPr>
        <w:spacing w:after="0" w:line="16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No Guarantor shall consolidate with or merge into any other Person or sell, convey or transfer all or substantially all its properties and assets to any Person, and no Guarantor shall permit any Person to consolidate with or merge into such Guarantor, in each case in a transaction in which the successor Person formed by such consolidation or merger or to which such sale, conveyance or transfer is made is an Affiliate of the Company, and no Guarantor shall lease all or substantially all its properties and assets to any Person (whether or not such an Affiliate), unless, in any such case:</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274" w:right="299" w:bottom="1440" w:gutter="0" w:footer="0" w:header="0"/>
        </w:sectPr>
      </w:pPr>
    </w:p>
    <w:bookmarkStart w:id="215" w:name="page216"/>
    <w:bookmarkEnd w:id="215"/>
    <w:p>
      <w:pPr>
        <w:ind w:left="460" w:right="120" w:firstLine="443"/>
        <w:spacing w:after="0" w:line="293" w:lineRule="auto"/>
        <w:tabs>
          <w:tab w:leader="none" w:pos="1153" w:val="left"/>
        </w:tabs>
        <w:numPr>
          <w:ilvl w:val="0"/>
          <w:numId w:val="1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such Guarantor shall consolidate with or merge into another Person or sell, convey, transfer or lease all or substantially all its properties and assets to any Person, the Person formed by such consolidation or into which such Guarantor is merged or the Person which acquires by sale, conveyance or transfer, or which leases, all or substantially all the properties and assets of such Guarantor shall be a corporation, partnership or trust, shall be organized and validly existing under the laws of the United States, any state thereof or the District of Columbia and shall expressly assume, by an indenture supplemental hereto, executed and delivered to the Trustee, in form reasonably satisfactory to the Trustee, the performance or observance of every covenant of this Indenture and any Guarantees on the part of such Guarantor to be performed or observed;</w:t>
      </w:r>
    </w:p>
    <w:p>
      <w:pPr>
        <w:spacing w:after="0" w:line="56" w:lineRule="exact"/>
        <w:rPr>
          <w:rFonts w:ascii="Arial" w:cs="Arial" w:eastAsia="Arial" w:hAnsi="Arial"/>
          <w:sz w:val="16"/>
          <w:szCs w:val="16"/>
          <w:color w:val="auto"/>
        </w:rPr>
      </w:pPr>
    </w:p>
    <w:p>
      <w:pPr>
        <w:ind w:left="460" w:right="500" w:firstLine="443"/>
        <w:spacing w:after="0" w:line="277" w:lineRule="auto"/>
        <w:tabs>
          <w:tab w:leader="none" w:pos="115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which, after notice or lapse of time or both, would become an Event of Default, shall have happened and be continuing; and</w:t>
      </w:r>
    </w:p>
    <w:p>
      <w:pPr>
        <w:spacing w:after="0" w:line="62" w:lineRule="exact"/>
        <w:rPr>
          <w:rFonts w:ascii="Arial" w:cs="Arial" w:eastAsia="Arial" w:hAnsi="Arial"/>
          <w:sz w:val="18"/>
          <w:szCs w:val="18"/>
          <w:color w:val="auto"/>
        </w:rPr>
      </w:pPr>
    </w:p>
    <w:p>
      <w:pPr>
        <w:ind w:left="460" w:right="180" w:firstLine="443"/>
        <w:spacing w:after="0" w:line="259" w:lineRule="auto"/>
        <w:tabs>
          <w:tab w:leader="none" w:pos="115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such Guarantor has delivered to the Trustee a Guarantor’s Officers’ Certificate and an Opinion of Counsel, each stating that such consolidation, merger, sale,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Upon any consolidation of any Guarantor with, or merger of such Guarantor into, any other Person or any sale, conveyance, transfer or lease of all or substantially all the properties and assets of such Guarantor in accordance with this paragraph, the successor Person formed by such consolidation or into which such Guarantor is merged or to which such sale, conveyance, transfer or lease is made shall succeed to, and be substituted for, and may exercise every right and power of, such Guarantor under this Indenture with the same effect as if such successor Person had been named as such Guarantor herein, and thereafter, except in the case of a lease, the predecessor Person shall be relieved of all obligations and covenants under this Indenture and any Guarantees of such Guarantor.</w:t>
      </w:r>
    </w:p>
    <w:p>
      <w:pPr>
        <w:spacing w:after="0" w:line="19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Upon (i) a consolidation or merger of any Guarantor with or into, or a sale, conveyance or transfer of all or substantially all the properties and assets of any Guarantor to, any other Person or any consolidation or merger of any Person with or into any Guarantor, in each case in a transaction in which the successor Person formed by such consolidation or merger or to which such sale, conveyance or transfer is made is not an Affiliate of the Company or (ii) any sale, conveyance or transfer (including by way of merger) by the Company or any Subsidiary thereof of all or substantially all the Capital Stock of any Guarantor to any Person that is not an Affiliate of the Company, such Guarantor shall be deemed to be automatically and unconditionally released and discharged from all its obligations under its Guarantees and under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with respect to Securities of all series without any further action required on the part of the Trustee or any Holder. The Trustee shall deliver an appropriate instrument evidencing such release and discharge upon receipt of a Company Request accompanied by an Officers’ Certificate certifying as to the compliance with this paragraph of </w:t>
      </w:r>
      <w:r>
        <w:rPr>
          <w:rFonts w:ascii="Arial" w:cs="Arial" w:eastAsia="Arial" w:hAnsi="Arial"/>
          <w:sz w:val="18"/>
          <w:szCs w:val="18"/>
          <w:u w:val="single" w:color="auto"/>
          <w:color w:val="auto"/>
        </w:rPr>
        <w:t>Section 14.01</w:t>
      </w:r>
      <w:r>
        <w:rPr>
          <w:rFonts w:ascii="Arial" w:cs="Arial" w:eastAsia="Arial" w:hAnsi="Arial"/>
          <w:sz w:val="18"/>
          <w:szCs w:val="18"/>
          <w:color w:val="auto"/>
        </w:rPr>
        <w:t>. The Company may, at its option, at any time and from time to time, cause any Guarantor to be automatically and unconditionally released and discharged from all its obligations under its Guarantees with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4" w:right="239" w:bottom="1440" w:gutter="0" w:footer="0" w:header="0"/>
        </w:sectPr>
      </w:pPr>
    </w:p>
    <w:bookmarkStart w:id="216" w:name="page217"/>
    <w:bookmarkEnd w:id="216"/>
    <w:p>
      <w:pPr>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respect to Securities of any series guaranteed by Guarantees of such Guarantor and under this </w:t>
      </w:r>
      <w:r>
        <w:rPr>
          <w:rFonts w:ascii="Arial" w:cs="Arial" w:eastAsia="Arial" w:hAnsi="Arial"/>
          <w:sz w:val="16"/>
          <w:szCs w:val="16"/>
          <w:u w:val="single" w:color="auto"/>
          <w:color w:val="auto"/>
        </w:rPr>
        <w:t>Article XIV</w:t>
      </w:r>
      <w:r>
        <w:rPr>
          <w:rFonts w:ascii="Arial" w:cs="Arial" w:eastAsia="Arial" w:hAnsi="Arial"/>
          <w:sz w:val="16"/>
          <w:szCs w:val="16"/>
          <w:color w:val="auto"/>
        </w:rPr>
        <w:t xml:space="preserve"> upon (i) any conditions for such release provided with respect to Securities of such series in accordance with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having been satisfied and (ii) delivery by the Company to the Trustee of a Company Order relating to such release and discharge. The Trustee shall deliver an appropriate instrument evidencing such release and discharge upon receipt of a Company Request accompanied by an Officers’ Certificate certifying as to the compliance with this paragraph of </w:t>
      </w:r>
      <w:r>
        <w:rPr>
          <w:rFonts w:ascii="Arial" w:cs="Arial" w:eastAsia="Arial" w:hAnsi="Arial"/>
          <w:sz w:val="16"/>
          <w:szCs w:val="16"/>
          <w:u w:val="single" w:color="auto"/>
          <w:color w:val="auto"/>
        </w:rPr>
        <w:t>Section 14.01</w:t>
      </w:r>
      <w:r>
        <w:rPr>
          <w:rFonts w:ascii="Arial" w:cs="Arial" w:eastAsia="Arial" w:hAnsi="Arial"/>
          <w:sz w:val="16"/>
          <w:szCs w:val="16"/>
          <w:color w:val="auto"/>
        </w:rPr>
        <w:t>.</w:t>
      </w:r>
    </w:p>
    <w:p>
      <w:pPr>
        <w:spacing w:after="0" w:line="15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Anything in this Indenture, the Securities or any Guarantee to the contrary notwithstanding, the obligations of any Guarantor under its Guarantees and this Indenture shall be limited to the maximum amount as will, after giving effect to all other contingent and fixed liabilities of such Guarantor, result in the obligations of such Guarantor under its Guarantees and this Indenture not constituting a fraudulent advance or fraudulent transfer under any Bankruptcy Law, the Uniform Fraudulent Conveyance Act, the Uniform Fraudulent Transfer Act or any similar federal, state or other law affecting the rights of creditors generally.</w:t>
      </w:r>
    </w:p>
    <w:p>
      <w:pPr>
        <w:spacing w:after="0" w:line="188"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No Guarantee by any Guarantor of any Security, whether or not such Guarantee is or is to be endorsed thereon, shall be valid and obligatory for any purpose with respect to such Security until the certificate of authentication on such Security shall have been signed by or on behalf of the Trustee.</w:t>
      </w:r>
    </w:p>
    <w:p>
      <w:pPr>
        <w:spacing w:after="0" w:line="12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The obligations of each Guarantor under its Guarantees pursuant to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are hereby expressly made subordinate and subject in right of payment to the prior payment in full of all Senior Guarantor Debt of such Guarantor, in each case on the same basis as the indebtedness represented by the Securities and the payment of the principal of (and premium, if any) and interest on the Securities are subordinate and subject in right of payment to the prior payment in full of all Senior Debt,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For the purposes of the foregoing sentence, the Trustee and the Holders shall have the right to receive or retain payments by any Guarantor only at such times as they may receive or retain payments and distributions in respect of the Securities pursuant to this Indenture, including </w:t>
      </w:r>
      <w:r>
        <w:rPr>
          <w:rFonts w:ascii="Arial" w:cs="Arial" w:eastAsia="Arial" w:hAnsi="Arial"/>
          <w:sz w:val="18"/>
          <w:szCs w:val="18"/>
          <w:u w:val="single" w:color="auto"/>
          <w:color w:val="auto"/>
        </w:rPr>
        <w:t>Article XV</w:t>
      </w:r>
      <w:r>
        <w:rPr>
          <w:rFonts w:ascii="Arial" w:cs="Arial" w:eastAsia="Arial" w:hAnsi="Arial"/>
          <w:sz w:val="18"/>
          <w:szCs w:val="18"/>
          <w:color w:val="auto"/>
        </w:rPr>
        <w:t xml:space="preserve"> hereof.</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SUBORDINATION OF SECURITIES</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15.01. </w:t>
      </w:r>
      <w:r>
        <w:rPr>
          <w:rFonts w:ascii="Arial" w:cs="Arial" w:eastAsia="Arial" w:hAnsi="Arial"/>
          <w:sz w:val="18"/>
          <w:szCs w:val="18"/>
          <w:u w:val="single" w:color="auto"/>
          <w:color w:val="auto"/>
        </w:rPr>
        <w:t>Securities Subordinate to Senior Debt</w:t>
      </w:r>
      <w:r>
        <w:rPr>
          <w:rFonts w:ascii="Arial" w:cs="Arial" w:eastAsia="Arial" w:hAnsi="Arial"/>
          <w:sz w:val="18"/>
          <w:szCs w:val="18"/>
          <w:color w:val="auto"/>
        </w:rPr>
        <w:t>. The Company covenants and agrees, and each Holder of a Security, by his acceptance thereof, likewise covenants and agrees, that, to the extent and in the manner hereinafter set forth in this Article, the indebtedness represented by the Securities and the payment of the principal of (and premium, if any) and interest on each and all of the Securities are hereby expressly made subordinate and subject in right of payment to the prior payment in full of all Senior Debt.</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Notwithstanding the foregoing, if a deposit referred to in </w:t>
      </w:r>
      <w:r>
        <w:rPr>
          <w:rFonts w:ascii="Arial" w:cs="Arial" w:eastAsia="Arial" w:hAnsi="Arial"/>
          <w:sz w:val="18"/>
          <w:szCs w:val="18"/>
          <w:u w:val="single" w:color="auto"/>
          <w:color w:val="auto"/>
        </w:rPr>
        <w:t>Section 13.04(1)</w:t>
      </w:r>
      <w:r>
        <w:rPr>
          <w:rFonts w:ascii="Arial" w:cs="Arial" w:eastAsia="Arial" w:hAnsi="Arial"/>
          <w:sz w:val="18"/>
          <w:szCs w:val="18"/>
          <w:color w:val="auto"/>
        </w:rPr>
        <w:t xml:space="preserve"> is made pursuant to </w:t>
      </w:r>
      <w:r>
        <w:rPr>
          <w:rFonts w:ascii="Arial" w:cs="Arial" w:eastAsia="Arial" w:hAnsi="Arial"/>
          <w:sz w:val="18"/>
          <w:szCs w:val="18"/>
          <w:u w:val="single" w:color="auto"/>
          <w:color w:val="auto"/>
        </w:rPr>
        <w:t>Section 13.02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13.03</w:t>
      </w:r>
      <w:r>
        <w:rPr>
          <w:rFonts w:ascii="Arial" w:cs="Arial" w:eastAsia="Arial" w:hAnsi="Arial"/>
          <w:sz w:val="18"/>
          <w:szCs w:val="18"/>
          <w:color w:val="auto"/>
        </w:rPr>
        <w:t xml:space="preserve"> with respect to any Securities (and provided all other conditions set out in </w:t>
      </w:r>
      <w:r>
        <w:rPr>
          <w:rFonts w:ascii="Arial" w:cs="Arial" w:eastAsia="Arial" w:hAnsi="Arial"/>
          <w:sz w:val="18"/>
          <w:szCs w:val="18"/>
          <w:u w:val="single" w:color="auto"/>
          <w:color w:val="auto"/>
        </w:rPr>
        <w:t>Section 13.02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13.03</w:t>
      </w:r>
      <w:r>
        <w:rPr>
          <w:rFonts w:ascii="Arial" w:cs="Arial" w:eastAsia="Arial" w:hAnsi="Arial"/>
          <w:sz w:val="18"/>
          <w:szCs w:val="18"/>
          <w:color w:val="auto"/>
        </w:rPr>
        <w:t xml:space="preserve">, as applicable, shall have been satisfied with respect to such Securities), then no money or U.S. Government Obligations so deposited, and no proceeds thereon, will be subject to any rights of holders of Senior Debt, including any such rights arising under this </w:t>
      </w:r>
      <w:r>
        <w:rPr>
          <w:rFonts w:ascii="Arial" w:cs="Arial" w:eastAsia="Arial" w:hAnsi="Arial"/>
          <w:sz w:val="18"/>
          <w:szCs w:val="18"/>
          <w:u w:val="single" w:color="auto"/>
          <w:color w:val="auto"/>
        </w:rPr>
        <w:t>Article XV</w:t>
      </w:r>
      <w:r>
        <w:rPr>
          <w:rFonts w:ascii="Arial" w:cs="Arial" w:eastAsia="Arial" w:hAnsi="Arial"/>
          <w:sz w:val="18"/>
          <w:szCs w:val="18"/>
          <w:color w:val="auto"/>
        </w:rPr>
        <w: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274" w:right="279" w:bottom="1440" w:gutter="0" w:footer="0" w:header="0"/>
        </w:sectPr>
      </w:pPr>
    </w:p>
    <w:bookmarkStart w:id="217" w:name="page218"/>
    <w:bookmarkEnd w:id="217"/>
    <w:p>
      <w:pPr>
        <w:ind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15.02. </w:t>
      </w:r>
      <w:r>
        <w:rPr>
          <w:rFonts w:ascii="Arial" w:cs="Arial" w:eastAsia="Arial" w:hAnsi="Arial"/>
          <w:sz w:val="18"/>
          <w:szCs w:val="18"/>
          <w:u w:val="single" w:color="auto"/>
          <w:color w:val="auto"/>
        </w:rPr>
        <w:t>Payment Over of Proceeds Upon Dissolution, Etc</w:t>
      </w:r>
      <w:r>
        <w:rPr>
          <w:rFonts w:ascii="Arial" w:cs="Arial" w:eastAsia="Arial" w:hAnsi="Arial"/>
          <w:sz w:val="18"/>
          <w:szCs w:val="18"/>
          <w:color w:val="auto"/>
        </w:rPr>
        <w:t>. In the event of (a) any insolvency or bankruptcy case or proceeding, or any receivership, liquidation, reorganization or other similar case or proceeding in connection therewith, relative to the Company’s or to its creditors, as such, or to its assets, or (b) any liquidation, dissolution or other winding up of the Company, whether voluntary or involuntary and whether or not involving insolvency or bankruptcy, or (c) any assignment for the benefit of creditors or any other marshalling of assets and liabilities of the Company, then and in any such event the holders of Senior Debt shall be entitled to receive payment in full of all amounts due or to become due on or in respect of all Senior Debt (including any interest accruing thereon after the commencement of any such case or proceeding), or provision shall be made for such payment in cash or cash equivalents or otherwise in a manner satisfactory to the holders of Senior Debt, before the Holders of the Securities are entitled to receive any payment on account of principal of (or premium, if any) or interest on the Securities, and to that end the holders of Senior Debt shall be entitled to receive, for application to the payment thereof, any payment or distribution of any kind or character, whether in cash, property or securities, including any such payment or distribution which may be payable or deliverable by reason of the payment of any other indebtedness of the Company being subordinated to the payment of the Securities, which may be payable or deliverable in respect of the Securities in any such case, proceeding, dissolution, liquidation or other winding up event.</w:t>
      </w:r>
    </w:p>
    <w:p>
      <w:pPr>
        <w:spacing w:after="0" w:line="19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the event that, notwithstanding the foregoing provisions of this Section, the Trustee or the Holder of any Security shall have received any payment or distribution of assets of the Company of any kind or character, whether in cash, property or securities, including any such payment or distribution which may be payable or deliverable by reason of the payment of any other indebtedness of the Company being subordinated to the payment of the Securities, before all Senior Debt is paid in full or payment thereof provided for, and if such fact shall, at or prior to the time of such payment or distribution, have been made known to the Trustee or, as the case may be, such Holder, then and in such event such payment or distribution shall be paid over or delivered forthwith to the trustee in bankruptcy, receiver, liquidating trustee, custodian, assignee, agent or other Person making payment or distribution of assets of the Company for application to the payment of all Senior Debt remaining unpaid, to the extent necessary to pay all Senior Debt in full, after giving effect to any concurrent payment or distribution to or for the holders of Senior Debt. Any taxes that have been withheld or deducted from any payment or distribution in respect of the Securities, or any taxes that ought to have been withheld or deducted from any such payment or distribution that have been remitted to the relevant taxing authority, shall not be considered to be an amount that the Trustee or the Holder of any Security receives for purposes of this Section.</w:t>
      </w:r>
    </w:p>
    <w:p>
      <w:pPr>
        <w:spacing w:after="0" w:line="16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For purposes of this Article only, the words “cash, property or securities” shall not be deemed to include shares of stock of the Company as reorganized or readjusted, or securities of the Company or any other corporation or other entity, provided for by a plan of reorganization or readjustment which are subordinated in right of payment to all Senior Debt which may at the time be outstanding to substantially the same extent as, or to a greater extent than, the Securities are so subordinated as provided in this Article. The consolidation of the Company with, or the merger of the Company into, or the sale, conveyance, transfer or lease by the Company of all or substantially all its properties and assets to, another Person upon the terms and conditions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or the liquidation or dissolution of the Company following any such sale, conveyance or transfer, shall not be deemed a dissolution, winding up, liquidation,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218" w:name="page219"/>
    <w:bookmarkEnd w:id="21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reorganization, assignment for the benefit of creditors or marshalling of assets and liabilities of the Company for the purposes of this Section if the Person formed by such consolidation or into which the Company is merged or the Person which acquires by sale, conveyance, transfer or lease all or substantially all of such properties and assets, as the case may be, shall, as a part of such consolidation, merger, sale, conveyance, transfer or lease, comply with the conditions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8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Section 15.03. </w:t>
      </w:r>
      <w:r>
        <w:rPr>
          <w:rFonts w:ascii="Arial" w:cs="Arial" w:eastAsia="Arial" w:hAnsi="Arial"/>
          <w:sz w:val="18"/>
          <w:szCs w:val="18"/>
          <w:u w:val="single" w:color="auto"/>
          <w:color w:val="auto"/>
        </w:rPr>
        <w:t>Prior Payment to Senior Debt Upon Acceleration of Securities</w:t>
      </w:r>
      <w:r>
        <w:rPr>
          <w:rFonts w:ascii="Arial" w:cs="Arial" w:eastAsia="Arial" w:hAnsi="Arial"/>
          <w:sz w:val="18"/>
          <w:szCs w:val="18"/>
          <w:color w:val="auto"/>
        </w:rPr>
        <w:t xml:space="preserve">. In the event that any Securities are declared due and payable before their Stated Maturity, then and in such event the holders of Senior Debt shall be entitled to receive payment in full of all amounts due or to become due on or in respect of all Senior Debt or provision shall be made for such payment in cash, before the Holders of the Securities are entitled to receive any payment (including any payment which may be payable by reason of the payment of any other indebtedness of the Company being subordinated to the payment of the Securities) by the Company on account of the principal of (or premium, if any) or interest on the Securities or on account of the purchase or other acquisition of Securities; provided, however, that nothing in this Section shall prevent the satisfaction of any sinking fund payment in accordance with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by delivering and crediting pursuant to </w:t>
      </w:r>
      <w:r>
        <w:rPr>
          <w:rFonts w:ascii="Arial" w:cs="Arial" w:eastAsia="Arial" w:hAnsi="Arial"/>
          <w:sz w:val="18"/>
          <w:szCs w:val="18"/>
          <w:u w:val="single" w:color="auto"/>
          <w:color w:val="auto"/>
        </w:rPr>
        <w:t>Section 12.02</w:t>
      </w:r>
      <w:r>
        <w:rPr>
          <w:rFonts w:ascii="Arial" w:cs="Arial" w:eastAsia="Arial" w:hAnsi="Arial"/>
          <w:sz w:val="18"/>
          <w:szCs w:val="18"/>
          <w:color w:val="auto"/>
        </w:rPr>
        <w:t xml:space="preserve"> Securities which have been acquired (upon redemption or otherwise) prior to such declaration of acceleration.</w:t>
      </w:r>
    </w:p>
    <w:p>
      <w:pPr>
        <w:spacing w:after="0" w:line="192"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In the event that, notwithstanding the foregoing, the Company shall make any payment to the Trustee or the Holder of any Security prohibited by the foregoing provisions of this Section, and if such fact shall, at or prior to the time of such payment, have been made known to the Trustee or, as the case may be, such Holder, then and in such event such payment shall be paid over and delivered forthwith to the Company.</w:t>
      </w:r>
    </w:p>
    <w:p>
      <w:pPr>
        <w:spacing w:after="0" w:line="166" w:lineRule="exact"/>
        <w:rPr>
          <w:sz w:val="20"/>
          <w:szCs w:val="20"/>
          <w:color w:val="auto"/>
        </w:rPr>
      </w:pPr>
    </w:p>
    <w:p>
      <w:pPr>
        <w:jc w:val="both"/>
        <w:ind w:right="160" w:firstLine="456"/>
        <w:spacing w:after="0" w:line="291" w:lineRule="auto"/>
        <w:rPr>
          <w:sz w:val="20"/>
          <w:szCs w:val="20"/>
          <w:color w:val="auto"/>
        </w:rPr>
      </w:pPr>
      <w:r>
        <w:rPr>
          <w:rFonts w:ascii="Arial" w:cs="Arial" w:eastAsia="Arial" w:hAnsi="Arial"/>
          <w:sz w:val="16"/>
          <w:szCs w:val="16"/>
          <w:color w:val="auto"/>
        </w:rPr>
        <w:t xml:space="preserve">Section 15.04. </w:t>
      </w:r>
      <w:r>
        <w:rPr>
          <w:rFonts w:ascii="Arial" w:cs="Arial" w:eastAsia="Arial" w:hAnsi="Arial"/>
          <w:sz w:val="16"/>
          <w:szCs w:val="16"/>
          <w:u w:val="single" w:color="auto"/>
          <w:color w:val="auto"/>
        </w:rPr>
        <w:t>No Payment When Senior Debt in Default</w:t>
      </w:r>
      <w:r>
        <w:rPr>
          <w:rFonts w:ascii="Arial" w:cs="Arial" w:eastAsia="Arial" w:hAnsi="Arial"/>
          <w:sz w:val="16"/>
          <w:szCs w:val="16"/>
          <w:color w:val="auto"/>
        </w:rPr>
        <w:t>. Subject to the last paragraph of this Section, (a) (i) in the event and during the continuation of any default in the payment of principal of (or premium, if any) or interest on any Senior Debt beyond any applicable grace period with respect thereto, or</w:t>
      </w:r>
    </w:p>
    <w:p>
      <w:pPr>
        <w:ind w:right="20" w:firstLine="8"/>
        <w:spacing w:after="0" w:line="267" w:lineRule="auto"/>
        <w:tabs>
          <w:tab w:leader="none" w:pos="26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in the event that any event of default with respect to any Senior Debt shall have occurred and be continuing permitting the holders of such Senior Debt (or a trustee on behalf of the holders thereof) to declare such Senior Debt due and payable prior to the date on which it would otherwise have become due and payable, whether or not such Senior Debt has been so accelerated (provided that, in the case of Clause (i) or Clause (ii), if such default in payment or event of default shall have been cured or waived or shall have ceased to exist and any such declaration of acceleration shall have been rescinded or annulled, then such default in payment or event of default, as the case may be, shall be deemed not to have occurred for the purposes of this Section), or (b) in the event that any judicial proceeding shall be pending with respect to any such default in payment or event of default that shall be deemed to have occurred for the purpose of this Section, then no payment (including any payment which may be payable by reason of the payment of any other indebtedness of the Company being subordinated to the payment of the Securities) shall be made by the Company on account of principal of (or premium, if any) or interest on the Securities or on account of the purchase or other acquisition of Securities; provided, however, that nothing in this Section shall prevent the satisfaction of any sinking fund payment in accordance with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by delivering and crediting pursuant to </w:t>
      </w:r>
      <w:r>
        <w:rPr>
          <w:rFonts w:ascii="Arial" w:cs="Arial" w:eastAsia="Arial" w:hAnsi="Arial"/>
          <w:sz w:val="17"/>
          <w:szCs w:val="17"/>
          <w:u w:val="single" w:color="auto"/>
          <w:color w:val="auto"/>
        </w:rPr>
        <w:t>Section 12.02</w:t>
      </w:r>
      <w:r>
        <w:rPr>
          <w:rFonts w:ascii="Arial" w:cs="Arial" w:eastAsia="Arial" w:hAnsi="Arial"/>
          <w:sz w:val="17"/>
          <w:szCs w:val="17"/>
          <w:color w:val="auto"/>
        </w:rPr>
        <w:t xml:space="preserve"> Securities which have been acquired (upon redemption or otherwise) prior to such default in payment.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74" w:right="259" w:bottom="1440" w:gutter="0" w:footer="0" w:header="0"/>
        </w:sectPr>
      </w:pPr>
    </w:p>
    <w:bookmarkStart w:id="219" w:name="page220"/>
    <w:bookmarkEnd w:id="219"/>
    <w:p>
      <w:pPr>
        <w:jc w:val="both"/>
        <w:ind w:right="22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notwithstanding the foregoing, the Company shall make any payment to the Trustee or the Holder of any Security prohibited by the provisions of this Section, and if such fact shall, at or prior to the time of such payment, have been made known to the Trustee or, as the case may be, such Holder, then and in such event such payment shall be paid over and delivered forthwith to the Company.</w:t>
      </w:r>
    </w:p>
    <w:p>
      <w:pPr>
        <w:spacing w:after="0" w:line="166"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No default in payment or event of default with respect to any Senior Debt shall be deemed to be a default in payment or event of default of the kind specified in Clause (a)(i) or (a)(ii) of this Section, and no judicial proceeding with respect to any such default in payment or event of default shall be deemed to be a judicial proceeding of the kind specified in Clause (b) of this Section, if (x) the Company shall be disputing the occurrence or continuation of such default in payment or event of default, or any obligation purportedly giving rise to such default in payment or event of default, and (y) no final judgment holding that such default in payment or event of default has occurred and is continuing shall have been issued. For this purpose, a “final judgment” means a judgment that is issued by a court having jurisdiction over the Company or its property, is binding on the Company or their property, is in full force and effect and is not subject to judicial appeal or review (including because the time within which a party may seek appeal or review has expired), provided that, if any such judgment has been issued but is subject to judicial appeal or review, it shall nevertheless be deemed to be a final judgment unless the Company shall in good faith be prosecuting such appeal or a proceeding for such review and shall have obtained a stay of execution pending such appeal or review. Notwithstanding the foregoing, this paragraph shall not apply to any default in payment or event of default with respect to any Senior Debt as to which the Company has waived the application of this paragraph in the instrument evidencing such Senior Debt or by which such Senior Debt is created, incurred, assumed or guaranteed by the Company.</w:t>
      </w:r>
    </w:p>
    <w:p>
      <w:pPr>
        <w:spacing w:after="0" w:line="18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Section 15.05. </w:t>
      </w:r>
      <w:r>
        <w:rPr>
          <w:rFonts w:ascii="Arial" w:cs="Arial" w:eastAsia="Arial" w:hAnsi="Arial"/>
          <w:sz w:val="16"/>
          <w:szCs w:val="16"/>
          <w:u w:val="single" w:color="auto"/>
          <w:color w:val="auto"/>
        </w:rPr>
        <w:t>Payment Permitted in Certain Situations</w:t>
      </w:r>
      <w:r>
        <w:rPr>
          <w:rFonts w:ascii="Arial" w:cs="Arial" w:eastAsia="Arial" w:hAnsi="Arial"/>
          <w:sz w:val="16"/>
          <w:szCs w:val="16"/>
          <w:color w:val="auto"/>
        </w:rPr>
        <w:t xml:space="preserve">. Nothing contained in this Article or elsewhere in this Indenture or in any of the Securities shall prevent (a) the Company, at any time except during the pendency of any case, proceeding, dissolution, liquidation or other winding up, assignment for the benefit of creditors or other marshalling of assets and liabilities of the Company referred to in </w:t>
      </w:r>
      <w:r>
        <w:rPr>
          <w:rFonts w:ascii="Arial" w:cs="Arial" w:eastAsia="Arial" w:hAnsi="Arial"/>
          <w:sz w:val="16"/>
          <w:szCs w:val="16"/>
          <w:u w:val="single" w:color="auto"/>
          <w:color w:val="auto"/>
        </w:rPr>
        <w:t>Section 15.02</w:t>
      </w:r>
      <w:r>
        <w:rPr>
          <w:rFonts w:ascii="Arial" w:cs="Arial" w:eastAsia="Arial" w:hAnsi="Arial"/>
          <w:sz w:val="16"/>
          <w:szCs w:val="16"/>
          <w:color w:val="auto"/>
        </w:rPr>
        <w:t xml:space="preserve"> or under the conditions described in</w:t>
      </w:r>
    </w:p>
    <w:p>
      <w:pPr>
        <w:ind w:right="40"/>
        <w:spacing w:after="0" w:line="295" w:lineRule="auto"/>
        <w:rPr>
          <w:sz w:val="20"/>
          <w:szCs w:val="20"/>
          <w:color w:val="auto"/>
        </w:rPr>
      </w:pPr>
      <w:r>
        <w:rPr>
          <w:rFonts w:ascii="Arial" w:cs="Arial" w:eastAsia="Arial" w:hAnsi="Arial"/>
          <w:sz w:val="16"/>
          <w:szCs w:val="16"/>
          <w:u w:val="single" w:color="auto"/>
          <w:color w:val="auto"/>
        </w:rPr>
        <w:t>Section 15.03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15.04</w:t>
      </w:r>
      <w:r>
        <w:rPr>
          <w:rFonts w:ascii="Arial" w:cs="Arial" w:eastAsia="Arial" w:hAnsi="Arial"/>
          <w:sz w:val="16"/>
          <w:szCs w:val="16"/>
          <w:color w:val="auto"/>
        </w:rPr>
        <w:t>, from making payments at any time of or on account of the principal of (and premium, if any) or interest on the Securities, or on account of the purchase or other acquisition of Securities, or (b) the application by the Trustee of any money deposited with it hereunder to the payment of or on account of the principal of (and premium, if any) or interest on the Securities or the retention of such payment by the Holders, if, at the time of such application by the Trustee, it did not have knowledge that such payment would have been prohibited by the provisions of this Article.</w:t>
      </w:r>
    </w:p>
    <w:p>
      <w:pPr>
        <w:spacing w:after="0" w:line="1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15.06. </w:t>
      </w:r>
      <w:r>
        <w:rPr>
          <w:rFonts w:ascii="Arial" w:cs="Arial" w:eastAsia="Arial" w:hAnsi="Arial"/>
          <w:sz w:val="17"/>
          <w:szCs w:val="17"/>
          <w:u w:val="single" w:color="auto"/>
          <w:color w:val="auto"/>
        </w:rPr>
        <w:t>Subrogation to Rights of Holders of Senior Debt</w:t>
      </w:r>
      <w:r>
        <w:rPr>
          <w:rFonts w:ascii="Arial" w:cs="Arial" w:eastAsia="Arial" w:hAnsi="Arial"/>
          <w:sz w:val="17"/>
          <w:szCs w:val="17"/>
          <w:color w:val="auto"/>
        </w:rPr>
        <w:t>. Subject to the payment in full of all Senior Debt or the provision for such payment in cash or cash equivalents or otherwise in a manner satisfactory to the holders of Senior Debt, the Holders of the Securities shall be subrogated to the extent of the payments or distributions made to the holders of such Senior Debt pursuant to the provisions of this Article (equally and ratably with the holders of indebtedness of the Company which by its express terms is subordinated to Indebtedness of the Company to substantially the same extent as the Securities are subordinated to the Senior Debt and is entitled to like rights of subrogation) to the rights of the holders of such Senior Debt to</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74" w:right="259" w:bottom="1440" w:gutter="0" w:footer="0" w:header="0"/>
        </w:sectPr>
      </w:pPr>
    </w:p>
    <w:bookmarkStart w:id="220" w:name="page221"/>
    <w:bookmarkEnd w:id="220"/>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receive payments and distributions of cash, property and securities applicable to the Senior Debt until the principal of (and premium, if any) and interest on the Securities shall be paid in full. For purposes of such subrogation, no payments or distributions to the holders of the Senior Debt of any cash, property or securities to which the Holders of the Securities or the Trustee would be entitled except for the provisions of this Article, and no payments over pursuant to the provisions of this Article to the holders of Senior Debt by Holders of the Securities or the Trustee, shall, as among the Company, their creditors other than holders of Senior Debt and the Holders of the Securities, be deemed to be a payment or distribution by the Company to or on account of the Senior Debt.</w:t>
      </w:r>
    </w:p>
    <w:p>
      <w:pPr>
        <w:spacing w:after="0" w:line="15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Section 15.07. </w:t>
      </w:r>
      <w:r>
        <w:rPr>
          <w:rFonts w:ascii="Arial" w:cs="Arial" w:eastAsia="Arial" w:hAnsi="Arial"/>
          <w:sz w:val="17"/>
          <w:szCs w:val="17"/>
          <w:u w:val="single" w:color="auto"/>
          <w:color w:val="auto"/>
        </w:rPr>
        <w:t>Provisions Solely to Define Relative Rights</w:t>
      </w:r>
      <w:r>
        <w:rPr>
          <w:rFonts w:ascii="Arial" w:cs="Arial" w:eastAsia="Arial" w:hAnsi="Arial"/>
          <w:sz w:val="17"/>
          <w:szCs w:val="17"/>
          <w:color w:val="auto"/>
        </w:rPr>
        <w:t>. The provisions of this Article are and are intended solely for the purpose of defining the relative rights of the Holders of the Securities on the one hand and the holders of Senior Debt on the other hand. Nothing contained in this Article or elsewhere in this Indenture or in the Securities is intended to or shall (a) impair, as among the Company, their creditors other than holders of Senior Debt and the Holders of the Securities, the obligation of the Company, which is absolute and unconditional (and which, subject to the rights under this Article of the holders of Senior Debt, is intended to rank equally with all other general obligations of the Company), to pay to the Holders of the Securities the principal of (and premium, if any) and interest on the Securities as and when the same shall become due and payable in accordance with their terms; or (b) affect the relative rights against the Company of the Holders of the Securities and creditors of the Company other than the holders of Senior Debt; or (c) prevent the Trustee or the Holder of any Security from exercising all remedies otherwise permitted by applicable law upon default under this Indenture, subject to the rights, if any, under this Article of the holders of Senior Debt to receive cash, property and securities otherwise payable or deliverable to the Trustee or such Holder.</w:t>
      </w:r>
    </w:p>
    <w:p>
      <w:pPr>
        <w:spacing w:after="0" w:line="178"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Section 15.08. </w:t>
      </w:r>
      <w:r>
        <w:rPr>
          <w:rFonts w:ascii="Arial" w:cs="Arial" w:eastAsia="Arial" w:hAnsi="Arial"/>
          <w:sz w:val="18"/>
          <w:szCs w:val="18"/>
          <w:u w:val="single" w:color="auto"/>
          <w:color w:val="auto"/>
        </w:rPr>
        <w:t>Trustee to Effectuate Subordination</w:t>
      </w:r>
      <w:r>
        <w:rPr>
          <w:rFonts w:ascii="Arial" w:cs="Arial" w:eastAsia="Arial" w:hAnsi="Arial"/>
          <w:sz w:val="18"/>
          <w:szCs w:val="18"/>
          <w:color w:val="auto"/>
        </w:rPr>
        <w:t>. Each Holder of a Security by his acceptance thereof authorizes and directs the Trustee on his behalf to take such action as may be necessary or appropriate to effectuate the subordination provided in this Article and appoints the Trustee his attorney-in-fact for any and all such purposes.</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15.09. </w:t>
      </w:r>
      <w:r>
        <w:rPr>
          <w:rFonts w:ascii="Arial" w:cs="Arial" w:eastAsia="Arial" w:hAnsi="Arial"/>
          <w:sz w:val="18"/>
          <w:szCs w:val="18"/>
          <w:u w:val="single" w:color="auto"/>
          <w:color w:val="auto"/>
        </w:rPr>
        <w:t>No Waiver of Subordination Provisions</w:t>
      </w:r>
      <w:r>
        <w:rPr>
          <w:rFonts w:ascii="Arial" w:cs="Arial" w:eastAsia="Arial" w:hAnsi="Arial"/>
          <w:sz w:val="18"/>
          <w:szCs w:val="18"/>
          <w:color w:val="auto"/>
        </w:rPr>
        <w:t>. No right of any present or future holder of any Senior Debt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any such holder may have or be otherwise charged with.</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Without in any way limiting the generality of the foregoing paragraph, the holders of Senior Debt may, at any time and from time to time, without the consent of or notice to the Trustee or the Holders of the Securities, without incurring responsibility to the Holders of the Securities and without impairing or releasing the subordination provided in this Article or the obligations hereunder of the Holders of the Securities to the holders of Senior Debt do any one or more of the following: (i) change the manner, place or terms of payment or extend the time of payment of, or renew or alter, Senior Debt or otherwise amend or supplement in any manner Senior Debt or any instrument evidencing the same or any agreement under which Senior Debt is outstanding; (ii) sell, exchange, release or otherwise deal with any property pledged, mortgaged or otherwise securing Senior Debt; (iii) release any Person liable in any manner for the collection of Senior Debt; and (iv) exercise or refrain from exercising any rights against the Issuers and any other Person.</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274" w:right="279" w:bottom="1440" w:gutter="0" w:footer="0" w:header="0"/>
        </w:sectPr>
      </w:pPr>
    </w:p>
    <w:bookmarkStart w:id="221" w:name="page222"/>
    <w:bookmarkEnd w:id="221"/>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15.10. </w:t>
      </w:r>
      <w:r>
        <w:rPr>
          <w:rFonts w:ascii="Arial" w:cs="Arial" w:eastAsia="Arial" w:hAnsi="Arial"/>
          <w:sz w:val="18"/>
          <w:szCs w:val="18"/>
          <w:u w:val="single" w:color="auto"/>
          <w:color w:val="auto"/>
        </w:rPr>
        <w:t>Notice to Trustee</w:t>
      </w:r>
      <w:r>
        <w:rPr>
          <w:rFonts w:ascii="Arial" w:cs="Arial" w:eastAsia="Arial" w:hAnsi="Arial"/>
          <w:sz w:val="18"/>
          <w:szCs w:val="18"/>
          <w:color w:val="auto"/>
        </w:rPr>
        <w:t xml:space="preserve">. The Company shall give prompt written notice to the Trustee of any fact known to the Company which would prohibit the making of any payment to or by the Trustee in respect of the Securities. Notwithstanding the provisions of this Article or any other provision of this Indenture, the Trustee shall not be charged with knowledge of the existence of any facts which would prohibit the making of any payment to or by the Trustee in respect of the Securities, unless and until the Trustee shall have received written notice thereof from the Company or a holder of Senior Debt or from any trustee therefor; and, prior to the receipt of any such written notice, the Trustee, subject to the provisions of </w:t>
      </w:r>
      <w:r>
        <w:rPr>
          <w:rFonts w:ascii="Arial" w:cs="Arial" w:eastAsia="Arial" w:hAnsi="Arial"/>
          <w:sz w:val="18"/>
          <w:szCs w:val="18"/>
          <w:u w:val="single" w:color="auto"/>
          <w:color w:val="auto"/>
        </w:rPr>
        <w:t>Section 6.01</w:t>
      </w:r>
      <w:r>
        <w:rPr>
          <w:rFonts w:ascii="Arial" w:cs="Arial" w:eastAsia="Arial" w:hAnsi="Arial"/>
          <w:sz w:val="18"/>
          <w:szCs w:val="18"/>
          <w:color w:val="auto"/>
        </w:rPr>
        <w:t>, shall be entitled in all respects to assume that no such facts exist.</w:t>
      </w:r>
    </w:p>
    <w:p>
      <w:pPr>
        <w:spacing w:after="0" w:line="193"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Subject to the provisions of </w:t>
      </w:r>
      <w:r>
        <w:rPr>
          <w:rFonts w:ascii="Arial" w:cs="Arial" w:eastAsia="Arial" w:hAnsi="Arial"/>
          <w:sz w:val="17"/>
          <w:szCs w:val="17"/>
          <w:u w:val="single" w:color="auto"/>
          <w:color w:val="auto"/>
        </w:rPr>
        <w:t>Section 6.01</w:t>
      </w:r>
      <w:r>
        <w:rPr>
          <w:rFonts w:ascii="Arial" w:cs="Arial" w:eastAsia="Arial" w:hAnsi="Arial"/>
          <w:sz w:val="17"/>
          <w:szCs w:val="17"/>
          <w:color w:val="auto"/>
        </w:rPr>
        <w:t>, the Trustee shall be entitled to rely on the delivery to it of a written notice by a Person representing himself to be a holder of Senior Debt (or a trustee therefor) to establish that such notice has been given by a holder of Senior Debt (or a trustee therefor). In the event that the Trustee determines in good faith that further evidence is required with respect to the right of any Person as a holder of Senior Debt to participate in any payment or distribution pursuant to this Article, the Trustee may request such Person to furnish evidence to the reasonable satisfaction of the Trustee as to the amount of Senior Debt held by such Person, the extent to which such Person is entitled to participate in such payment or distribution and any other facts pertinent to the rights of such Person under this Article, and if such evidence is not furnished, the Trustee may defer any payment to such Person pending judicial determination as to the right of such Person to receive such payment.</w:t>
      </w:r>
    </w:p>
    <w:p>
      <w:pPr>
        <w:spacing w:after="0" w:line="17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Section 15.11. </w:t>
      </w:r>
      <w:r>
        <w:rPr>
          <w:rFonts w:ascii="Arial" w:cs="Arial" w:eastAsia="Arial" w:hAnsi="Arial"/>
          <w:sz w:val="17"/>
          <w:szCs w:val="17"/>
          <w:u w:val="single" w:color="auto"/>
          <w:color w:val="auto"/>
        </w:rPr>
        <w:t>Reliance on Judicial Order or Certificate of Liquidating Agent</w:t>
      </w:r>
      <w:r>
        <w:rPr>
          <w:rFonts w:ascii="Arial" w:cs="Arial" w:eastAsia="Arial" w:hAnsi="Arial"/>
          <w:sz w:val="17"/>
          <w:szCs w:val="17"/>
          <w:color w:val="auto"/>
        </w:rPr>
        <w:t xml:space="preserve">. Upon any payment or distribution of assets of the Company referred to in this Article, the Trustee, subject to the provisions of </w:t>
      </w:r>
      <w:r>
        <w:rPr>
          <w:rFonts w:ascii="Arial" w:cs="Arial" w:eastAsia="Arial" w:hAnsi="Arial"/>
          <w:sz w:val="17"/>
          <w:szCs w:val="17"/>
          <w:u w:val="single" w:color="auto"/>
          <w:color w:val="auto"/>
        </w:rPr>
        <w:t>Section 6.01</w:t>
      </w:r>
      <w:r>
        <w:rPr>
          <w:rFonts w:ascii="Arial" w:cs="Arial" w:eastAsia="Arial" w:hAnsi="Arial"/>
          <w:sz w:val="17"/>
          <w:szCs w:val="17"/>
          <w:color w:val="auto"/>
        </w:rPr>
        <w:t>, and the Holders of the Securities shall be entitled to rely upon any order or decree entered by any court of competent jurisdiction in which such insolvency, bankruptcy, receivership, liquidation, reorganization, dissolution, winding up or similar case or proceeding is pending, or a certificate of the trustee in bankruptcy, receiver, liquidating 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Senior Debt and other indebtedness of the Company, the amount thereof or payable thereon, the amount or amounts paid or distributed thereon and all other facts pertinent thereto or to this Article.</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Section 15.12. </w:t>
      </w:r>
      <w:r>
        <w:rPr>
          <w:rFonts w:ascii="Arial" w:cs="Arial" w:eastAsia="Arial" w:hAnsi="Arial"/>
          <w:sz w:val="16"/>
          <w:szCs w:val="16"/>
          <w:u w:val="single" w:color="auto"/>
          <w:color w:val="auto"/>
        </w:rPr>
        <w:t>Trustee Not Fiduciary For Holders of Senior Debt</w:t>
      </w:r>
      <w:r>
        <w:rPr>
          <w:rFonts w:ascii="Arial" w:cs="Arial" w:eastAsia="Arial" w:hAnsi="Arial"/>
          <w:sz w:val="16"/>
          <w:szCs w:val="16"/>
          <w:color w:val="auto"/>
        </w:rPr>
        <w:t>. The Trustee shall not be deemed to owe any fiduciary duty to the holders of Senior Debt and shall not be liable to any such holders or creditors if it shall in good faith pay over or distribute to Holders of Securities or to the Company or to any other Person cash, property or securities to which any holders of Senior Debt shall be entitled by virtue of this Article or otherwise. With respect to the holders of Senior Debt, the Trustee undertakes to perform or to observe only such of its covenants or obligations as are specifically set forth in this Article and no implied covenants or obligations with respect to holders of Senior Debt shall be read into this Indenture against the Trustee.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74" w:right="239" w:bottom="1440" w:gutter="0" w:footer="0" w:header="0"/>
        </w:sectPr>
      </w:pPr>
    </w:p>
    <w:bookmarkStart w:id="222" w:name="page223"/>
    <w:bookmarkEnd w:id="222"/>
    <w:p>
      <w:pPr>
        <w:ind w:right="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15.13. </w:t>
      </w:r>
      <w:r>
        <w:rPr>
          <w:rFonts w:ascii="Arial" w:cs="Arial" w:eastAsia="Arial" w:hAnsi="Arial"/>
          <w:sz w:val="18"/>
          <w:szCs w:val="18"/>
          <w:u w:val="single" w:color="auto"/>
          <w:color w:val="auto"/>
        </w:rPr>
        <w:t>Rights of Trustee as Holder of Senior Debt; Preservation of Trustees Rights</w:t>
      </w:r>
      <w:r>
        <w:rPr>
          <w:rFonts w:ascii="Arial" w:cs="Arial" w:eastAsia="Arial" w:hAnsi="Arial"/>
          <w:sz w:val="18"/>
          <w:szCs w:val="18"/>
          <w:color w:val="auto"/>
        </w:rPr>
        <w:t>. The Trustee in its individual capacity shall be entitled to all the rights set forth in this Article with respect to any Senior Debt which may at any time be held by it, to the same extent as any other holder of Senior Debt and nothing in this Indenture shall deprive the Trustee of any of its rights as such holder.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Nothing in this Article shall apply to claims of, or payments to, the Trustee under or pursuant to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Section 15.14. </w:t>
      </w:r>
      <w:r>
        <w:rPr>
          <w:rFonts w:ascii="Arial" w:cs="Arial" w:eastAsia="Arial" w:hAnsi="Arial"/>
          <w:sz w:val="18"/>
          <w:szCs w:val="18"/>
          <w:u w:val="single" w:color="auto"/>
          <w:color w:val="auto"/>
        </w:rPr>
        <w:t>Article Applicable to Paying Agents</w:t>
      </w:r>
      <w:r>
        <w:rPr>
          <w:rFonts w:ascii="Arial" w:cs="Arial" w:eastAsia="Arial" w:hAnsi="Arial"/>
          <w:sz w:val="18"/>
          <w:szCs w:val="18"/>
          <w:color w:val="auto"/>
        </w:rPr>
        <w:t>. In case at any time any Paying Agent other than the Trustee shall have been appointed by the Company and be then acting hereunder, the term “Trustee” as used in this Article shall in such case (unless the context otherwise requires) be construed as extending to and including such Paying Agent within its meaning as fully for all intents and purposes as if such Paying Agent were named in this Article in addition to or in place of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instrument may be executed in any number of counterparts, each of which so executed shall be deemed to be an original, but all such counterparts shall together constitute but one and the same instrument. Delivery of an executed counterpart of this Indenture by facsimile or electronic transmission shall be equally as effective as delivery of an original executed counterpart of this Indenture. Any party delivering an executed counterpart of this Indenture by facsimile or electronic transmission also shall deliver an original executed counterpart of this Indenture, but failure to deliver an original executed counterpart shall not affect the validity, enforceability and binding effect of this Indenture.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274" w:right="279" w:bottom="1440" w:gutter="0" w:footer="0" w:header="0"/>
        </w:sectPr>
      </w:pPr>
    </w:p>
    <w:bookmarkStart w:id="223" w:name="page224"/>
    <w:bookmarkEnd w:id="22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Indenture to be duly executed as of the day and year first above written.</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DIAMONDBACK ENERGY, INC.,</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-130810</wp:posOffset>
            </wp:positionV>
            <wp:extent cx="254698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5715</wp:posOffset>
            </wp:positionV>
            <wp:extent cx="254698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4412615</wp:posOffset>
            </wp:positionH>
            <wp:positionV relativeFrom="paragraph">
              <wp:posOffset>-130810</wp:posOffset>
            </wp:positionV>
            <wp:extent cx="254698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8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DIAMONDBACK O&amp;G LLC,</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-130810</wp:posOffset>
            </wp:positionV>
            <wp:extent cx="254698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5715</wp:posOffset>
            </wp:positionV>
            <wp:extent cx="254698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4412615</wp:posOffset>
            </wp:positionH>
            <wp:positionV relativeFrom="paragraph">
              <wp:posOffset>-130810</wp:posOffset>
            </wp:positionV>
            <wp:extent cx="254698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8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DIAMONDBACK E&amp;P LLC,</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-130810</wp:posOffset>
            </wp:positionV>
            <wp:extent cx="254698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5715</wp:posOffset>
            </wp:positionV>
            <wp:extent cx="254698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4412615</wp:posOffset>
            </wp:positionH>
            <wp:positionV relativeFrom="paragraph">
              <wp:posOffset>-130810</wp:posOffset>
            </wp:positionV>
            <wp:extent cx="254698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8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VIPER ENERGY PARTNERS LLC,</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-130810</wp:posOffset>
            </wp:positionV>
            <wp:extent cx="254698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5715</wp:posOffset>
            </wp:positionV>
            <wp:extent cx="254698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4412615</wp:posOffset>
            </wp:positionH>
            <wp:positionV relativeFrom="paragraph">
              <wp:posOffset>-130810</wp:posOffset>
            </wp:positionV>
            <wp:extent cx="254698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4" w:lineRule="exact"/>
        <w:rPr>
          <w:sz w:val="20"/>
          <w:szCs w:val="20"/>
          <w:color w:val="auto"/>
        </w:rPr>
      </w:pPr>
    </w:p>
    <w:p>
      <w:pPr>
        <w:ind w:left="4240"/>
        <w:spacing w:after="0"/>
        <w:rPr>
          <w:sz w:val="20"/>
          <w:szCs w:val="20"/>
          <w:color w:val="auto"/>
        </w:rPr>
      </w:pPr>
      <w:r>
        <w:rPr>
          <w:rFonts w:ascii="Arial" w:cs="Arial" w:eastAsia="Arial" w:hAnsi="Arial"/>
          <w:sz w:val="18"/>
          <w:szCs w:val="18"/>
          <w:i w:val="1"/>
          <w:iCs w:val="1"/>
          <w:color w:val="auto"/>
        </w:rPr>
        <w:t>Signature Page to Indenture</w:t>
      </w:r>
    </w:p>
    <w:p>
      <w:pPr>
        <w:sectPr>
          <w:pgSz w:w="11900" w:h="16838" w:orient="portrait"/>
          <w:cols w:equalWidth="0" w:num="1">
            <w:col w:w="9759"/>
          </w:cols>
          <w:pgMar w:left="700" w:top="274" w:right="1440" w:bottom="1440" w:gutter="0" w:footer="0" w:header="0"/>
        </w:sectPr>
      </w:pPr>
    </w:p>
    <w:bookmarkStart w:id="224" w:name="page225"/>
    <w:bookmarkEnd w:id="224"/>
    <w:p>
      <w:pPr>
        <w:jc w:val="both"/>
        <w:ind w:left="5660"/>
        <w:spacing w:after="0"/>
        <w:tabs>
          <w:tab w:leader="none" w:pos="6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uto"/>
        </w:rPr>
        <w:t>], Trustee</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-130810</wp:posOffset>
            </wp:positionV>
            <wp:extent cx="254698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5715</wp:posOffset>
            </wp:positionV>
            <wp:extent cx="254698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-130810</wp:posOffset>
            </wp:positionV>
            <wp:extent cx="254698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Indenture</w:t>
      </w:r>
    </w:p>
    <w:p>
      <w:pPr>
        <w:sectPr>
          <w:pgSz w:w="11900" w:h="16838" w:orient="portrait"/>
          <w:cols w:equalWidth="0" w:num="1">
            <w:col w:w="9019"/>
          </w:cols>
          <w:pgMar w:left="1440" w:top="270" w:right="1440"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171450</wp:posOffset>
            </wp:positionV>
            <wp:extent cx="1818005" cy="4889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81800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5,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500 West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1225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Midland, Texas 79701</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Diamondback Energy,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Registration Statement on Form S-3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acted as counsel to Diamondback Energy,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registration, pursuant to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registration statement on Form S-3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filed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under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relating to the offering and sale from time to time, as set forth in the Registration Statement, the form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prospectus contained therein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and one or more supplements to the Prospectus (each, a “</w:t>
      </w:r>
      <w:r>
        <w:rPr>
          <w:rFonts w:ascii="Arial" w:cs="Arial" w:eastAsia="Arial" w:hAnsi="Arial"/>
          <w:sz w:val="16"/>
          <w:szCs w:val="16"/>
          <w:b w:val="1"/>
          <w:bCs w:val="1"/>
          <w:i w:val="1"/>
          <w:iCs w:val="1"/>
          <w:color w:val="auto"/>
        </w:rPr>
        <w:t>Prospectus Supplement</w:t>
      </w:r>
      <w:r>
        <w:rPr>
          <w:rFonts w:ascii="Arial" w:cs="Arial" w:eastAsia="Arial" w:hAnsi="Arial"/>
          <w:sz w:val="16"/>
          <w:szCs w:val="16"/>
          <w:color w:val="auto"/>
        </w:rPr>
        <w:t>”), (i) by the Company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indeterminate aggregate amount of securities (the “</w:t>
      </w:r>
      <w:r>
        <w:rPr>
          <w:rFonts w:ascii="Arial" w:cs="Arial" w:eastAsia="Arial" w:hAnsi="Arial"/>
          <w:sz w:val="16"/>
          <w:szCs w:val="16"/>
          <w:b w:val="1"/>
          <w:bCs w:val="1"/>
          <w:i w:val="1"/>
          <w:iCs w:val="1"/>
          <w:color w:val="auto"/>
        </w:rPr>
        <w:t>Company Securities</w:t>
      </w:r>
      <w:r>
        <w:rPr>
          <w:rFonts w:ascii="Arial" w:cs="Arial" w:eastAsia="Arial" w:hAnsi="Arial"/>
          <w:sz w:val="16"/>
          <w:szCs w:val="16"/>
          <w:color w:val="auto"/>
        </w:rPr>
        <w:t>”) consisting of (a) shares (the “</w:t>
      </w:r>
      <w:r>
        <w:rPr>
          <w:rFonts w:ascii="Arial" w:cs="Arial" w:eastAsia="Arial" w:hAnsi="Arial"/>
          <w:sz w:val="16"/>
          <w:szCs w:val="16"/>
          <w:b w:val="1"/>
          <w:bCs w:val="1"/>
          <w:i w:val="1"/>
          <w:iCs w:val="1"/>
          <w:color w:val="auto"/>
        </w:rPr>
        <w:t>Primary Shares</w:t>
      </w:r>
      <w:r>
        <w:rPr>
          <w:rFonts w:ascii="Arial" w:cs="Arial" w:eastAsia="Arial" w:hAnsi="Arial"/>
          <w:sz w:val="16"/>
          <w:szCs w:val="16"/>
          <w:color w:val="auto"/>
        </w:rPr>
        <w:t>”) of the Company’s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par value $0.01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(b) the Company’s senior debt securities in one or more series (the “</w:t>
      </w:r>
      <w:r>
        <w:rPr>
          <w:rFonts w:ascii="Arial" w:cs="Arial" w:eastAsia="Arial" w:hAnsi="Arial"/>
          <w:sz w:val="16"/>
          <w:szCs w:val="16"/>
          <w:b w:val="1"/>
          <w:bCs w:val="1"/>
          <w:i w:val="1"/>
          <w:iCs w:val="1"/>
          <w:color w:val="auto"/>
        </w:rPr>
        <w:t>Senior Debt Securities</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subordinated debt securities in one or more series (the “</w:t>
      </w:r>
      <w:r>
        <w:rPr>
          <w:rFonts w:ascii="Arial" w:cs="Arial" w:eastAsia="Arial" w:hAnsi="Arial"/>
          <w:sz w:val="16"/>
          <w:szCs w:val="16"/>
          <w:b w:val="1"/>
          <w:bCs w:val="1"/>
          <w:i w:val="1"/>
          <w:iCs w:val="1"/>
          <w:color w:val="auto"/>
        </w:rPr>
        <w:t>Subordinated Debt Securities</w:t>
      </w:r>
      <w:r>
        <w:rPr>
          <w:rFonts w:ascii="Arial" w:cs="Arial" w:eastAsia="Arial" w:hAnsi="Arial"/>
          <w:sz w:val="16"/>
          <w:szCs w:val="16"/>
          <w:color w:val="auto"/>
        </w:rPr>
        <w:t>” and, together with the Senior Debt Securities,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Diamondback Debt Securities</w:t>
      </w:r>
      <w:r>
        <w:rPr>
          <w:rFonts w:ascii="Arial" w:cs="Arial" w:eastAsia="Arial" w:hAnsi="Arial"/>
          <w:sz w:val="17"/>
          <w:szCs w:val="17"/>
          <w:color w:val="auto"/>
        </w:rPr>
        <w:t>”) and (c) guarantees (the “</w:t>
      </w:r>
      <w:r>
        <w:rPr>
          <w:rFonts w:ascii="Arial" w:cs="Arial" w:eastAsia="Arial" w:hAnsi="Arial"/>
          <w:sz w:val="17"/>
          <w:szCs w:val="17"/>
          <w:b w:val="1"/>
          <w:bCs w:val="1"/>
          <w:i w:val="1"/>
          <w:iCs w:val="1"/>
          <w:color w:val="auto"/>
        </w:rPr>
        <w:t>Guarantees</w:t>
      </w:r>
      <w:r>
        <w:rPr>
          <w:rFonts w:ascii="Arial" w:cs="Arial" w:eastAsia="Arial" w:hAnsi="Arial"/>
          <w:sz w:val="17"/>
          <w:szCs w:val="17"/>
          <w:color w:val="auto"/>
        </w:rPr>
        <w:t>”) of the Diamondback Debt Securities by one or more of the guarantors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Guarantors</w:t>
      </w:r>
      <w:r>
        <w:rPr>
          <w:rFonts w:ascii="Arial" w:cs="Arial" w:eastAsia="Arial" w:hAnsi="Arial"/>
          <w:sz w:val="16"/>
          <w:szCs w:val="16"/>
          <w:color w:val="auto"/>
        </w:rPr>
        <w:t>” and, together with the Company, the “</w:t>
      </w:r>
      <w:r>
        <w:rPr>
          <w:rFonts w:ascii="Arial" w:cs="Arial" w:eastAsia="Arial" w:hAnsi="Arial"/>
          <w:sz w:val="16"/>
          <w:szCs w:val="16"/>
          <w:b w:val="1"/>
          <w:bCs w:val="1"/>
          <w:i w:val="1"/>
          <w:iCs w:val="1"/>
          <w:color w:val="auto"/>
        </w:rPr>
        <w:t>Obligors</w:t>
      </w:r>
      <w:r>
        <w:rPr>
          <w:rFonts w:ascii="Arial" w:cs="Arial" w:eastAsia="Arial" w:hAnsi="Arial"/>
          <w:sz w:val="16"/>
          <w:szCs w:val="16"/>
          <w:color w:val="auto"/>
        </w:rPr>
        <w:t xml:space="preserve">”)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and named in the Registration Statement (the Diamondback Debt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Securities, together with (if such Diamondback Debt Securities have been guaranteed by Guarantors) the related Guarantees of such Guarantors, being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referred to herein as the “</w:t>
      </w:r>
      <w:r>
        <w:rPr>
          <w:rFonts w:ascii="Arial" w:cs="Arial" w:eastAsia="Arial" w:hAnsi="Arial"/>
          <w:sz w:val="16"/>
          <w:szCs w:val="16"/>
          <w:b w:val="1"/>
          <w:bCs w:val="1"/>
          <w:i w:val="1"/>
          <w:iCs w:val="1"/>
          <w:color w:val="auto"/>
        </w:rPr>
        <w:t>Debt Securities</w:t>
      </w:r>
      <w:r>
        <w:rPr>
          <w:rFonts w:ascii="Arial" w:cs="Arial" w:eastAsia="Arial" w:hAnsi="Arial"/>
          <w:sz w:val="16"/>
          <w:szCs w:val="16"/>
          <w:color w:val="auto"/>
        </w:rPr>
        <w:t>”) or any combination of the foregoing, each on the terms to be determined at the time of each offering and (ii)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certain selling stockholders of the Company named in the Registration Statement or to be identified in one or more Prospectus Supplements of up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17,459,436 shares of Common Stock (the “</w:t>
      </w:r>
      <w:r>
        <w:rPr>
          <w:rFonts w:ascii="Arial" w:cs="Arial" w:eastAsia="Arial" w:hAnsi="Arial"/>
          <w:sz w:val="17"/>
          <w:szCs w:val="17"/>
          <w:b w:val="1"/>
          <w:bCs w:val="1"/>
          <w:i w:val="1"/>
          <w:iCs w:val="1"/>
          <w:color w:val="auto"/>
        </w:rPr>
        <w:t>Secondary Shares</w:t>
      </w:r>
      <w:r>
        <w:rPr>
          <w:rFonts w:ascii="Arial" w:cs="Arial" w:eastAsia="Arial" w:hAnsi="Arial"/>
          <w:sz w:val="17"/>
          <w:szCs w:val="17"/>
          <w:color w:val="auto"/>
        </w:rPr>
        <w:t>” and, together with the Primary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and, together with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Securities,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on the terms to be determined at the time of each offering. This opinion is being furnished at the request of the Company and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the requirements of Item 601(b)(5) of Regulation S-K under the Act.</w:t>
      </w:r>
    </w:p>
    <w:p>
      <w:pPr>
        <w:spacing w:after="0" w:line="211"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We have examined originals or certified copies of (i) a form of the Indenture for the Senior Debt Securities, filed as Exhibit 4.2 to the Registration Statement to be entered into by the Company, the Guarantors named therein and a trustee to be named therein, the form and terms</w:t>
      </w:r>
    </w:p>
    <w:p>
      <w:pPr>
        <w:sectPr>
          <w:pgSz w:w="11900" w:h="16838" w:orient="portrait"/>
          <w:cols w:equalWidth="0" w:num="1">
            <w:col w:w="11420"/>
          </w:cols>
          <w:pgMar w:left="240" w:top="121" w:right="23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6040755</wp:posOffset>
            </wp:positionH>
            <wp:positionV relativeFrom="page">
              <wp:posOffset>183515</wp:posOffset>
            </wp:positionV>
            <wp:extent cx="1363345" cy="3689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1363345" cy="368935"/>
                    </a:xfrm>
                    <a:prstGeom prst="rect">
                      <a:avLst/>
                    </a:prstGeom>
                    <a:noFill/>
                  </pic:spPr>
                </pic:pic>
              </a:graphicData>
            </a:graphic>
          </wp:anchor>
        </w:drawing>
        <w:t>Diamondback Energy,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5,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(including any Guarantees) of any series of Diamondback Debt Securities issued under such Indenture to be established by resolutions of the Board of Directors of the Company or any duly authorized committee thereof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and set forth in an officers’ certificate or by a supplemental indenture to such Indenture, (ii) a form of the Indenture for the Subordinated Debt Securities filed as Exhibit 4.3 to the Registration Statement to be entered into by the Company, the Guarantors named therein and a trustee to be named therein (together with the trustee referred to in (i), each a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(the indentures in</w:t>
      </w:r>
    </w:p>
    <w:p>
      <w:pPr>
        <w:spacing w:after="0" w:line="2" w:lineRule="exact"/>
        <w:rPr>
          <w:sz w:val="20"/>
          <w:szCs w:val="20"/>
          <w:color w:val="auto"/>
        </w:rPr>
      </w:pPr>
    </w:p>
    <w:p>
      <w:pPr>
        <w:ind w:firstLine="8"/>
        <w:spacing w:after="0" w:line="286" w:lineRule="auto"/>
        <w:tabs>
          <w:tab w:leader="none" w:pos="21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and (ii) are each referred to herein as an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the form and terms (including any Guarantees) of any series of Diamondback Debt Securities issued under such Indenture to be established by the Board and set forth in an officers’ certificate or by a supplemental indenture to such Indenture and (iii) such corporate or limited liability company records of the Company and the Guarantors and other certificates and documents of officials of the Company and the Guarantors and public officials and others as we have deemed appropriate for purposes of this letter. We have assumed the genuineness of all signatures, the authenticity of all documents submitted to us as originals, and the conformity to authentic original documents of all copies submitted to us as conformed and certified or reproduced copies. We have also assumed the existence and entity power of each party to any Instrument (defined below) referred to herein other than the Company and the Guarantors and that, upon sale and delivery, the certificates for the Shares will conform to the specimen thereof filed as an exhibit to the Registration Statement and will have been duly countersigned by the transfer agent and duly registered by the registrar for the Common Stock or, if uncertificated, valid book-entry notations for the issuance of the Shares in uncertificated form will have been duly made in the share register of the Company. As to various questions of fact relevant to this letter, we have relied, without independent investigation, upon certificates of public officials and certificates of officers of the Company and the Guarantors, all of which we assume to be true, correct and complete.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upon the foregoing and subject to the assumptions, exceptions, qualifications and limitations set forth hereinafter, we are of the opinion that:</w:t>
      </w:r>
    </w:p>
    <w:p>
      <w:pPr>
        <w:spacing w:after="0" w:line="154" w:lineRule="exact"/>
        <w:rPr>
          <w:sz w:val="20"/>
          <w:szCs w:val="20"/>
          <w:color w:val="auto"/>
        </w:rPr>
      </w:pPr>
    </w:p>
    <w:p>
      <w:pPr>
        <w:ind w:left="900" w:hanging="446"/>
        <w:spacing w:after="0" w:line="257" w:lineRule="auto"/>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With respect to Securities constituting Primary Shares, when (i) the Company has taken all necessary action to authorize and approve the issuance of such Primary Shares, the terms of the offering thereof and related matters and (ii) such Primary Shares have been duly issued and delivered in accordance with the terms of any applicable definitive purchase, underwriting or similar agreement against payment (or delivery) of the consideration therefor provided for therein, such Primary Shares will have been duly authorized and validly issued and will be fully paid and non-assessable.</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Secondary Shares have been duly authorized and validly issued and are fully paid and non-assessable.</w:t>
      </w:r>
    </w:p>
    <w:p>
      <w:pPr>
        <w:sectPr>
          <w:pgSz w:w="11900" w:h="16838" w:orient="portrait"/>
          <w:cols w:equalWidth="0" w:num="1">
            <w:col w:w="11420"/>
          </w:cols>
          <w:pgMar w:left="240" w:top="1071" w:right="23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6040755</wp:posOffset>
            </wp:positionH>
            <wp:positionV relativeFrom="page">
              <wp:posOffset>183515</wp:posOffset>
            </wp:positionV>
            <wp:extent cx="1363345" cy="3689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1363345" cy="368935"/>
                    </a:xfrm>
                    <a:prstGeom prst="rect">
                      <a:avLst/>
                    </a:prstGeom>
                    <a:noFill/>
                  </pic:spPr>
                </pic:pic>
              </a:graphicData>
            </a:graphic>
          </wp:anchor>
        </w:drawing>
        <w:t>Diamondback Energy,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5,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900" w:hanging="446"/>
        <w:spacing w:after="0" w:line="285" w:lineRule="auto"/>
        <w:tabs>
          <w:tab w:leader="none" w:pos="9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With respect to Securities constituting Debt Securities (including, if Diamondback Debt Securities are guaranteed by Guarantees, such Diamondback Debt Securities and such Guarantees), when (i) the Company and, if such Debt Securities constitute Diamondback Debt Securities guaranteed by Guarantees, each of the Guarantors have taken all necessary action to establish the form and terms of such Debt Securities and to authorize and approve the issuance of such Debt Securities, the terms of the offering thereof and related matters, (ii) the applicable Indenture in substantially the form filed as an exhibit to the Registration Statement and any officers’ certificate or supplemental indenture thereto relating to such Debt Securities have been duly authorized, executed and delivered by the parties thereto (including, if Debt Securities constitute Diamondback Debt Securities guaranteed by Guarantees, the applicable Guarantors) with the terms of such Debt Securities and, if Debt Securities constitute Diamondback Debt Securities guaranteed by Guarantees, such Guarantees having been set forth in such Indenture or such supplemental indenture or officers’ certificate delivered pursuant thereto, (iii) the Trustee under the applicable Indenture has been duly qualified under the Trust Indenture Act of 1939, as amended (the “</w:t>
      </w:r>
      <w:r>
        <w:rPr>
          <w:rFonts w:ascii="Arial" w:cs="Arial" w:eastAsia="Arial" w:hAnsi="Arial"/>
          <w:sz w:val="16"/>
          <w:szCs w:val="16"/>
          <w:b w:val="1"/>
          <w:bCs w:val="1"/>
          <w:i w:val="1"/>
          <w:iCs w:val="1"/>
          <w:color w:val="auto"/>
        </w:rPr>
        <w:t>TIA</w:t>
      </w:r>
      <w:r>
        <w:rPr>
          <w:rFonts w:ascii="Arial" w:cs="Arial" w:eastAsia="Arial" w:hAnsi="Arial"/>
          <w:sz w:val="16"/>
          <w:szCs w:val="16"/>
          <w:color w:val="auto"/>
        </w:rPr>
        <w:t>”), and (iv) such Debt Securities (including, if such Debt Securities constitute Diamondback Debt Securities guaranteed by Guarantees, any notations of such Guarantees thereon) have been duly executed, authenticated, issued and delivered in accordance with the terms of the applicable Indenture and the applicable resolution of the Board or supplemental indenture relating to such Debt Securities and the applicable definitive purchase, underwriting or similar agreement, then such Debt Securities (including, if Diamondback Debt Securities are guaranteed by Guarantees, such Diamondback Debt Securities and such Guarantees) (x) will have been duly authorized by all necessary corporate or limited liability company action on the part of the Company and, if such Debt Securities constitute Diamondback Debt Securities guaranteed by Guarantees, each of the applicable Guarantors, and (y) will be valid and binding obligations of each such Obligor, enforceable against such Obligor in accordance with their terms.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opinions and other matters in this letter are qualified in their entirety and subject to the following:</w:t>
      </w:r>
    </w:p>
    <w:p>
      <w:pPr>
        <w:spacing w:after="0" w:line="131" w:lineRule="exact"/>
        <w:rPr>
          <w:sz w:val="20"/>
          <w:szCs w:val="20"/>
          <w:color w:val="auto"/>
        </w:rPr>
      </w:pPr>
    </w:p>
    <w:p>
      <w:pPr>
        <w:ind w:left="900" w:right="60" w:hanging="446"/>
        <w:spacing w:after="0" w:line="276" w:lineRule="auto"/>
        <w:tabs>
          <w:tab w:leader="none" w:pos="90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We have assumed that, in the case of each offering and sale of Securities: (i) the Registration Statement, and any amendments thereto (including post-effective amendments), will have become effective under the Act and, if such Securities constitute Debt Securities, the Indenture will have been qualified under the TIA and such effectiveness or qualification shall not have been terminated or rescinded; (ii) a Prospectus Supplement, if required, will have been prepared and filed with the Commission describing such Securities; (iii) such Securities will have been issued and sold in compliance with applicable United States federal and</w:t>
      </w:r>
    </w:p>
    <w:p>
      <w:pPr>
        <w:sectPr>
          <w:pgSz w:w="11900" w:h="16838" w:orient="portrait"/>
          <w:cols w:equalWidth="0" w:num="1">
            <w:col w:w="11400"/>
          </w:cols>
          <w:pgMar w:left="240" w:top="1071" w:right="25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6040755</wp:posOffset>
            </wp:positionH>
            <wp:positionV relativeFrom="page">
              <wp:posOffset>183515</wp:posOffset>
            </wp:positionV>
            <wp:extent cx="1363345" cy="3689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1363345" cy="368935"/>
                    </a:xfrm>
                    <a:prstGeom prst="rect">
                      <a:avLst/>
                    </a:prstGeom>
                    <a:noFill/>
                  </pic:spPr>
                </pic:pic>
              </a:graphicData>
            </a:graphic>
          </wp:anchor>
        </w:drawing>
        <w:t>Diamondback Energy,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5,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920" w:right="20"/>
        <w:spacing w:after="0" w:line="283" w:lineRule="auto"/>
        <w:rPr>
          <w:sz w:val="20"/>
          <w:szCs w:val="20"/>
          <w:color w:val="auto"/>
        </w:rPr>
      </w:pPr>
      <w:r>
        <w:rPr>
          <w:rFonts w:ascii="Arial" w:cs="Arial" w:eastAsia="Arial" w:hAnsi="Arial"/>
          <w:sz w:val="16"/>
          <w:szCs w:val="16"/>
          <w:color w:val="auto"/>
        </w:rPr>
        <w:t>state securities Laws (hereinafter defined) and pursuant to and in the manner stated in the Registration Statement and the applicable Prospectus Supplement; (iv) a definitive purchase, underwriting or similar agreement with respect to the issuance and sale of such Securities will have been duly authorized, executed and delivered by the issuer thereof and the other parties thereto; (v) at the time of the issuance of such Securities, the Company and, if such Securities constitute Debt Securities that constitute Diamondback Debt Securities guaranteed by Guarantees, each of the other Obligors (a) will validly exist and be duly qualified and in good standing under the laws of its jurisdiction of incorporation, formation or organization and (b) will have the necessary corporate or limited liability company power and due authorization, and the organizational or charter documents of the Company and, if such Securities constitute Debt Securities that constitute Diamondback Debt Securities guaranteed by Guarantees, each of the other Obligors will be in full force and effect and will not have been amended, restated, supplemented or otherwise altered, and there will have been no authorization of any such amendment, restatement, supplement or other alteration, since the date hereof;</w:t>
      </w:r>
    </w:p>
    <w:p>
      <w:pPr>
        <w:spacing w:after="0" w:line="7" w:lineRule="exact"/>
        <w:rPr>
          <w:sz w:val="20"/>
          <w:szCs w:val="20"/>
          <w:color w:val="auto"/>
        </w:rPr>
      </w:pPr>
    </w:p>
    <w:p>
      <w:pPr>
        <w:ind w:left="920" w:hanging="7"/>
        <w:spacing w:after="0" w:line="267" w:lineRule="auto"/>
        <w:tabs>
          <w:tab w:leader="none" w:pos="122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terms of such Securities and of their issuance and sale will have been established in conformity with and so as not to violate, or result in a default under or breach of, the certificate of incorporation and bylaws or other organizational documents of the Company and, if such Securities constitute Debt Securities that constitute Diamondback Debt Securities guaranteed by Guarantees, each of the other Obligors, and the terms of such Securities and of their issuance and sale will have been established in conformity with and so as not to violate, or result in a default under or breach of any applicable law, regulation or administrative order or any agreement or instrument binding upon each such Obligor and so as to comply with any requirement or restriction imposed by any court or governmental or regulatory body (including any securities exchange on which such Obligor’s securities are listed for trading) having jurisdiction over each such Obligor and, if such Securities constitute Debt Securities, in conformity with the applicable Indenture, supplemental indenture or officers’ certificate and the applicable resolution of the Board relating to such Debt Securities; (vii) if such Securities constitute Primary Shares, (a) sufficient shares of Common Stock will be authorized for the issuance of such Primary Shares under the certificate of incorporation of the Company that have not otherwise been issued or reserved for issuance and (b) the consideration for the issuance and sale of such Primary Shares established by the Board and provided for in the applicable definitive purchase, underwriting or similar agreement will not be less than the par value of the Common Stock; (viii) if such Securities constitute Diamondback Debt Securities, the officers’ certificate or supplemental indenture to the related Indenture establishing any terms different from those in such Indenture shall not include any provision that is unenforceable against the Company; (ix) if such Securities constitute Diamondback Debt Securities</w:t>
      </w:r>
    </w:p>
    <w:p>
      <w:pPr>
        <w:sectPr>
          <w:pgSz w:w="11900" w:h="16838" w:orient="portrait"/>
          <w:cols w:equalWidth="0" w:num="1">
            <w:col w:w="11420"/>
          </w:cols>
          <w:pgMar w:left="240" w:top="1071" w:right="23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6040755</wp:posOffset>
            </wp:positionH>
            <wp:positionV relativeFrom="page">
              <wp:posOffset>183515</wp:posOffset>
            </wp:positionV>
            <wp:extent cx="1363345" cy="3689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1363345" cy="368935"/>
                    </a:xfrm>
                    <a:prstGeom prst="rect">
                      <a:avLst/>
                    </a:prstGeom>
                    <a:noFill/>
                  </pic:spPr>
                </pic:pic>
              </a:graphicData>
            </a:graphic>
          </wp:anchor>
        </w:drawing>
        <w:t>Diamondback Energy,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5,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guaranteed by Guarantees, the officers’ certificate or supplemental indenture to the related Indenture establishing any terms different from those in such Indenture shall not include any provision that is unenforceable against the applicable Guarantors; and (x) if such Securities constitute Debt Securities, the applicable Instrument will constitute the legal, valid and binding obligation of each party thereto other than the Obligors party thereto, enforceable against such party in accordance with its terms.</w:t>
      </w:r>
    </w:p>
    <w:p>
      <w:pPr>
        <w:spacing w:after="0" w:line="92" w:lineRule="exact"/>
        <w:rPr>
          <w:sz w:val="20"/>
          <w:szCs w:val="20"/>
          <w:color w:val="auto"/>
        </w:rPr>
      </w:pPr>
    </w:p>
    <w:p>
      <w:pPr>
        <w:ind w:left="900" w:right="120" w:hanging="446"/>
        <w:spacing w:after="0" w:line="257"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We express no opinion as to the laws of any jurisdiction other than any published constitutions, treaties, laws, rules or regulations or judicial or administrative decisions (“</w:t>
      </w:r>
      <w:r>
        <w:rPr>
          <w:rFonts w:ascii="Arial" w:cs="Arial" w:eastAsia="Arial" w:hAnsi="Arial"/>
          <w:sz w:val="18"/>
          <w:szCs w:val="18"/>
          <w:b w:val="1"/>
          <w:bCs w:val="1"/>
          <w:i w:val="1"/>
          <w:iCs w:val="1"/>
          <w:color w:val="auto"/>
        </w:rPr>
        <w:t>Laws</w:t>
      </w:r>
      <w:r>
        <w:rPr>
          <w:rFonts w:ascii="Arial" w:cs="Arial" w:eastAsia="Arial" w:hAnsi="Arial"/>
          <w:sz w:val="18"/>
          <w:szCs w:val="18"/>
          <w:color w:val="auto"/>
        </w:rPr>
        <w:t>”) of: (i) the federal Laws of the United States; (ii) the Limited Liability Company Act of the State of Delaware (the “</w:t>
      </w:r>
      <w:r>
        <w:rPr>
          <w:rFonts w:ascii="Arial" w:cs="Arial" w:eastAsia="Arial" w:hAnsi="Arial"/>
          <w:sz w:val="18"/>
          <w:szCs w:val="18"/>
          <w:b w:val="1"/>
          <w:bCs w:val="1"/>
          <w:i w:val="1"/>
          <w:iCs w:val="1"/>
          <w:color w:val="auto"/>
        </w:rPr>
        <w:t>Delaware LLC Act</w:t>
      </w:r>
      <w:r>
        <w:rPr>
          <w:rFonts w:ascii="Arial" w:cs="Arial" w:eastAsia="Arial" w:hAnsi="Arial"/>
          <w:sz w:val="18"/>
          <w:szCs w:val="18"/>
          <w:color w:val="auto"/>
        </w:rPr>
        <w:t>”); (iii) the Delaware General Corporation Law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(iv) the Laws of the State of New York. As used herein, the terms “Delaware LLC Act” and “DGCL” include the statutory provisions contained therein and all applicable provisions of the Delaware Constitution and reported judicial decisions interpreting these laws.</w:t>
      </w:r>
    </w:p>
    <w:p>
      <w:pPr>
        <w:spacing w:after="0" w:line="93"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matters expressed in this letter are subject to and qualified and limited by: (i) applicable bankruptcy, insolvency, fraudulent transfer and conveyance, reorganization, moratorium and similar laws affecting creditors’ rights and remedies generally; (ii) general principles of equity, including without limitation, concepts of materiality, reasonableness, good faith and fair dealing and the possible unavailability of specific performance or injunctive relief (regardless of whether considered in a proceeding in equity or at law); and (iii) securities Laws and public policy underlying such Laws with respect to rights to indemnification and contribution.</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remainder of this page is intentionally left blank.]</w:t>
      </w:r>
    </w:p>
    <w:p>
      <w:pPr>
        <w:sectPr>
          <w:pgSz w:w="11900" w:h="16838" w:orient="portrait"/>
          <w:cols w:equalWidth="0" w:num="1">
            <w:col w:w="11360"/>
          </w:cols>
          <w:pgMar w:left="240" w:top="1071" w:right="29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6040755</wp:posOffset>
            </wp:positionH>
            <wp:positionV relativeFrom="page">
              <wp:posOffset>183515</wp:posOffset>
            </wp:positionV>
            <wp:extent cx="1363345" cy="3689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1363345" cy="368935"/>
                    </a:xfrm>
                    <a:prstGeom prst="rect">
                      <a:avLst/>
                    </a:prstGeom>
                    <a:noFill/>
                  </pic:spPr>
                </pic:pic>
              </a:graphicData>
            </a:graphic>
          </wp:anchor>
        </w:drawing>
        <w:t>Diamondback Energy,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5,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use of our name in the Prospectus under the caption “Legal Matters.” In giving this consent, we do not thereby admit that we are within the category of persons whose consent is required under Section 7 of the Act and the rules and regulations thereunder.</w:t>
      </w:r>
    </w:p>
    <w:p>
      <w:pPr>
        <w:spacing w:after="0" w:line="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AKIN, GUMP, STRAUSS, HAUER &amp; FELD, L.L.P.</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AKIN, GUMP, STRAUSS, HAUER &amp; FELD, L.L.P.</w:t>
      </w:r>
    </w:p>
    <w:p>
      <w:pPr>
        <w:sectPr>
          <w:pgSz w:w="11900" w:h="16838" w:orient="portrait"/>
          <w:cols w:equalWidth="0" w:num="1">
            <w:col w:w="11380"/>
          </w:cols>
          <w:pgMar w:left="240" w:top="1071" w:right="279" w:bottom="1440" w:gutter="0" w:footer="0" w:header="0"/>
        </w:sectPr>
      </w:pPr>
    </w:p>
    <w:bookmarkStart w:id="231" w:name="page232"/>
    <w:bookmarkEnd w:id="231"/>
    <w:tbl>
      <w:tblPr>
        <w:tblLayout w:type="fixed"/>
        <w:tblInd w:w="64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5040" w:type="dxa"/>
            <w:vAlign w:val="bottom"/>
            <w:gridSpan w:val="4"/>
          </w:tcPr>
          <w:p>
            <w:pPr>
              <w:jc w:val="right"/>
              <w:ind w:right="3402"/>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392"/>
        </w:trPr>
        <w:tc>
          <w:tcPr>
            <w:tcW w:w="2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80" w:type="dxa"/>
            <w:vAlign w:val="bottom"/>
            <w:gridSpan w:val="3"/>
          </w:tcPr>
          <w:p>
            <w:pPr>
              <w:jc w:val="right"/>
              <w:ind w:right="3402"/>
              <w:spacing w:after="0"/>
              <w:rPr>
                <w:sz w:val="20"/>
                <w:szCs w:val="20"/>
                <w:color w:val="auto"/>
              </w:rPr>
            </w:pPr>
            <w:r>
              <w:rPr>
                <w:rFonts w:ascii="Arial" w:cs="Arial" w:eastAsia="Arial" w:hAnsi="Arial"/>
                <w:sz w:val="18"/>
                <w:szCs w:val="18"/>
                <w:color w:val="auto"/>
                <w:w w:val="86"/>
              </w:rPr>
              <w:t>Guarantors</w:t>
            </w:r>
          </w:p>
        </w:tc>
        <w:tc>
          <w:tcPr>
            <w:tcW w:w="0" w:type="dxa"/>
            <w:vAlign w:val="bottom"/>
          </w:tcPr>
          <w:p>
            <w:pPr>
              <w:spacing w:after="0"/>
              <w:rPr>
                <w:sz w:val="1"/>
                <w:szCs w:val="1"/>
                <w:color w:val="auto"/>
              </w:rPr>
            </w:pPr>
          </w:p>
        </w:tc>
      </w:tr>
      <w:tr>
        <w:trPr>
          <w:trHeight w:val="393"/>
        </w:trPr>
        <w:tc>
          <w:tcPr>
            <w:tcW w:w="2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80" w:type="dxa"/>
            <w:vAlign w:val="bottom"/>
            <w:gridSpan w:val="2"/>
          </w:tcPr>
          <w:p>
            <w:pPr>
              <w:ind w:left="2640"/>
              <w:spacing w:after="0"/>
              <w:rPr>
                <w:sz w:val="20"/>
                <w:szCs w:val="20"/>
                <w:color w:val="auto"/>
              </w:rPr>
            </w:pPr>
            <w:r>
              <w:rPr>
                <w:rFonts w:ascii="Arial" w:cs="Arial" w:eastAsia="Arial" w:hAnsi="Arial"/>
                <w:sz w:val="14"/>
                <w:szCs w:val="14"/>
                <w:color w:val="auto"/>
                <w:w w:val="95"/>
              </w:rPr>
              <w:t>Jurisdiction of</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40" w:type="dxa"/>
            <w:vAlign w:val="bottom"/>
          </w:tcPr>
          <w:p>
            <w:pPr>
              <w:ind w:left="40"/>
              <w:spacing w:after="0" w:line="149" w:lineRule="exact"/>
              <w:rPr>
                <w:sz w:val="20"/>
                <w:szCs w:val="20"/>
                <w:color w:val="auto"/>
              </w:rPr>
            </w:pPr>
            <w:r>
              <w:rPr>
                <w:rFonts w:ascii="Arial" w:cs="Arial" w:eastAsia="Arial" w:hAnsi="Arial"/>
                <w:sz w:val="14"/>
                <w:szCs w:val="14"/>
                <w:color w:val="auto"/>
                <w:w w:val="98"/>
              </w:rPr>
              <w:t>Formation or</w:t>
            </w:r>
          </w:p>
        </w:tc>
        <w:tc>
          <w:tcPr>
            <w:tcW w:w="0" w:type="dxa"/>
            <w:vAlign w:val="bottom"/>
          </w:tcPr>
          <w:p>
            <w:pPr>
              <w:spacing w:after="0"/>
              <w:rPr>
                <w:sz w:val="1"/>
                <w:szCs w:val="1"/>
                <w:color w:val="auto"/>
              </w:rPr>
            </w:pPr>
          </w:p>
        </w:tc>
      </w:tr>
      <w:tr>
        <w:trPr>
          <w:trHeight w:val="167"/>
        </w:trPr>
        <w:tc>
          <w:tcPr>
            <w:tcW w:w="2720" w:type="dxa"/>
            <w:vAlign w:val="bottom"/>
            <w:vMerge w:val="restart"/>
          </w:tcPr>
          <w:p>
            <w:pPr>
              <w:spacing w:after="0"/>
              <w:rPr>
                <w:sz w:val="20"/>
                <w:szCs w:val="20"/>
                <w:color w:val="auto"/>
              </w:rPr>
            </w:pPr>
            <w:r>
              <w:rPr>
                <w:rFonts w:ascii="Arial" w:cs="Arial" w:eastAsia="Arial" w:hAnsi="Arial"/>
                <w:sz w:val="18"/>
                <w:szCs w:val="18"/>
                <w:color w:val="auto"/>
              </w:rPr>
              <w:t>Diamondback O&amp;G LLC</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8"/>
              </w:rPr>
              <w:t>Organization</w:t>
            </w:r>
          </w:p>
        </w:tc>
        <w:tc>
          <w:tcPr>
            <w:tcW w:w="0" w:type="dxa"/>
            <w:vAlign w:val="bottom"/>
          </w:tcPr>
          <w:p>
            <w:pPr>
              <w:spacing w:after="0"/>
              <w:rPr>
                <w:sz w:val="1"/>
                <w:szCs w:val="1"/>
                <w:color w:val="auto"/>
              </w:rPr>
            </w:pPr>
          </w:p>
        </w:tc>
      </w:tr>
      <w:tr>
        <w:trPr>
          <w:trHeight w:val="195"/>
        </w:trPr>
        <w:tc>
          <w:tcPr>
            <w:tcW w:w="272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40" w:type="dxa"/>
            <w:vAlign w:val="bottom"/>
          </w:tcPr>
          <w:p>
            <w:pPr>
              <w:spacing w:after="0" w:line="195"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Diamondback E&amp;P LLC</w:t>
            </w: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80" w:type="dxa"/>
            <w:vAlign w:val="bottom"/>
            <w:gridSpan w:val="2"/>
          </w:tcPr>
          <w:p>
            <w:pPr>
              <w:ind w:left="2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Viper Energy Partners LLC</w:t>
            </w: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80" w:type="dxa"/>
            <w:vAlign w:val="bottom"/>
            <w:gridSpan w:val="2"/>
          </w:tcPr>
          <w:p>
            <w:pPr>
              <w:ind w:left="2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32" w:name="page233"/>
    <w:bookmarkEnd w:id="232"/>
    <w:p>
      <w:pPr>
        <w:ind w:left="10620"/>
        <w:spacing w:after="0"/>
        <w:rPr>
          <w:sz w:val="20"/>
          <w:szCs w:val="20"/>
          <w:color w:val="auto"/>
        </w:rPr>
      </w:pPr>
      <w:r>
        <w:rPr>
          <w:rFonts w:ascii="Arial" w:cs="Arial" w:eastAsia="Arial" w:hAnsi="Arial"/>
          <w:sz w:val="16"/>
          <w:szCs w:val="16"/>
          <w:b w:val="1"/>
          <w:bCs w:val="1"/>
          <w:color w:val="auto"/>
        </w:rPr>
        <w:t>Exhibit 12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(DEFICIT) TO FIXED CHARGES</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following table sets forth our ratios of earnings (deficit) to fixed charges for the periods indicated. We have calculated the ratio of earnings (deficit) to fixed charges by dividing the sum of income from continuing operations plus fixed charges by fixed charges. Fixed charges consist of interest expense. You should read these ratios in connection with our consolidated financial statements included herein. The financial measures used in this table may not be comparable to similarly titled financial measures used in our various agreements, including our revolving credit facility and the indenture that will govern the notes offered hereby.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5"/>
              </w:rPr>
              <w:t>For the Nine</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Months Ended</w:t>
            </w: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9"/>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00" w:type="dxa"/>
            <w:vAlign w:val="bottom"/>
            <w:gridSpan w:val="4"/>
          </w:tcPr>
          <w:p>
            <w:pPr>
              <w:jc w:val="center"/>
              <w:ind w:right="300"/>
              <w:spacing w:after="0" w:line="142" w:lineRule="exact"/>
              <w:rPr>
                <w:sz w:val="20"/>
                <w:szCs w:val="20"/>
                <w:color w:val="auto"/>
              </w:rPr>
            </w:pPr>
            <w:r>
              <w:rPr>
                <w:rFonts w:ascii="Arial" w:cs="Arial" w:eastAsia="Arial" w:hAnsi="Arial"/>
                <w:sz w:val="14"/>
                <w:szCs w:val="14"/>
                <w:b w:val="1"/>
                <w:bCs w:val="1"/>
                <w:color w:val="auto"/>
                <w:w w:val="91"/>
              </w:rPr>
              <w:t>September 30, 2013</w:t>
            </w:r>
          </w:p>
        </w:tc>
        <w:tc>
          <w:tcPr>
            <w:tcW w:w="8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w:t>
            </w:r>
          </w:p>
        </w:tc>
        <w:tc>
          <w:tcPr>
            <w:tcW w:w="1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57,468</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17,307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15,147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9,181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1,338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spacing w:after="0"/>
              <w:rPr>
                <w:sz w:val="20"/>
                <w:szCs w:val="20"/>
                <w:color w:val="auto"/>
              </w:rPr>
            </w:pPr>
            <w:r>
              <w:rPr>
                <w:rFonts w:ascii="Arial" w:cs="Arial" w:eastAsia="Arial" w:hAnsi="Arial"/>
                <w:sz w:val="18"/>
                <w:szCs w:val="18"/>
                <w:color w:val="auto"/>
              </w:rPr>
              <w:t>(85,046)</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3,610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Income before fixed charges</w:t>
            </w:r>
          </w:p>
        </w:tc>
        <w:tc>
          <w:tcPr>
            <w:tcW w:w="1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59,577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20,917</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17,675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10,017</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1,349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8"/>
              </w:rPr>
              <w:t>(85,046</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FIXED CHARGES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2,109</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3,610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2,528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836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fixed charges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Earnings/fixed charge coverage ratio</w:t>
            </w:r>
          </w:p>
        </w:tc>
        <w:tc>
          <w:tcPr>
            <w:tcW w:w="1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2"/>
            <w:vMerge w:val="continue"/>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3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80" w:hanging="572"/>
        <w:spacing w:after="0"/>
        <w:tabs>
          <w:tab w:leader="none" w:pos="5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Earnings were inadequate to cover fixed charges for the year ended December 31, 2008 by $85.0 million.</w:t>
      </w:r>
    </w:p>
    <w:p>
      <w:pPr>
        <w:sectPr>
          <w:pgSz w:w="11900" w:h="16838" w:orient="portrait"/>
          <w:cols w:equalWidth="0" w:num="1">
            <w:col w:w="11420"/>
          </w:cols>
          <w:pgMar w:left="240" w:top="121" w:right="2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have issued our report dated March 1, 2013 with respect to the combined consolidated financial statements included in the Annual Report on Form 10-K for the year ended December 31, 2012 of Diamondback Energy, Inc., which are incorporated by reference in this Registration Statement. We consent to the incorporation by reference in the Registration Statement of the aforementioned report, and to the use of our name as it appears under the caption “Experts”.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5, 2013</w:t>
      </w:r>
    </w:p>
    <w:p>
      <w:pPr>
        <w:sectPr>
          <w:pgSz w:w="11900" w:h="16838" w:orient="portrait"/>
          <w:cols w:equalWidth="0" w:num="1">
            <w:col w:w="11420"/>
          </w:cols>
          <w:pgMar w:left="240" w:top="121" w:right="2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CERTIFIED PUBLIC ACCOUNTANTS</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have issued our report dated April 24, 2012, with respect to the statements of revenues and direct operating expenses of working and revenue interests of certain oil and gas properties owned by Gulfport Energy Corporation included in the Registration Statement on Form S-1 (File No. 333-190462) of Diamondback Energy, Inc., which is incorporated by reference in this Registration Statement. We consent to the incorporation by reference of the aforementioned report in this Registration Statement, and to the use of our name as it appears under the caption “Experts”.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5, 2013</w:t>
      </w:r>
    </w:p>
    <w:p>
      <w:pPr>
        <w:sectPr>
          <w:pgSz w:w="11900" w:h="16838" w:orient="portrait"/>
          <w:cols w:equalWidth="0" w:num="1">
            <w:col w:w="11420"/>
          </w:cols>
          <w:pgMar w:left="240" w:top="121" w:right="2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23.4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RYDER SCOTT COMPANY, L.P.</w:t>
      </w:r>
    </w:p>
    <w:p>
      <w:pPr>
        <w:spacing w:after="0" w:line="229"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We hereby consent to the references to our firm in the Registration Statement on Form S-3 (“Registration Statement”) of Diamondback Energy, Inc. and any amendments thereto and to (i) the inclusion in the Registration Statement and any amendments thereto of our report dated January 16, 2013 with respect to the estimates of reserves, future production and income attributable to certain leasehold interests of Diamondback Energy, Inc. as of December 31, 2012 and</w:t>
      </w:r>
    </w:p>
    <w:p>
      <w:pPr>
        <w:ind w:right="80" w:firstLine="8"/>
        <w:spacing w:after="0" w:line="254" w:lineRule="auto"/>
        <w:tabs>
          <w:tab w:leader="none" w:pos="26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use of information in the Registration Statement from our report dated May 31, 2012 with respect to the estimates of reserves, future production and income attributable to certain leasehold interests of Windsor Permian LLC as of December 31, 2011, in each case with respect to properties located in the Permian Basin in West Texas. We further consent to the reference to our firm under the heading “Experts” in the Registration Statement and any amendments thereto.</w:t>
      </w:r>
    </w:p>
    <w:p>
      <w:pPr>
        <w:spacing w:after="0" w:line="2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Ryder Scott Company, L.P.</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RYDER SCOTT COMPANY, L.P.</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TBPE Firm Registration No. F-1580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5, 2013</w:t>
      </w:r>
    </w:p>
    <w:p>
      <w:pPr>
        <w:sectPr>
          <w:pgSz w:w="11900" w:h="16838" w:orient="portrait"/>
          <w:cols w:equalWidth="0" w:num="1">
            <w:col w:w="11420"/>
          </w:cols>
          <w:pgMar w:left="240" w:top="121" w:right="2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t>Exhibit 23.5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PINNACLE ENERGY SERVICES, LLC</w:t>
      </w:r>
    </w:p>
    <w:p>
      <w:pPr>
        <w:spacing w:after="0" w:line="22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have issued our report letter dated January 25, 2011 for the year ended December 31, 2010 on estimates of proved reserves and future net cash flows of certain oil and natural gas properties located in the Permian Basin of West Texas of Windsor Permian LLC, successor in interest to Windsor Energy Group, LLC. As independent oil and gas consultants, we hereby consent to the use and inclusion of information from the aforementioned report letter in the Registration Statement on Form S-3 (the “Registration Statement”) of Diamondback Energy, Inc. and all amendments to the Registration Statement. We hereby also consent to the references to our firm and to the use of our name, as it appears under the caption “Experts,” in the Registration Statement and all amendments to the Registration Statement.</w:t>
      </w:r>
    </w:p>
    <w:p>
      <w:pPr>
        <w:spacing w:after="0" w:line="2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PINNACLE ENERGY SERVICES,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Paul Dick</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John Paul Dick</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Manager, Registered Petroleum Engineer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November 4,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27709E"/>
    <w:multiLevelType w:val="hybridMultilevel"/>
    <w:lvl w:ilvl="0">
      <w:lvlJc w:val="left"/>
      <w:lvlText w:val="%1"/>
      <w:numFmt w:val="decimal"/>
      <w:start w:val="1"/>
    </w:lvl>
    <w:lvl w:ilvl="1">
      <w:lvlJc w:val="left"/>
      <w:lvlText w:val="(%2)"/>
      <w:numFmt w:val="decimal"/>
      <w:start w:val="214"/>
    </w:lvl>
  </w:abstractNum>
  <w:abstractNum w:abstractNumId="1">
    <w:nsid w:val="71EA1109"/>
    <w:multiLevelType w:val="hybridMultilevel"/>
    <w:lvl w:ilvl="0">
      <w:lvlJc w:val="left"/>
      <w:lvlText w:val="(%1)"/>
      <w:numFmt w:val="decimal"/>
      <w:start w:val="214"/>
    </w:lvl>
    <w:lvl w:ilvl="1">
      <w:lvlJc w:val="left"/>
      <w:lvlText w:val="%2"/>
      <w:numFmt w:val="decimal"/>
      <w:start w:val="1"/>
    </w:lvl>
  </w:abstractNum>
  <w:abstractNum w:abstractNumId="2">
    <w:nsid w:val="100F59DC"/>
    <w:multiLevelType w:val="hybridMultilevel"/>
    <w:lvl w:ilvl="0">
      <w:lvlJc w:val="left"/>
      <w:lvlText w:val="(%1)"/>
      <w:numFmt w:val="decimal"/>
      <w:start w:val="1"/>
    </w:lvl>
  </w:abstractNum>
  <w:abstractNum w:abstractNumId="3">
    <w:nsid w:val="7FB7E0AA"/>
    <w:multiLevelType w:val="hybridMultilevel"/>
    <w:lvl w:ilvl="0">
      <w:lvlJc w:val="left"/>
      <w:lvlText w:val="(%1)"/>
      <w:numFmt w:val="decimal"/>
      <w:start w:val="1"/>
    </w:lvl>
  </w:abstractNum>
  <w:abstractNum w:abstractNumId="4">
    <w:nsid w:val="6EB5BD4"/>
    <w:multiLevelType w:val="hybridMultilevel"/>
    <w:lvl w:ilvl="0">
      <w:lvlJc w:val="left"/>
      <w:lvlText w:val="•"/>
      <w:numFmt w:val="bullet"/>
      <w:start w:val="1"/>
    </w:lvl>
  </w:abstractNum>
  <w:abstractNum w:abstractNumId="5">
    <w:nsid w:val="6F6DD9AC"/>
    <w:multiLevelType w:val="hybridMultilevel"/>
    <w:lvl w:ilvl="0">
      <w:lvlJc w:val="left"/>
      <w:lvlText w:val="•"/>
      <w:numFmt w:val="bullet"/>
      <w:start w:val="1"/>
    </w:lvl>
  </w:abstractNum>
  <w:abstractNum w:abstractNumId="6">
    <w:nsid w:val="94211F2"/>
    <w:multiLevelType w:val="hybridMultilevel"/>
    <w:lvl w:ilvl="0">
      <w:lvlJc w:val="left"/>
      <w:lvlText w:val="•"/>
      <w:numFmt w:val="bullet"/>
      <w:start w:val="1"/>
    </w:lvl>
  </w:abstractNum>
  <w:abstractNum w:abstractNumId="7">
    <w:nsid w:val="885E1B"/>
    <w:multiLevelType w:val="hybridMultilevel"/>
    <w:lvl w:ilvl="0">
      <w:lvlJc w:val="left"/>
      <w:lvlText w:val="•"/>
      <w:numFmt w:val="bullet"/>
      <w:start w:val="1"/>
    </w:lvl>
  </w:abstractNum>
  <w:abstractNum w:abstractNumId="8">
    <w:nsid w:val="76272110"/>
    <w:multiLevelType w:val="hybridMultilevel"/>
    <w:lvl w:ilvl="0">
      <w:lvlJc w:val="left"/>
      <w:lvlText w:val="•"/>
      <w:numFmt w:val="bullet"/>
      <w:start w:val="1"/>
    </w:lvl>
  </w:abstractNum>
  <w:abstractNum w:abstractNumId="9">
    <w:nsid w:val="4C04A8AF"/>
    <w:multiLevelType w:val="hybridMultilevel"/>
    <w:lvl w:ilvl="0">
      <w:lvlJc w:val="left"/>
      <w:lvlText w:val="(%1)"/>
      <w:numFmt w:val="decimal"/>
      <w:start w:val="1"/>
    </w:lvl>
  </w:abstractNum>
  <w:abstractNum w:abstractNumId="10">
    <w:nsid w:val="1716703B"/>
    <w:multiLevelType w:val="hybridMultilevel"/>
    <w:lvl w:ilvl="0">
      <w:lvlJc w:val="left"/>
      <w:lvlText w:val="*"/>
      <w:numFmt w:val="bullet"/>
      <w:start w:val="1"/>
    </w:lvl>
  </w:abstractNum>
  <w:abstractNum w:abstractNumId="11">
    <w:nsid w:val="14E17E33"/>
    <w:multiLevelType w:val="hybridMultilevel"/>
    <w:lvl w:ilvl="0">
      <w:lvlJc w:val="left"/>
      <w:lvlText w:val="(%1)"/>
      <w:numFmt w:val="decimal"/>
      <w:start w:val="1"/>
    </w:lvl>
  </w:abstractNum>
  <w:abstractNum w:abstractNumId="12">
    <w:nsid w:val="3222E7CD"/>
    <w:multiLevelType w:val="hybridMultilevel"/>
    <w:lvl w:ilvl="0">
      <w:lvlJc w:val="left"/>
      <w:lvlText w:val="(%1)"/>
      <w:numFmt w:val="decimal"/>
      <w:start w:val="2"/>
    </w:lvl>
  </w:abstractNum>
  <w:abstractNum w:abstractNumId="13">
    <w:nsid w:val="74DE0EE3"/>
    <w:multiLevelType w:val="hybridMultilevel"/>
    <w:lvl w:ilvl="0">
      <w:lvlJc w:val="left"/>
      <w:lvlText w:val="•"/>
      <w:numFmt w:val="bullet"/>
      <w:start w:val="1"/>
    </w:lvl>
  </w:abstractNum>
  <w:abstractNum w:abstractNumId="14">
    <w:nsid w:val="68EBC550"/>
    <w:multiLevelType w:val="hybridMultilevel"/>
    <w:lvl w:ilvl="0">
      <w:lvlJc w:val="left"/>
      <w:lvlText w:val="•"/>
      <w:numFmt w:val="bullet"/>
      <w:start w:val="1"/>
    </w:lvl>
  </w:abstractNum>
  <w:abstractNum w:abstractNumId="15">
    <w:nsid w:val="2DF6D648"/>
    <w:multiLevelType w:val="hybridMultilevel"/>
    <w:lvl w:ilvl="0">
      <w:lvlJc w:val="left"/>
      <w:lvlText w:val="•"/>
      <w:numFmt w:val="bullet"/>
      <w:start w:val="1"/>
    </w:lvl>
  </w:abstractNum>
  <w:abstractNum w:abstractNumId="16">
    <w:nsid w:val="46B7D447"/>
    <w:multiLevelType w:val="hybridMultilevel"/>
    <w:lvl w:ilvl="0">
      <w:lvlJc w:val="left"/>
      <w:lvlText w:val="•"/>
      <w:numFmt w:val="bullet"/>
      <w:start w:val="1"/>
    </w:lvl>
  </w:abstractNum>
  <w:abstractNum w:abstractNumId="17">
    <w:nsid w:val="4A2AC315"/>
    <w:multiLevelType w:val="hybridMultilevel"/>
    <w:lvl w:ilvl="0">
      <w:lvlJc w:val="left"/>
      <w:lvlText w:val="•"/>
      <w:numFmt w:val="bullet"/>
      <w:start w:val="1"/>
    </w:lvl>
  </w:abstractNum>
  <w:abstractNum w:abstractNumId="18">
    <w:nsid w:val="39EE015C"/>
    <w:multiLevelType w:val="hybridMultilevel"/>
    <w:lvl w:ilvl="0">
      <w:lvlJc w:val="left"/>
      <w:lvlText w:val="•"/>
      <w:numFmt w:val="bullet"/>
      <w:start w:val="1"/>
    </w:lvl>
  </w:abstractNum>
  <w:abstractNum w:abstractNumId="19">
    <w:nsid w:val="57FC4FBB"/>
    <w:multiLevelType w:val="hybridMultilevel"/>
    <w:lvl w:ilvl="0">
      <w:lvlJc w:val="left"/>
      <w:lvlText w:val="•"/>
      <w:numFmt w:val="bullet"/>
      <w:start w:val="1"/>
    </w:lvl>
  </w:abstractNum>
  <w:abstractNum w:abstractNumId="20">
    <w:nsid w:val="CC1016F"/>
    <w:multiLevelType w:val="hybridMultilevel"/>
    <w:lvl w:ilvl="0">
      <w:lvlJc w:val="left"/>
      <w:lvlText w:val="•"/>
      <w:numFmt w:val="bullet"/>
      <w:start w:val="1"/>
    </w:lvl>
  </w:abstractNum>
  <w:abstractNum w:abstractNumId="21">
    <w:nsid w:val="43F18422"/>
    <w:multiLevelType w:val="hybridMultilevel"/>
    <w:lvl w:ilvl="0">
      <w:lvlJc w:val="left"/>
      <w:lvlText w:val="•"/>
      <w:numFmt w:val="bullet"/>
      <w:start w:val="1"/>
    </w:lvl>
  </w:abstractNum>
  <w:abstractNum w:abstractNumId="22">
    <w:nsid w:val="60EF0119"/>
    <w:multiLevelType w:val="hybridMultilevel"/>
    <w:lvl w:ilvl="0">
      <w:lvlJc w:val="left"/>
      <w:lvlText w:val="•"/>
      <w:numFmt w:val="bullet"/>
      <w:start w:val="1"/>
    </w:lvl>
  </w:abstractNum>
  <w:abstractNum w:abstractNumId="23">
    <w:nsid w:val="26F324BA"/>
    <w:multiLevelType w:val="hybridMultilevel"/>
    <w:lvl w:ilvl="0">
      <w:lvlJc w:val="left"/>
      <w:lvlText w:val="•"/>
      <w:numFmt w:val="bullet"/>
      <w:start w:val="1"/>
    </w:lvl>
  </w:abstractNum>
  <w:abstractNum w:abstractNumId="24">
    <w:nsid w:val="7F01579B"/>
    <w:multiLevelType w:val="hybridMultilevel"/>
    <w:lvl w:ilvl="0">
      <w:lvlJc w:val="left"/>
      <w:lvlText w:val="•"/>
      <w:numFmt w:val="bullet"/>
      <w:start w:val="1"/>
    </w:lvl>
  </w:abstractNum>
  <w:abstractNum w:abstractNumId="25">
    <w:nsid w:val="49DA307D"/>
    <w:multiLevelType w:val="hybridMultilevel"/>
    <w:lvl w:ilvl="0">
      <w:lvlJc w:val="left"/>
      <w:lvlText w:val="•"/>
      <w:numFmt w:val="bullet"/>
      <w:start w:val="1"/>
    </w:lvl>
  </w:abstractNum>
  <w:abstractNum w:abstractNumId="26">
    <w:nsid w:val="7055A5F5"/>
    <w:multiLevelType w:val="hybridMultilevel"/>
    <w:lvl w:ilvl="0">
      <w:lvlJc w:val="left"/>
      <w:lvlText w:val="•"/>
      <w:numFmt w:val="bullet"/>
      <w:start w:val="1"/>
    </w:lvl>
  </w:abstractNum>
  <w:abstractNum w:abstractNumId="27">
    <w:nsid w:val="5FB8370B"/>
    <w:multiLevelType w:val="hybridMultilevel"/>
    <w:lvl w:ilvl="0">
      <w:lvlJc w:val="left"/>
      <w:lvlText w:val="•"/>
      <w:numFmt w:val="bullet"/>
      <w:start w:val="1"/>
    </w:lvl>
  </w:abstractNum>
  <w:abstractNum w:abstractNumId="28">
    <w:nsid w:val="50801EE1"/>
    <w:multiLevelType w:val="hybridMultilevel"/>
    <w:lvl w:ilvl="0">
      <w:lvlJc w:val="left"/>
      <w:lvlText w:val="•"/>
      <w:numFmt w:val="bullet"/>
      <w:start w:val="1"/>
    </w:lvl>
  </w:abstractNum>
  <w:abstractNum w:abstractNumId="29">
    <w:nsid w:val="488AC1A"/>
    <w:multiLevelType w:val="hybridMultilevel"/>
    <w:lvl w:ilvl="0">
      <w:lvlJc w:val="left"/>
      <w:lvlText w:val="•"/>
      <w:numFmt w:val="bullet"/>
      <w:start w:val="1"/>
    </w:lvl>
  </w:abstractNum>
  <w:abstractNum w:abstractNumId="30">
    <w:nsid w:val="5FB8011C"/>
    <w:multiLevelType w:val="hybridMultilevel"/>
    <w:lvl w:ilvl="0">
      <w:lvlJc w:val="left"/>
      <w:lvlText w:val="•"/>
      <w:numFmt w:val="bullet"/>
      <w:start w:val="1"/>
    </w:lvl>
  </w:abstractNum>
  <w:abstractNum w:abstractNumId="31">
    <w:nsid w:val="6AA78F7F"/>
    <w:multiLevelType w:val="hybridMultilevel"/>
    <w:lvl w:ilvl="0">
      <w:lvlJc w:val="left"/>
      <w:lvlText w:val="•"/>
      <w:numFmt w:val="bullet"/>
      <w:start w:val="1"/>
    </w:lvl>
  </w:abstractNum>
  <w:abstractNum w:abstractNumId="32">
    <w:nsid w:val="7672BD23"/>
    <w:multiLevelType w:val="hybridMultilevel"/>
    <w:lvl w:ilvl="0">
      <w:lvlJc w:val="left"/>
      <w:lvlText w:val="•"/>
      <w:numFmt w:val="bullet"/>
      <w:start w:val="1"/>
    </w:lvl>
  </w:abstractNum>
  <w:abstractNum w:abstractNumId="33">
    <w:nsid w:val="6FC75AF8"/>
    <w:multiLevelType w:val="hybridMultilevel"/>
    <w:lvl w:ilvl="0">
      <w:lvlJc w:val="left"/>
      <w:lvlText w:val="•"/>
      <w:numFmt w:val="bullet"/>
      <w:start w:val="1"/>
    </w:lvl>
  </w:abstractNum>
  <w:abstractNum w:abstractNumId="34">
    <w:nsid w:val="6A5F7029"/>
    <w:multiLevelType w:val="hybridMultilevel"/>
    <w:lvl w:ilvl="0">
      <w:lvlJc w:val="left"/>
      <w:lvlText w:val="•"/>
      <w:numFmt w:val="bullet"/>
      <w:start w:val="1"/>
    </w:lvl>
  </w:abstractNum>
  <w:abstractNum w:abstractNumId="35">
    <w:nsid w:val="7D5E18F8"/>
    <w:multiLevelType w:val="hybridMultilevel"/>
    <w:lvl w:ilvl="0">
      <w:lvlJc w:val="left"/>
      <w:lvlText w:val="•"/>
      <w:numFmt w:val="bullet"/>
      <w:start w:val="1"/>
    </w:lvl>
  </w:abstractNum>
  <w:abstractNum w:abstractNumId="36">
    <w:nsid w:val="5F3534A4"/>
    <w:multiLevelType w:val="hybridMultilevel"/>
    <w:lvl w:ilvl="0">
      <w:lvlJc w:val="left"/>
      <w:lvlText w:val="(%1)"/>
      <w:numFmt w:val="decimal"/>
      <w:start w:val="1"/>
    </w:lvl>
  </w:abstractNum>
  <w:abstractNum w:abstractNumId="37">
    <w:nsid w:val="73A1821B"/>
    <w:multiLevelType w:val="hybridMultilevel"/>
    <w:lvl w:ilvl="0">
      <w:lvlJc w:val="left"/>
      <w:lvlText w:val="•"/>
      <w:numFmt w:val="bullet"/>
      <w:start w:val="1"/>
    </w:lvl>
  </w:abstractNum>
  <w:abstractNum w:abstractNumId="38">
    <w:nsid w:val="7DE67713"/>
    <w:multiLevelType w:val="hybridMultilevel"/>
    <w:lvl w:ilvl="0">
      <w:lvlJc w:val="left"/>
      <w:lvlText w:val="*"/>
      <w:numFmt w:val="bullet"/>
      <w:start w:val="1"/>
    </w:lvl>
  </w:abstractNum>
  <w:abstractNum w:abstractNumId="39">
    <w:nsid w:val="555C55B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0">
    <w:nsid w:val="3FA62ACA"/>
    <w:multiLevelType w:val="hybridMultilevel"/>
    <w:lvl w:ilvl="0">
      <w:lvlJc w:val="left"/>
      <w:lvlText w:val="(%1)"/>
      <w:numFmt w:val="lowerRoman"/>
      <w:start w:val="3"/>
    </w:lvl>
  </w:abstractNum>
  <w:abstractNum w:abstractNumId="41">
    <w:nsid w:val="14FCE74E"/>
    <w:multiLevelType w:val="hybridMultilevel"/>
    <w:lvl w:ilvl="0">
      <w:lvlJc w:val="left"/>
      <w:lvlText w:val="(%1)"/>
      <w:numFmt w:val="decimal"/>
      <w:start w:val="2"/>
    </w:lvl>
    <w:lvl w:ilvl="1">
      <w:lvlJc w:val="left"/>
      <w:lvlText w:val="(%2)"/>
      <w:numFmt w:val="lowerRoman"/>
      <w:start w:val="1"/>
    </w:lvl>
  </w:abstractNum>
  <w:abstractNum w:abstractNumId="42">
    <w:nsid w:val="6A3DD3E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43">
    <w:nsid w:val="71C91298"/>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44">
    <w:nsid w:val="9DAF632"/>
    <w:multiLevelType w:val="hybridMultilevel"/>
    <w:lvl w:ilvl="0">
      <w:lvlJc w:val="left"/>
      <w:lvlText w:val="*"/>
      <w:numFmt w:val="bullet"/>
      <w:start w:val="1"/>
    </w:lvl>
  </w:abstractNum>
  <w:abstractNum w:abstractNumId="45">
    <w:nsid w:val="53299938"/>
    <w:multiLevelType w:val="hybridMultilevel"/>
    <w:lvl w:ilvl="0">
      <w:lvlJc w:val="left"/>
      <w:lvlText w:val="(%1)"/>
      <w:numFmt w:val="decimal"/>
      <w:start w:val="1"/>
    </w:lvl>
  </w:abstractNum>
  <w:abstractNum w:abstractNumId="46">
    <w:nsid w:val="1FBFE8E0"/>
    <w:multiLevelType w:val="hybridMultilevel"/>
    <w:lvl w:ilvl="0">
      <w:lvlJc w:val="left"/>
      <w:lvlText w:val="(%1)"/>
      <w:numFmt w:val="decimal"/>
      <w:start w:val="5"/>
    </w:lvl>
  </w:abstractNum>
  <w:abstractNum w:abstractNumId="47">
    <w:nsid w:val="5092CA79"/>
    <w:multiLevelType w:val="hybridMultilevel"/>
    <w:lvl w:ilvl="0">
      <w:lvlJc w:val="left"/>
      <w:lvlText w:val="(%1)"/>
      <w:numFmt w:val="decimal"/>
      <w:start w:val="1"/>
    </w:lvl>
  </w:abstractNum>
  <w:abstractNum w:abstractNumId="48">
    <w:nsid w:val="1D545C4D"/>
    <w:multiLevelType w:val="hybridMultilevel"/>
    <w:lvl w:ilvl="0">
      <w:lvlJc w:val="left"/>
      <w:lvlText w:val="(%1)"/>
      <w:numFmt w:val="decimal"/>
      <w:start w:val="1"/>
    </w:lvl>
  </w:abstractNum>
  <w:abstractNum w:abstractNumId="49">
    <w:nsid w:val="59ADEA3D"/>
    <w:multiLevelType w:val="hybridMultilevel"/>
    <w:lvl w:ilvl="0">
      <w:lvlJc w:val="left"/>
      <w:lvlText w:val="(%1)"/>
      <w:numFmt w:val="lowerRoman"/>
      <w:start w:val="4"/>
    </w:lvl>
  </w:abstractNum>
  <w:abstractNum w:abstractNumId="50">
    <w:nsid w:val="288F1A34"/>
    <w:multiLevelType w:val="hybridMultilevel"/>
    <w:lvl w:ilvl="0">
      <w:lvlJc w:val="left"/>
      <w:lvlText w:val="(%1)"/>
      <w:numFmt w:val="lowerRoman"/>
      <w:start w:val="1"/>
    </w:lvl>
  </w:abstractNum>
  <w:abstractNum w:abstractNumId="51">
    <w:nsid w:val="2A155DBC"/>
    <w:multiLevelType w:val="hybridMultilevel"/>
    <w:lvl w:ilvl="0">
      <w:lvlJc w:val="left"/>
      <w:lvlText w:val="(%1)"/>
      <w:numFmt w:val="decimal"/>
      <w:start w:val="1"/>
    </w:lvl>
  </w:abstractNum>
  <w:abstractNum w:abstractNumId="52">
    <w:nsid w:val="1D9F6E5F"/>
    <w:multiLevelType w:val="hybridMultilevel"/>
    <w:lvl w:ilvl="0">
      <w:lvlJc w:val="left"/>
      <w:lvlText w:val="(%1)"/>
      <w:numFmt w:val="decimal"/>
      <w:start w:val="9"/>
    </w:lvl>
  </w:abstractNum>
  <w:abstractNum w:abstractNumId="53">
    <w:nsid w:val="97E1B4E"/>
    <w:multiLevelType w:val="hybridMultilevel"/>
    <w:lvl w:ilvl="0">
      <w:lvlJc w:val="left"/>
      <w:lvlText w:val="(%1)"/>
      <w:numFmt w:val="decimal"/>
      <w:start w:val="16"/>
    </w:lvl>
  </w:abstractNum>
  <w:abstractNum w:abstractNumId="54">
    <w:nsid w:val="51088277"/>
    <w:multiLevelType w:val="hybridMultilevel"/>
    <w:lvl w:ilvl="0">
      <w:lvlJc w:val="left"/>
      <w:lvlText w:val="(%1)"/>
      <w:numFmt w:val="decimal"/>
      <w:start w:val="24"/>
    </w:lvl>
  </w:abstractNum>
  <w:abstractNum w:abstractNumId="55">
    <w:nsid w:val="1CA0C5FA"/>
    <w:multiLevelType w:val="hybridMultilevel"/>
    <w:lvl w:ilvl="0">
      <w:lvlJc w:val="left"/>
      <w:lvlText w:val="(%1)"/>
      <w:numFmt w:val="decimal"/>
      <w:start w:val="1"/>
    </w:lvl>
  </w:abstractNum>
  <w:abstractNum w:abstractNumId="56">
    <w:nsid w:val="53584BCB"/>
    <w:multiLevelType w:val="hybridMultilevel"/>
    <w:lvl w:ilvl="0">
      <w:lvlJc w:val="left"/>
      <w:lvlText w:val="(%1)"/>
      <w:numFmt w:val="decimal"/>
      <w:start w:val="3"/>
    </w:lvl>
  </w:abstractNum>
  <w:abstractNum w:abstractNumId="57">
    <w:nsid w:val="415E286C"/>
    <w:multiLevelType w:val="hybridMultilevel"/>
    <w:lvl w:ilvl="0">
      <w:lvlJc w:val="left"/>
      <w:lvlText w:val="(%1)"/>
      <w:numFmt w:val="decimal"/>
      <w:start w:val="1"/>
    </w:lvl>
  </w:abstractNum>
  <w:abstractNum w:abstractNumId="58">
    <w:nsid w:val="7C58FD05"/>
    <w:multiLevelType w:val="hybridMultilevel"/>
    <w:lvl w:ilvl="0">
      <w:lvlJc w:val="left"/>
      <w:lvlText w:val="(%1)"/>
      <w:numFmt w:val="decimal"/>
      <w:start w:val="3"/>
    </w:lvl>
  </w:abstractNum>
  <w:abstractNum w:abstractNumId="59">
    <w:nsid w:val="23D86AAC"/>
    <w:multiLevelType w:val="hybridMultilevel"/>
    <w:lvl w:ilvl="0">
      <w:lvlJc w:val="left"/>
      <w:lvlText w:val="(%1)"/>
      <w:numFmt w:val="decimal"/>
      <w:start w:val="1"/>
    </w:lvl>
  </w:abstractNum>
  <w:abstractNum w:abstractNumId="60">
    <w:nsid w:val="45E6D486"/>
    <w:multiLevelType w:val="hybridMultilevel"/>
    <w:lvl w:ilvl="0">
      <w:lvlJc w:val="left"/>
      <w:lvlText w:val="(%1)"/>
      <w:numFmt w:val="lowerRoman"/>
      <w:start w:val="1"/>
    </w:lvl>
  </w:abstractNum>
  <w:abstractNum w:abstractNumId="61">
    <w:nsid w:val="5C10FE21"/>
    <w:multiLevelType w:val="hybridMultilevel"/>
    <w:lvl w:ilvl="0">
      <w:lvlJc w:val="left"/>
      <w:lvlText w:val="(%1)"/>
      <w:numFmt w:val="decimal"/>
      <w:start w:val="1"/>
    </w:lvl>
  </w:abstractNum>
  <w:abstractNum w:abstractNumId="62">
    <w:nsid w:val="E7FFA2B"/>
    <w:multiLevelType w:val="hybridMultilevel"/>
    <w:lvl w:ilvl="0">
      <w:lvlJc w:val="left"/>
      <w:lvlText w:val="(%1)"/>
      <w:numFmt w:val="decimal"/>
      <w:start w:val="2"/>
    </w:lvl>
  </w:abstractNum>
  <w:abstractNum w:abstractNumId="63">
    <w:nsid w:val="3C5991AA"/>
    <w:multiLevelType w:val="hybridMultilevel"/>
    <w:lvl w:ilvl="0">
      <w:lvlJc w:val="left"/>
      <w:lvlText w:val="(%1)"/>
      <w:numFmt w:val="decimal"/>
      <w:start w:val="1"/>
    </w:lvl>
    <w:lvl w:ilvl="1">
      <w:lvlJc w:val="left"/>
      <w:lvlText w:val="(%2)"/>
      <w:numFmt w:val="upperLetter"/>
      <w:start w:val="1"/>
    </w:lvl>
  </w:abstractNum>
  <w:abstractNum w:abstractNumId="64">
    <w:nsid w:val="4BD8591A"/>
    <w:multiLevelType w:val="hybridMultilevel"/>
    <w:lvl w:ilvl="0">
      <w:lvlJc w:val="left"/>
      <w:lvlText w:val="(%1)"/>
      <w:numFmt w:val="upperLetter"/>
      <w:start w:val="2"/>
    </w:lvl>
    <w:lvl w:ilvl="1">
      <w:lvlJc w:val="left"/>
      <w:lvlText w:val="(%2)"/>
      <w:numFmt w:val="lowerRoman"/>
      <w:start w:val="1"/>
    </w:lvl>
  </w:abstractNum>
  <w:abstractNum w:abstractNumId="65">
    <w:nsid w:val="78DF6A55"/>
    <w:multiLevelType w:val="hybridMultilevel"/>
    <w:lvl w:ilvl="0">
      <w:lvlJc w:val="left"/>
      <w:lvlText w:val="(%1)"/>
      <w:numFmt w:val="decimal"/>
      <w:start w:val="2"/>
    </w:lvl>
  </w:abstractNum>
  <w:abstractNum w:abstractNumId="66">
    <w:nsid w:val="39B7AAA2"/>
    <w:multiLevelType w:val="hybridMultilevel"/>
    <w:lvl w:ilvl="0">
      <w:lvlJc w:val="left"/>
      <w:lvlText w:val="(%1)"/>
      <w:numFmt w:val="decimal"/>
      <w:start w:val="1"/>
    </w:lvl>
  </w:abstractNum>
  <w:abstractNum w:abstractNumId="67">
    <w:nsid w:val="2B0D8DBE"/>
    <w:multiLevelType w:val="hybridMultilevel"/>
    <w:lvl w:ilvl="0">
      <w:lvlJc w:val="left"/>
      <w:lvlText w:val="(%1)"/>
      <w:numFmt w:val="decimal"/>
      <w:start w:val="5"/>
    </w:lvl>
  </w:abstractNum>
  <w:abstractNum w:abstractNumId="68">
    <w:nsid w:val="6C80EC70"/>
    <w:multiLevelType w:val="hybridMultilevel"/>
    <w:lvl w:ilvl="0">
      <w:lvlJc w:val="left"/>
      <w:lvlText w:val="(%1)"/>
      <w:numFmt w:val="decimal"/>
      <w:start w:val="1"/>
    </w:lvl>
    <w:lvl w:ilvl="1">
      <w:lvlJc w:val="left"/>
      <w:lvlText w:val="(%2)"/>
      <w:numFmt w:val="upperLetter"/>
      <w:start w:val="1"/>
    </w:lvl>
  </w:abstractNum>
  <w:abstractNum w:abstractNumId="69">
    <w:nsid w:val="379E21B5"/>
    <w:multiLevelType w:val="hybridMultilevel"/>
    <w:lvl w:ilvl="0">
      <w:lvlJc w:val="left"/>
      <w:lvlText w:val="(%1)"/>
      <w:numFmt w:val="decimal"/>
      <w:start w:val="1"/>
    </w:lvl>
  </w:abstractNum>
  <w:abstractNum w:abstractNumId="70">
    <w:nsid w:val="69E373"/>
    <w:multiLevelType w:val="hybridMultilevel"/>
    <w:lvl w:ilvl="0">
      <w:lvlJc w:val="left"/>
      <w:lvlText w:val="(%1)"/>
      <w:numFmt w:val="decimal"/>
      <w:start w:val="1"/>
    </w:lvl>
  </w:abstractNum>
  <w:abstractNum w:abstractNumId="71">
    <w:nsid w:val="2C27173B"/>
    <w:multiLevelType w:val="hybridMultilevel"/>
    <w:lvl w:ilvl="0">
      <w:lvlJc w:val="left"/>
      <w:lvlText w:val="(%1)"/>
      <w:numFmt w:val="decimal"/>
      <w:start w:val="1"/>
    </w:lvl>
  </w:abstractNum>
  <w:abstractNum w:abstractNumId="72">
    <w:nsid w:val="4C9B0904"/>
    <w:multiLevelType w:val="hybridMultilevel"/>
    <w:lvl w:ilvl="0">
      <w:lvlJc w:val="left"/>
      <w:lvlText w:val="(%1)"/>
      <w:numFmt w:val="decimal"/>
      <w:start w:val="2"/>
    </w:lvl>
  </w:abstractNum>
  <w:abstractNum w:abstractNumId="73">
    <w:nsid w:val="6AA7B75C"/>
    <w:multiLevelType w:val="hybridMultilevel"/>
    <w:lvl w:ilvl="0">
      <w:lvlJc w:val="left"/>
      <w:lvlText w:val="(%1)"/>
      <w:numFmt w:val="decimal"/>
      <w:start w:val="1"/>
    </w:lvl>
  </w:abstractNum>
  <w:abstractNum w:abstractNumId="74">
    <w:nsid w:val="1DF029D3"/>
    <w:multiLevelType w:val="hybridMultilevel"/>
    <w:lvl w:ilvl="0">
      <w:lvlJc w:val="left"/>
      <w:lvlText w:val="(%1)"/>
      <w:numFmt w:val="lowerLetter"/>
      <w:start w:val="1"/>
    </w:lvl>
    <w:lvl w:ilvl="1">
      <w:lvlJc w:val="left"/>
      <w:lvlText w:val="(%2)"/>
      <w:numFmt w:val="decimal"/>
      <w:start w:val="1"/>
    </w:lvl>
  </w:abstractNum>
  <w:abstractNum w:abstractNumId="75">
    <w:nsid w:val="5675FF36"/>
    <w:multiLevelType w:val="hybridMultilevel"/>
    <w:lvl w:ilvl="0">
      <w:lvlJc w:val="left"/>
      <w:lvlText w:val="%1"/>
      <w:numFmt w:val="lowerLetter"/>
      <w:start w:val="1"/>
    </w:lvl>
    <w:lvl w:ilvl="1">
      <w:lvlJc w:val="left"/>
      <w:lvlText w:val="(%2)"/>
      <w:numFmt w:val="decimal"/>
      <w:start w:val="4"/>
    </w:lvl>
  </w:abstractNum>
  <w:abstractNum w:abstractNumId="76">
    <w:nsid w:val="3DD15094"/>
    <w:multiLevelType w:val="hybridMultilevel"/>
    <w:lvl w:ilvl="0">
      <w:lvlJc w:val="left"/>
      <w:lvlText w:val="(%1)"/>
      <w:numFmt w:val="lowerLetter"/>
      <w:start w:val="4"/>
    </w:lvl>
    <w:lvl w:ilvl="1">
      <w:lvlJc w:val="left"/>
      <w:lvlText w:val="%2"/>
      <w:numFmt w:val="decimal"/>
      <w:start w:val="1"/>
    </w:lvl>
  </w:abstractNum>
  <w:abstractNum w:abstractNumId="77">
    <w:nsid w:val="3DB012B3"/>
    <w:multiLevelType w:val="hybridMultilevel"/>
    <w:lvl w:ilvl="0">
      <w:lvlJc w:val="left"/>
      <w:lvlText w:val="(%1)"/>
      <w:numFmt w:val="decimal"/>
      <w:start w:val="1"/>
    </w:lvl>
  </w:abstractNum>
  <w:abstractNum w:abstractNumId="78">
    <w:nsid w:val="2708C9AF"/>
    <w:multiLevelType w:val="hybridMultilevel"/>
    <w:lvl w:ilvl="0">
      <w:lvlJc w:val="left"/>
      <w:lvlText w:val="(%1)"/>
      <w:numFmt w:val="decimal"/>
      <w:start w:val="3"/>
    </w:lvl>
  </w:abstractNum>
  <w:abstractNum w:abstractNumId="79">
    <w:nsid w:val="5B25ACE2"/>
    <w:multiLevelType w:val="hybridMultilevel"/>
    <w:lvl w:ilvl="0">
      <w:lvlJc w:val="left"/>
      <w:lvlText w:val="(%1)"/>
      <w:numFmt w:val="decimal"/>
      <w:start w:val="9"/>
    </w:lvl>
  </w:abstractNum>
  <w:abstractNum w:abstractNumId="80">
    <w:nsid w:val="175DFCF0"/>
    <w:multiLevelType w:val="hybridMultilevel"/>
    <w:lvl w:ilvl="0">
      <w:lvlJc w:val="left"/>
      <w:lvlText w:val="(%1)"/>
      <w:numFmt w:val="lowerLetter"/>
      <w:start w:val="1"/>
    </w:lvl>
  </w:abstractNum>
  <w:abstractNum w:abstractNumId="81">
    <w:nsid w:val="4F97E3E4"/>
    <w:multiLevelType w:val="hybridMultilevel"/>
    <w:lvl w:ilvl="0">
      <w:lvlJc w:val="left"/>
      <w:lvlText w:val="(%1)"/>
      <w:numFmt w:val="lowerLetter"/>
      <w:start w:val="2"/>
    </w:lvl>
  </w:abstractNum>
  <w:abstractNum w:abstractNumId="82">
    <w:nsid w:val="53B0A9E"/>
    <w:multiLevelType w:val="hybridMultilevel"/>
    <w:lvl w:ilvl="0">
      <w:lvlJc w:val="left"/>
      <w:lvlText w:val="(%1)"/>
      <w:numFmt w:val="decimal"/>
      <w:start w:val="1"/>
    </w:lvl>
  </w:abstractNum>
  <w:abstractNum w:abstractNumId="83">
    <w:nsid w:val="34FD6B4F"/>
    <w:multiLevelType w:val="hybridMultilevel"/>
    <w:lvl w:ilvl="0">
      <w:lvlJc w:val="left"/>
      <w:lvlText w:val="(%1)"/>
      <w:numFmt w:val="decimal"/>
      <w:start w:val="1"/>
    </w:lvl>
  </w:abstractNum>
  <w:abstractNum w:abstractNumId="84">
    <w:nsid w:val="5915FF32"/>
    <w:multiLevelType w:val="hybridMultilevel"/>
    <w:lvl w:ilvl="0">
      <w:lvlJc w:val="left"/>
      <w:lvlText w:val="(%1)"/>
      <w:numFmt w:val="decimal"/>
      <w:start w:val="1"/>
    </w:lvl>
  </w:abstractNum>
  <w:abstractNum w:abstractNumId="85">
    <w:nsid w:val="56438D15"/>
    <w:multiLevelType w:val="hybridMultilevel"/>
    <w:lvl w:ilvl="0">
      <w:lvlJc w:val="left"/>
      <w:lvlText w:val="(%1)"/>
      <w:numFmt w:val="decimal"/>
      <w:start w:val="2"/>
    </w:lvl>
  </w:abstractNum>
  <w:abstractNum w:abstractNumId="86">
    <w:nsid w:val="519E3149"/>
    <w:multiLevelType w:val="hybridMultilevel"/>
    <w:lvl w:ilvl="0">
      <w:lvlJc w:val="left"/>
      <w:lvlText w:val="(%1)"/>
      <w:numFmt w:val="decimal"/>
      <w:start w:val="1"/>
    </w:lvl>
  </w:abstractNum>
  <w:abstractNum w:abstractNumId="87">
    <w:nsid w:val="2C6E4AFD"/>
    <w:multiLevelType w:val="hybridMultilevel"/>
    <w:lvl w:ilvl="0">
      <w:lvlJc w:val="left"/>
      <w:lvlText w:val="%1"/>
      <w:numFmt w:val="upperLetter"/>
      <w:start w:val="1"/>
    </w:lvl>
    <w:lvl w:ilvl="1">
      <w:lvlJc w:val="left"/>
      <w:lvlText w:val="(%2)"/>
      <w:numFmt w:val="decimal"/>
      <w:start w:val="2"/>
    </w:lvl>
  </w:abstractNum>
  <w:abstractNum w:abstractNumId="88">
    <w:nsid w:val="17A1B582"/>
    <w:multiLevelType w:val="hybridMultilevel"/>
    <w:lvl w:ilvl="0">
      <w:lvlJc w:val="left"/>
      <w:lvlText w:val="(%1)"/>
      <w:numFmt w:val="upperLetter"/>
      <w:start w:val="2"/>
    </w:lvl>
    <w:lvl w:ilvl="1">
      <w:lvlJc w:val="left"/>
      <w:lvlText w:val="(%2)"/>
      <w:numFmt w:val="decimal"/>
      <w:start w:val="6"/>
    </w:lvl>
  </w:abstractNum>
  <w:abstractNum w:abstractNumId="89">
    <w:nsid w:val="4DF72E4E"/>
    <w:multiLevelType w:val="hybridMultilevel"/>
    <w:lvl w:ilvl="0">
      <w:lvlJc w:val="left"/>
      <w:lvlText w:val="%1"/>
      <w:numFmt w:val="decimal"/>
      <w:start w:val="1"/>
    </w:lvl>
    <w:lvl w:ilvl="1">
      <w:lvlJc w:val="left"/>
      <w:lvlText w:val="(%2)"/>
      <w:numFmt w:val="decimal"/>
      <w:start w:val="10"/>
    </w:lvl>
  </w:abstractNum>
  <w:abstractNum w:abstractNumId="90">
    <w:nsid w:val="5046B5A9"/>
    <w:multiLevelType w:val="hybridMultilevel"/>
    <w:lvl w:ilvl="0">
      <w:lvlJc w:val="left"/>
      <w:lvlText w:val="(%1)"/>
      <w:numFmt w:val="decimal"/>
      <w:start w:val="12"/>
    </w:lvl>
    <w:lvl w:ilvl="1">
      <w:lvlJc w:val="left"/>
      <w:lvlText w:val="%2"/>
      <w:numFmt w:val="decimal"/>
      <w:start w:val="1"/>
    </w:lvl>
  </w:abstractNum>
  <w:abstractNum w:abstractNumId="91">
    <w:nsid w:val="5D888A08"/>
    <w:multiLevelType w:val="hybridMultilevel"/>
    <w:lvl w:ilvl="0">
      <w:lvlJc w:val="left"/>
      <w:lvlText w:val="(%1)"/>
      <w:numFmt w:val="decimal"/>
      <w:start w:val="1"/>
    </w:lvl>
  </w:abstractNum>
  <w:abstractNum w:abstractNumId="92">
    <w:nsid w:val="2A082C70"/>
    <w:multiLevelType w:val="hybridMultilevel"/>
    <w:lvl w:ilvl="0">
      <w:lvlJc w:val="left"/>
      <w:lvlText w:val="(%1)"/>
      <w:numFmt w:val="lowerLetter"/>
      <w:start w:val="1"/>
    </w:lvl>
  </w:abstractNum>
  <w:abstractNum w:abstractNumId="93">
    <w:nsid w:val="5EC6AFD4"/>
    <w:multiLevelType w:val="hybridMultilevel"/>
    <w:lvl w:ilvl="0">
      <w:lvlJc w:val="left"/>
      <w:lvlText w:val="(%1)"/>
      <w:numFmt w:val="decimal"/>
      <w:start w:val="1"/>
    </w:lvl>
  </w:abstractNum>
  <w:abstractNum w:abstractNumId="94">
    <w:nsid w:val="19E21BB2"/>
    <w:multiLevelType w:val="hybridMultilevel"/>
    <w:lvl w:ilvl="0">
      <w:lvlJc w:val="left"/>
      <w:lvlText w:val="%1"/>
      <w:numFmt w:val="upperLetter"/>
      <w:start w:val="1"/>
    </w:lvl>
    <w:lvl w:ilvl="1">
      <w:lvlJc w:val="left"/>
      <w:lvlText w:val="(%2)"/>
      <w:numFmt w:val="decimal"/>
      <w:start w:val="1"/>
    </w:lvl>
  </w:abstractNum>
  <w:abstractNum w:abstractNumId="95">
    <w:nsid w:val="75E0858A"/>
    <w:multiLevelType w:val="hybridMultilevel"/>
    <w:lvl w:ilvl="0">
      <w:lvlJc w:val="left"/>
      <w:lvlText w:val="(%1)"/>
      <w:numFmt w:val="upperLetter"/>
      <w:start w:val="2"/>
    </w:lvl>
    <w:lvl w:ilvl="1">
      <w:lvlJc w:val="left"/>
      <w:lvlText w:val="%2"/>
      <w:numFmt w:val="decimal"/>
      <w:start w:val="1"/>
    </w:lvl>
  </w:abstractNum>
  <w:abstractNum w:abstractNumId="96">
    <w:nsid w:val="57A61A29"/>
    <w:multiLevelType w:val="hybridMultilevel"/>
    <w:lvl w:ilvl="0">
      <w:lvlJc w:val="left"/>
      <w:lvlText w:val="(%1)"/>
      <w:numFmt w:val="decimal"/>
      <w:start w:val="3"/>
    </w:lvl>
  </w:abstractNum>
  <w:abstractNum w:abstractNumId="97">
    <w:nsid w:val="5399C654"/>
    <w:multiLevelType w:val="hybridMultilevel"/>
    <w:lvl w:ilvl="0">
      <w:lvlJc w:val="left"/>
      <w:lvlText w:val="(%1)"/>
      <w:numFmt w:val="decimal"/>
      <w:start w:val="1"/>
    </w:lvl>
  </w:abstractNum>
  <w:abstractNum w:abstractNumId="98">
    <w:nsid w:val="20EE1348"/>
    <w:multiLevelType w:val="hybridMultilevel"/>
    <w:lvl w:ilvl="0">
      <w:lvlJc w:val="left"/>
      <w:lvlText w:val="(%1)"/>
      <w:numFmt w:val="decimal"/>
      <w:start w:val="1"/>
    </w:lvl>
  </w:abstractNum>
  <w:abstractNum w:abstractNumId="99">
    <w:nsid w:val="4427069A"/>
    <w:multiLevelType w:val="hybridMultilevel"/>
    <w:lvl w:ilvl="0">
      <w:lvlJc w:val="left"/>
      <w:lvlText w:val="(%1)"/>
      <w:numFmt w:val="decimal"/>
      <w:start w:val="5"/>
    </w:lvl>
  </w:abstractNum>
  <w:abstractNum w:abstractNumId="100">
    <w:nsid w:val="B37E80A"/>
    <w:multiLevelType w:val="hybridMultilevel"/>
    <w:lvl w:ilvl="0">
      <w:lvlJc w:val="left"/>
      <w:lvlText w:val="(%1)"/>
      <w:numFmt w:val="decimal"/>
      <w:start w:val="1"/>
    </w:lvl>
  </w:abstractNum>
  <w:abstractNum w:abstractNumId="101">
    <w:nsid w:val="2157F6BC"/>
    <w:multiLevelType w:val="hybridMultilevel"/>
    <w:lvl w:ilvl="0">
      <w:lvlJc w:val="left"/>
      <w:lvlText w:val="(%1)"/>
      <w:numFmt w:val="lowerRoman"/>
      <w:start w:val="3"/>
    </w:lvl>
  </w:abstractNum>
  <w:abstractNum w:abstractNumId="102">
    <w:nsid w:val="704E1DD5"/>
    <w:multiLevelType w:val="hybridMultilevel"/>
    <w:lvl w:ilvl="0">
      <w:lvlJc w:val="left"/>
      <w:lvlText w:val="(%1)"/>
      <w:numFmt w:val="decimal"/>
      <w:start w:val="1"/>
    </w:lvl>
  </w:abstractNum>
  <w:abstractNum w:abstractNumId="103">
    <w:nsid w:val="57D2F10E"/>
    <w:multiLevelType w:val="hybridMultilevel"/>
    <w:lvl w:ilvl="0">
      <w:lvlJc w:val="left"/>
      <w:lvlText w:val="(%1)"/>
      <w:numFmt w:val="upperLetter"/>
      <w:start w:val="3"/>
    </w:lvl>
  </w:abstractNum>
  <w:abstractNum w:abstractNumId="104">
    <w:nsid w:val="BFFAE18"/>
    <w:multiLevelType w:val="hybridMultilevel"/>
    <w:lvl w:ilvl="0">
      <w:lvlJc w:val="left"/>
      <w:lvlText w:val="(%1)"/>
      <w:numFmt w:val="decimal"/>
      <w:start w:val="1"/>
    </w:lvl>
  </w:abstractNum>
  <w:abstractNum w:abstractNumId="105">
    <w:nsid w:val="E3E47A8"/>
    <w:multiLevelType w:val="hybridMultilevel"/>
    <w:lvl w:ilvl="0">
      <w:lvlJc w:val="left"/>
      <w:lvlText w:val="(%1)"/>
      <w:numFmt w:val="decimal"/>
      <w:start w:val="3"/>
    </w:lvl>
  </w:abstractNum>
  <w:abstractNum w:abstractNumId="106">
    <w:nsid w:val="2E48F044"/>
    <w:multiLevelType w:val="hybridMultilevel"/>
    <w:lvl w:ilvl="0">
      <w:lvlJc w:val="left"/>
      <w:lvlText w:val="(%1)"/>
      <w:numFmt w:val="lowerRoman"/>
      <w:start w:val="2"/>
    </w:lvl>
  </w:abstractNum>
  <w:abstractNum w:abstractNumId="107">
    <w:nsid w:val="49D0FEAC"/>
    <w:multiLevelType w:val="hybridMultilevel"/>
    <w:lvl w:ilvl="0">
      <w:lvlJc w:val="left"/>
      <w:lvlText w:val="(%1)"/>
      <w:numFmt w:val="lowerRoman"/>
      <w:start w:val="4"/>
    </w:lvl>
  </w:abstractNum>
  <w:abstractNum w:abstractNumId="108">
    <w:nsid w:val="4BEE5A5B"/>
    <w:multiLevelType w:val="hybridMultilevel"/>
    <w:lvl w:ilvl="0">
      <w:lvlJc w:val="left"/>
      <w:lvlText w:val="(%1)"/>
      <w:numFmt w:val="decimal"/>
      <w:start w:val="1"/>
    </w:lvl>
  </w:abstractNum>
  <w:abstractNum w:abstractNumId="109">
    <w:nsid w:val="5551B9F3"/>
    <w:multiLevelType w:val="hybridMultilevel"/>
    <w:lvl w:ilvl="0">
      <w:lvlJc w:val="left"/>
      <w:lvlText w:val="(%1)"/>
      <w:numFmt w:val="decimal"/>
      <w:start w:val="10"/>
    </w:lvl>
  </w:abstractNum>
  <w:abstractNum w:abstractNumId="110">
    <w:nsid w:val="24F6AB8E"/>
    <w:multiLevelType w:val="hybridMultilevel"/>
    <w:lvl w:ilvl="0">
      <w:lvlJc w:val="left"/>
      <w:lvlText w:val="(%1)"/>
      <w:numFmt w:val="decimal"/>
      <w:start w:val="16"/>
    </w:lvl>
  </w:abstractNum>
  <w:abstractNum w:abstractNumId="111">
    <w:nsid w:val="634C574C"/>
    <w:multiLevelType w:val="hybridMultilevel"/>
    <w:lvl w:ilvl="0">
      <w:lvlJc w:val="left"/>
      <w:lvlText w:val="(%1)"/>
      <w:numFmt w:val="decimal"/>
      <w:start w:val="17"/>
    </w:lvl>
  </w:abstractNum>
  <w:abstractNum w:abstractNumId="112">
    <w:nsid w:val="24E99DD7"/>
    <w:multiLevelType w:val="hybridMultilevel"/>
    <w:lvl w:ilvl="0">
      <w:lvlJc w:val="left"/>
      <w:lvlText w:val="(%1)"/>
      <w:numFmt w:val="decimal"/>
      <w:start w:val="1"/>
    </w:lvl>
  </w:abstractNum>
  <w:abstractNum w:abstractNumId="113">
    <w:nsid w:val="2A31B62D"/>
    <w:multiLevelType w:val="hybridMultilevel"/>
    <w:lvl w:ilvl="0">
      <w:lvlJc w:val="left"/>
      <w:lvlText w:val="(%1)"/>
      <w:numFmt w:val="decimal"/>
      <w:start w:val="3"/>
    </w:lvl>
  </w:abstractNum>
  <w:abstractNum w:abstractNumId="114">
    <w:nsid w:val="1849C29B"/>
    <w:multiLevelType w:val="hybridMultilevel"/>
    <w:lvl w:ilvl="0">
      <w:lvlJc w:val="left"/>
      <w:lvlText w:val="(%1)"/>
      <w:numFmt w:val="decimal"/>
      <w:start w:val="1"/>
    </w:lvl>
  </w:abstractNum>
  <w:abstractNum w:abstractNumId="115">
    <w:nsid w:val="7DFF9D09"/>
    <w:multiLevelType w:val="hybridMultilevel"/>
    <w:lvl w:ilvl="0">
      <w:lvlJc w:val="left"/>
      <w:lvlText w:val="(%1)"/>
      <w:numFmt w:val="decimal"/>
      <w:start w:val="4"/>
    </w:lvl>
  </w:abstractNum>
  <w:abstractNum w:abstractNumId="116">
    <w:nsid w:val="754342"/>
    <w:multiLevelType w:val="hybridMultilevel"/>
    <w:lvl w:ilvl="0">
      <w:lvlJc w:val="left"/>
      <w:lvlText w:val="(%1)"/>
      <w:numFmt w:val="decimal"/>
      <w:start w:val="1"/>
    </w:lvl>
  </w:abstractNum>
  <w:abstractNum w:abstractNumId="117">
    <w:nsid w:val="69E7F3E5"/>
    <w:multiLevelType w:val="hybridMultilevel"/>
    <w:lvl w:ilvl="0">
      <w:lvlJc w:val="left"/>
      <w:lvlText w:val="(%1)"/>
      <w:numFmt w:val="lowerRoman"/>
      <w:start w:val="1"/>
    </w:lvl>
  </w:abstractNum>
  <w:abstractNum w:abstractNumId="118">
    <w:nsid w:val="2A6DE806"/>
    <w:multiLevelType w:val="hybridMultilevel"/>
    <w:lvl w:ilvl="0">
      <w:lvlJc w:val="left"/>
      <w:lvlText w:val="(%1)"/>
      <w:numFmt w:val="decimal"/>
      <w:start w:val="1"/>
    </w:lvl>
  </w:abstractNum>
  <w:abstractNum w:abstractNumId="119">
    <w:nsid w:val="1816F8C4"/>
    <w:multiLevelType w:val="hybridMultilevel"/>
    <w:lvl w:ilvl="0">
      <w:lvlJc w:val="left"/>
      <w:lvlText w:val="(%1)"/>
      <w:numFmt w:val="decimal"/>
      <w:start w:val="2"/>
    </w:lvl>
  </w:abstractNum>
  <w:abstractNum w:abstractNumId="120">
    <w:nsid w:val="37DF2233"/>
    <w:multiLevelType w:val="hybridMultilevel"/>
    <w:lvl w:ilvl="0">
      <w:lvlJc w:val="left"/>
      <w:lvlText w:val="(%1)"/>
      <w:numFmt w:val="decimal"/>
      <w:start w:val="1"/>
    </w:lvl>
    <w:lvl w:ilvl="1">
      <w:lvlJc w:val="left"/>
      <w:lvlText w:val="(%2)"/>
      <w:numFmt w:val="upperLetter"/>
      <w:start w:val="1"/>
    </w:lvl>
  </w:abstractNum>
  <w:abstractNum w:abstractNumId="121">
    <w:nsid w:val="7AB49DAF"/>
    <w:multiLevelType w:val="hybridMultilevel"/>
    <w:lvl w:ilvl="0">
      <w:lvlJc w:val="left"/>
      <w:lvlText w:val="(%1)"/>
      <w:numFmt w:val="upperLetter"/>
      <w:start w:val="2"/>
    </w:lvl>
    <w:lvl w:ilvl="1">
      <w:lvlJc w:val="left"/>
      <w:lvlText w:val="(%2)"/>
      <w:numFmt w:val="lowerRoman"/>
      <w:start w:val="1"/>
    </w:lvl>
  </w:abstractNum>
  <w:abstractNum w:abstractNumId="122">
    <w:nsid w:val="759F82CD"/>
    <w:multiLevelType w:val="hybridMultilevel"/>
    <w:lvl w:ilvl="0">
      <w:lvlJc w:val="left"/>
      <w:lvlText w:val="(%1)"/>
      <w:numFmt w:val="decimal"/>
      <w:start w:val="2"/>
    </w:lvl>
  </w:abstractNum>
  <w:abstractNum w:abstractNumId="123">
    <w:nsid w:val="61E74EA3"/>
    <w:multiLevelType w:val="hybridMultilevel"/>
    <w:lvl w:ilvl="0">
      <w:lvlJc w:val="left"/>
      <w:lvlText w:val="(%1)"/>
      <w:numFmt w:val="decimal"/>
      <w:start w:val="1"/>
    </w:lvl>
  </w:abstractNum>
  <w:abstractNum w:abstractNumId="124">
    <w:nsid w:val="597B4D84"/>
    <w:multiLevelType w:val="hybridMultilevel"/>
    <w:lvl w:ilvl="0">
      <w:lvlJc w:val="left"/>
      <w:lvlText w:val="(%1)"/>
      <w:numFmt w:val="decimal"/>
      <w:start w:val="5"/>
    </w:lvl>
  </w:abstractNum>
  <w:abstractNum w:abstractNumId="125">
    <w:nsid w:val="F819E7F"/>
    <w:multiLevelType w:val="hybridMultilevel"/>
    <w:lvl w:ilvl="0">
      <w:lvlJc w:val="left"/>
      <w:lvlText w:val="(%1)"/>
      <w:numFmt w:val="decimal"/>
      <w:start w:val="1"/>
    </w:lvl>
    <w:lvl w:ilvl="1">
      <w:lvlJc w:val="left"/>
      <w:lvlText w:val="(%2)"/>
      <w:numFmt w:val="upperLetter"/>
      <w:start w:val="1"/>
    </w:lvl>
  </w:abstractNum>
  <w:abstractNum w:abstractNumId="126">
    <w:nsid w:val="57C7D42D"/>
    <w:multiLevelType w:val="hybridMultilevel"/>
    <w:lvl w:ilvl="0">
      <w:lvlJc w:val="left"/>
      <w:lvlText w:val="(%1)"/>
      <w:numFmt w:val="decimal"/>
      <w:start w:val="1"/>
    </w:lvl>
  </w:abstractNum>
  <w:abstractNum w:abstractNumId="127">
    <w:nsid w:val="312167AD"/>
    <w:multiLevelType w:val="hybridMultilevel"/>
    <w:lvl w:ilvl="0">
      <w:lvlJc w:val="left"/>
      <w:lvlText w:val="(%1)"/>
      <w:numFmt w:val="decimal"/>
      <w:start w:val="1"/>
    </w:lvl>
  </w:abstractNum>
  <w:abstractNum w:abstractNumId="128">
    <w:nsid w:val="631B64D4"/>
    <w:multiLevelType w:val="hybridMultilevel"/>
    <w:lvl w:ilvl="0">
      <w:lvlJc w:val="left"/>
      <w:lvlText w:val="(%1)"/>
      <w:numFmt w:val="decimal"/>
      <w:start w:val="1"/>
    </w:lvl>
  </w:abstractNum>
  <w:abstractNum w:abstractNumId="129">
    <w:nsid w:val="78B5E776"/>
    <w:multiLevelType w:val="hybridMultilevel"/>
    <w:lvl w:ilvl="0">
      <w:lvlJc w:val="left"/>
      <w:lvlText w:val="(%1)"/>
      <w:numFmt w:val="decimal"/>
      <w:start w:val="2"/>
    </w:lvl>
  </w:abstractNum>
  <w:abstractNum w:abstractNumId="130">
    <w:nsid w:val="75486E47"/>
    <w:multiLevelType w:val="hybridMultilevel"/>
    <w:lvl w:ilvl="0">
      <w:lvlJc w:val="left"/>
      <w:lvlText w:val="(%1)"/>
      <w:numFmt w:val="decimal"/>
      <w:start w:val="1"/>
    </w:lvl>
  </w:abstractNum>
  <w:abstractNum w:abstractNumId="131">
    <w:nsid w:val="6E534CDE"/>
    <w:multiLevelType w:val="hybridMultilevel"/>
    <w:lvl w:ilvl="0">
      <w:lvlJc w:val="left"/>
      <w:lvlText w:val="(%1)"/>
      <w:numFmt w:val="lowerLetter"/>
      <w:start w:val="1"/>
    </w:lvl>
    <w:lvl w:ilvl="1">
      <w:lvlJc w:val="left"/>
      <w:lvlText w:val="(%2)"/>
      <w:numFmt w:val="decimal"/>
      <w:start w:val="1"/>
    </w:lvl>
  </w:abstractNum>
  <w:abstractNum w:abstractNumId="132">
    <w:nsid w:val="1A0DDE32"/>
    <w:multiLevelType w:val="hybridMultilevel"/>
    <w:lvl w:ilvl="0">
      <w:lvlJc w:val="left"/>
      <w:lvlText w:val="%1"/>
      <w:numFmt w:val="lowerLetter"/>
      <w:start w:val="1"/>
    </w:lvl>
    <w:lvl w:ilvl="1">
      <w:lvlJc w:val="left"/>
      <w:lvlText w:val="(%2)"/>
      <w:numFmt w:val="decimal"/>
      <w:start w:val="4"/>
    </w:lvl>
  </w:abstractNum>
  <w:abstractNum w:abstractNumId="133">
    <w:nsid w:val="65968C1C"/>
    <w:multiLevelType w:val="hybridMultilevel"/>
    <w:lvl w:ilvl="0">
      <w:lvlJc w:val="left"/>
      <w:lvlText w:val="(%1)"/>
      <w:numFmt w:val="lowerLetter"/>
      <w:start w:val="4"/>
    </w:lvl>
    <w:lvl w:ilvl="1">
      <w:lvlJc w:val="left"/>
      <w:lvlText w:val="%2"/>
      <w:numFmt w:val="decimal"/>
      <w:start w:val="1"/>
    </w:lvl>
  </w:abstractNum>
  <w:abstractNum w:abstractNumId="134">
    <w:nsid w:val="46263DEC"/>
    <w:multiLevelType w:val="hybridMultilevel"/>
    <w:lvl w:ilvl="0">
      <w:lvlJc w:val="left"/>
      <w:lvlText w:val="(%1)"/>
      <w:numFmt w:val="decimal"/>
      <w:start w:val="1"/>
    </w:lvl>
  </w:abstractNum>
  <w:abstractNum w:abstractNumId="135">
    <w:nsid w:val="260D8C4A"/>
    <w:multiLevelType w:val="hybridMultilevel"/>
    <w:lvl w:ilvl="0">
      <w:lvlJc w:val="left"/>
      <w:lvlText w:val="(%1)"/>
      <w:numFmt w:val="decimal"/>
      <w:start w:val="3"/>
    </w:lvl>
  </w:abstractNum>
  <w:abstractNum w:abstractNumId="136">
    <w:nsid w:val="73D4D3C4"/>
    <w:multiLevelType w:val="hybridMultilevel"/>
    <w:lvl w:ilvl="0">
      <w:lvlJc w:val="left"/>
      <w:lvlText w:val="(%1)"/>
      <w:numFmt w:val="decimal"/>
      <w:start w:val="9"/>
    </w:lvl>
  </w:abstractNum>
  <w:abstractNum w:abstractNumId="137">
    <w:nsid w:val="746F2E30"/>
    <w:multiLevelType w:val="hybridMultilevel"/>
    <w:lvl w:ilvl="0">
      <w:lvlJc w:val="left"/>
      <w:lvlText w:val="(%1)"/>
      <w:numFmt w:val="lowerLetter"/>
      <w:start w:val="1"/>
    </w:lvl>
  </w:abstractNum>
  <w:abstractNum w:abstractNumId="138">
    <w:nsid w:val="6FDE8AF6"/>
    <w:multiLevelType w:val="hybridMultilevel"/>
    <w:lvl w:ilvl="0">
      <w:lvlJc w:val="left"/>
      <w:lvlText w:val="(%1)"/>
      <w:numFmt w:val="lowerLetter"/>
      <w:start w:val="2"/>
    </w:lvl>
  </w:abstractNum>
  <w:abstractNum w:abstractNumId="139">
    <w:nsid w:val="3FC32E20"/>
    <w:multiLevelType w:val="hybridMultilevel"/>
    <w:lvl w:ilvl="0">
      <w:lvlJc w:val="left"/>
      <w:lvlText w:val="(%1)"/>
      <w:numFmt w:val="decimal"/>
      <w:start w:val="1"/>
    </w:lvl>
  </w:abstractNum>
  <w:abstractNum w:abstractNumId="140">
    <w:nsid w:val="49C0E823"/>
    <w:multiLevelType w:val="hybridMultilevel"/>
    <w:lvl w:ilvl="0">
      <w:lvlJc w:val="left"/>
      <w:lvlText w:val="(%1)"/>
      <w:numFmt w:val="decimal"/>
      <w:start w:val="1"/>
    </w:lvl>
  </w:abstractNum>
  <w:abstractNum w:abstractNumId="141">
    <w:nsid w:val="14D53685"/>
    <w:multiLevelType w:val="hybridMultilevel"/>
    <w:lvl w:ilvl="0">
      <w:lvlJc w:val="left"/>
      <w:lvlText w:val="(%1)"/>
      <w:numFmt w:val="decimal"/>
      <w:start w:val="1"/>
    </w:lvl>
  </w:abstractNum>
  <w:abstractNum w:abstractNumId="142">
    <w:nsid w:val="230F856C"/>
    <w:multiLevelType w:val="hybridMultilevel"/>
    <w:lvl w:ilvl="0">
      <w:lvlJc w:val="left"/>
      <w:lvlText w:val="(%1)"/>
      <w:numFmt w:val="decimal"/>
      <w:start w:val="2"/>
    </w:lvl>
  </w:abstractNum>
  <w:abstractNum w:abstractNumId="143">
    <w:nsid w:val="6EAA85FB"/>
    <w:multiLevelType w:val="hybridMultilevel"/>
    <w:lvl w:ilvl="0">
      <w:lvlJc w:val="left"/>
      <w:lvlText w:val="(%1)"/>
      <w:numFmt w:val="decimal"/>
      <w:start w:val="1"/>
    </w:lvl>
  </w:abstractNum>
  <w:abstractNum w:abstractNumId="144">
    <w:nsid w:val="3F06ECB2"/>
    <w:multiLevelType w:val="hybridMultilevel"/>
    <w:lvl w:ilvl="0">
      <w:lvlJc w:val="left"/>
      <w:lvlText w:val="%1"/>
      <w:numFmt w:val="upperLetter"/>
      <w:start w:val="1"/>
    </w:lvl>
    <w:lvl w:ilvl="1">
      <w:lvlJc w:val="left"/>
      <w:lvlText w:val="(%2)"/>
      <w:numFmt w:val="decimal"/>
      <w:start w:val="2"/>
    </w:lvl>
  </w:abstractNum>
  <w:abstractNum w:abstractNumId="145">
    <w:nsid w:val="3B594807"/>
    <w:multiLevelType w:val="hybridMultilevel"/>
    <w:lvl w:ilvl="0">
      <w:lvlJc w:val="left"/>
      <w:lvlText w:val="(%1)"/>
      <w:numFmt w:val="upperLetter"/>
      <w:start w:val="2"/>
    </w:lvl>
    <w:lvl w:ilvl="1">
      <w:lvlJc w:val="left"/>
      <w:lvlText w:val="(%2)"/>
      <w:numFmt w:val="decimal"/>
      <w:start w:val="6"/>
    </w:lvl>
  </w:abstractNum>
  <w:abstractNum w:abstractNumId="146">
    <w:nsid w:val="6CAA2304"/>
    <w:multiLevelType w:val="hybridMultilevel"/>
    <w:lvl w:ilvl="0">
      <w:lvlJc w:val="left"/>
      <w:lvlText w:val="%1"/>
      <w:numFmt w:val="decimal"/>
      <w:start w:val="1"/>
    </w:lvl>
    <w:lvl w:ilvl="1">
      <w:lvlJc w:val="left"/>
      <w:lvlText w:val="(%2)"/>
      <w:numFmt w:val="decimal"/>
      <w:start w:val="10"/>
    </w:lvl>
  </w:abstractNum>
  <w:abstractNum w:abstractNumId="147">
    <w:nsid w:val="3F7C2FF4"/>
    <w:multiLevelType w:val="hybridMultilevel"/>
    <w:lvl w:ilvl="0">
      <w:lvlJc w:val="left"/>
      <w:lvlText w:val="(%1)"/>
      <w:numFmt w:val="decimal"/>
      <w:start w:val="12"/>
    </w:lvl>
    <w:lvl w:ilvl="1">
      <w:lvlJc w:val="left"/>
      <w:lvlText w:val="%2"/>
      <w:numFmt w:val="decimal"/>
      <w:start w:val="1"/>
    </w:lvl>
  </w:abstractNum>
  <w:abstractNum w:abstractNumId="148">
    <w:nsid w:val="25413BEC"/>
    <w:multiLevelType w:val="hybridMultilevel"/>
    <w:lvl w:ilvl="0">
      <w:lvlJc w:val="left"/>
      <w:lvlText w:val="(%1)"/>
      <w:numFmt w:val="decimal"/>
      <w:start w:val="1"/>
    </w:lvl>
  </w:abstractNum>
  <w:abstractNum w:abstractNumId="149">
    <w:nsid w:val="17180B0B"/>
    <w:multiLevelType w:val="hybridMultilevel"/>
    <w:lvl w:ilvl="0">
      <w:lvlJc w:val="left"/>
      <w:lvlText w:val="(%1)"/>
      <w:numFmt w:val="lowerLetter"/>
      <w:start w:val="1"/>
    </w:lvl>
  </w:abstractNum>
  <w:abstractNum w:abstractNumId="150">
    <w:nsid w:val="579328B9"/>
    <w:multiLevelType w:val="hybridMultilevel"/>
    <w:lvl w:ilvl="0">
      <w:lvlJc w:val="left"/>
      <w:lvlText w:val="(%1)"/>
      <w:numFmt w:val="lowerLetter"/>
      <w:start w:val="2"/>
    </w:lvl>
  </w:abstractNum>
  <w:abstractNum w:abstractNumId="151">
    <w:nsid w:val="5D205E20"/>
    <w:multiLevelType w:val="hybridMultilevel"/>
    <w:lvl w:ilvl="0">
      <w:lvlJc w:val="left"/>
      <w:lvlText w:val="(%1)"/>
      <w:numFmt w:val="decimal"/>
      <w:start w:val="1"/>
    </w:lvl>
  </w:abstractNum>
  <w:abstractNum w:abstractNumId="152">
    <w:nsid w:val="11CCA8BA"/>
    <w:multiLevelType w:val="hybridMultilevel"/>
    <w:lvl w:ilvl="0">
      <w:lvlJc w:val="left"/>
      <w:lvlText w:val="(%1)"/>
      <w:numFmt w:val="decimal"/>
      <w:start w:val="1"/>
    </w:lvl>
  </w:abstractNum>
  <w:abstractNum w:abstractNumId="153">
    <w:nsid w:val="4D32AB86"/>
    <w:multiLevelType w:val="hybridMultilevel"/>
    <w:lvl w:ilvl="0">
      <w:lvlJc w:val="left"/>
      <w:lvlText w:val="%1"/>
      <w:numFmt w:val="upperLetter"/>
      <w:start w:val="1"/>
    </w:lvl>
    <w:lvl w:ilvl="1">
      <w:lvlJc w:val="left"/>
      <w:lvlText w:val="(%2)"/>
      <w:numFmt w:val="decimal"/>
      <w:start w:val="2"/>
    </w:lvl>
  </w:abstractNum>
  <w:abstractNum w:abstractNumId="154">
    <w:nsid w:val="3F07ACC3"/>
    <w:multiLevelType w:val="hybridMultilevel"/>
    <w:lvl w:ilvl="0">
      <w:lvlJc w:val="left"/>
      <w:lvlText w:val="(%1)"/>
      <w:numFmt w:val="upperLetter"/>
      <w:start w:val="2"/>
    </w:lvl>
    <w:lvl w:ilvl="1">
      <w:lvlJc w:val="left"/>
      <w:lvlText w:val="(%2)"/>
      <w:numFmt w:val="decimal"/>
      <w:start w:val="3"/>
    </w:lvl>
  </w:abstractNum>
  <w:abstractNum w:abstractNumId="155">
    <w:nsid w:val="6B47F63E"/>
    <w:multiLevelType w:val="hybridMultilevel"/>
    <w:lvl w:ilvl="0">
      <w:lvlJc w:val="left"/>
      <w:lvlText w:val="(%1)"/>
      <w:numFmt w:val="decimal"/>
      <w:start w:val="1"/>
    </w:lvl>
  </w:abstractNum>
  <w:abstractNum w:abstractNumId="156">
    <w:nsid w:val="5CB44A05"/>
    <w:multiLevelType w:val="hybridMultilevel"/>
    <w:lvl w:ilvl="0">
      <w:lvlJc w:val="left"/>
      <w:lvlText w:val="(%1)"/>
      <w:numFmt w:val="lowerRoman"/>
      <w:start w:val="2"/>
    </w:lvl>
  </w:abstractNum>
  <w:abstractNum w:abstractNumId="157">
    <w:nsid w:val="16CF80F1"/>
    <w:multiLevelType w:val="hybridMultilevel"/>
    <w:lvl w:ilvl="0">
      <w:lvlJc w:val="left"/>
      <w:lvlText w:val="(%1)"/>
      <w:numFmt w:val="lowerRoman"/>
      <w:start w:val="1"/>
    </w:lvl>
  </w:abstractNum>
  <w:abstractNum w:abstractNumId="158">
    <w:nsid w:val="1C695DEC"/>
    <w:multiLevelType w:val="hybridMultilevel"/>
    <w:lvl w:ilvl="0">
      <w:lvlJc w:val="left"/>
      <w:lvlText w:val="%1."/>
      <w:numFmt w:val="decimal"/>
      <w:start w:val="1"/>
    </w:lvl>
  </w:abstractNum>
  <w:abstractNum w:abstractNumId="159">
    <w:nsid w:val="3FCFAED9"/>
    <w:multiLevelType w:val="hybridMultilevel"/>
    <w:lvl w:ilvl="0">
      <w:lvlJc w:val="left"/>
      <w:lvlText w:val="%1."/>
      <w:numFmt w:val="decimal"/>
      <w:start w:val="3"/>
    </w:lvl>
  </w:abstractNum>
  <w:abstractNum w:abstractNumId="160">
    <w:nsid w:val="F856867"/>
    <w:multiLevelType w:val="hybridMultilevel"/>
    <w:lvl w:ilvl="0">
      <w:lvlJc w:val="left"/>
      <w:lvlText w:val="(%1)"/>
      <w:numFmt w:val="upperLetter"/>
      <w:start w:val="1"/>
    </w:lvl>
  </w:abstractNum>
  <w:abstractNum w:abstractNumId="161">
    <w:nsid w:val="11B1CC33"/>
    <w:multiLevelType w:val="hybridMultilevel"/>
    <w:lvl w:ilvl="0">
      <w:lvlJc w:val="left"/>
      <w:lvlText w:val="(%1)"/>
      <w:numFmt w:val="lowerRoman"/>
      <w:start w:val="6"/>
    </w:lvl>
  </w:abstractNum>
  <w:abstractNum w:abstractNumId="162">
    <w:nsid w:val="2E22FBB7"/>
    <w:multiLevelType w:val="hybridMultilevel"/>
    <w:lvl w:ilvl="0">
      <w:lvlJc w:val="left"/>
      <w:lvlText w:val="(%1)"/>
      <w:numFmt w:val="upperLetter"/>
      <w:start w:val="2"/>
    </w:lvl>
  </w:abstractNum>
  <w:abstractNum w:abstractNumId="163">
    <w:nsid w:val="29934699"/>
    <w:multiLevelType w:val="hybridMultilevel"/>
    <w:lvl w:ilvl="0">
      <w:lvlJc w:val="left"/>
      <w:lvlText w:val="(%1)"/>
      <w:numFmt w:val="decimal"/>
      <w:start w:val="1"/>
    </w:lvl>
  </w:abstractNum>
  <w:abstractNum w:abstractNumId="164">
    <w:nsid w:val="77485850"/>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2019-12-08T02:39:21Z</dcterms:created>
  <dcterms:modified xsi:type="dcterms:W3CDTF">2019-12-08T02:39:21Z</dcterms:modified>
</cp:coreProperties>
</file>