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270510</wp:posOffset>
            </wp:positionV>
            <wp:extent cx="3095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220980</wp:posOffset>
            </wp:positionV>
            <wp:extent cx="3095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SECURITIES EXCHANGE ACT OF 1934</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001-35700</w:t>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-302895</wp:posOffset>
            </wp:positionV>
            <wp:extent cx="3095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90170</wp:posOffset>
            </wp:positionV>
            <wp:extent cx="3095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40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4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4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Number)</w:t>
            </w:r>
          </w:p>
        </w:tc>
      </w:tr>
      <w:tr>
        <w:trPr>
          <w:trHeight w:val="507"/>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1225</w:t>
            </w:r>
          </w:p>
        </w:tc>
        <w:tc>
          <w:tcPr>
            <w:tcW w:w="540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Midland, Texas</w:t>
            </w:r>
          </w:p>
        </w:tc>
        <w:tc>
          <w:tcPr>
            <w:tcW w:w="5400" w:type="dxa"/>
            <w:vAlign w:val="bottom"/>
          </w:tcPr>
          <w:p>
            <w:pPr>
              <w:jc w:val="right"/>
              <w:ind w:right="420"/>
              <w:spacing w:after="0"/>
              <w:rPr>
                <w:sz w:val="20"/>
                <w:szCs w:val="20"/>
                <w:color w:val="auto"/>
              </w:rPr>
            </w:pPr>
            <w:r>
              <w:rPr>
                <w:rFonts w:ascii="Arial" w:cs="Arial" w:eastAsia="Arial" w:hAnsi="Arial"/>
                <w:sz w:val="18"/>
                <w:szCs w:val="18"/>
                <w:b w:val="1"/>
                <w:bCs w:val="1"/>
                <w:color w:val="auto"/>
              </w:rPr>
              <w:t>79701</w:t>
            </w:r>
          </w:p>
        </w:tc>
      </w:tr>
      <w:tr>
        <w:trPr>
          <w:trHeight w:val="245"/>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00" w:type="dxa"/>
            <w:vAlign w:val="bottom"/>
          </w:tcPr>
          <w:p>
            <w:pPr>
              <w:jc w:val="center"/>
              <w:ind w:left="3880"/>
              <w:spacing w:after="0"/>
              <w:rPr>
                <w:sz w:val="20"/>
                <w:szCs w:val="20"/>
                <w:color w:val="auto"/>
              </w:rPr>
            </w:pPr>
            <w:r>
              <w:rPr>
                <w:rFonts w:ascii="Arial" w:cs="Arial" w:eastAsia="Arial" w:hAnsi="Arial"/>
                <w:sz w:val="14"/>
                <w:szCs w:val="14"/>
                <w:b w:val="1"/>
                <w:bCs w:val="1"/>
                <w:color w:val="auto"/>
                <w:w w:val="98"/>
              </w:rPr>
              <w:t>(Zip Code)</w:t>
            </w:r>
          </w:p>
        </w:tc>
      </w:tr>
      <w:tr>
        <w:trPr>
          <w:trHeight w:val="246"/>
        </w:trPr>
        <w:tc>
          <w:tcPr>
            <w:tcW w:w="2480" w:type="dxa"/>
            <w:vAlign w:val="bottom"/>
          </w:tcPr>
          <w:p>
            <w:pPr>
              <w:spacing w:after="0"/>
              <w:rPr>
                <w:sz w:val="21"/>
                <w:szCs w:val="21"/>
                <w:color w:val="auto"/>
              </w:rPr>
            </w:pPr>
          </w:p>
        </w:tc>
        <w:tc>
          <w:tcPr>
            <w:tcW w:w="5400" w:type="dxa"/>
            <w:vAlign w:val="bottom"/>
          </w:tcPr>
          <w:p>
            <w:pPr>
              <w:jc w:val="right"/>
              <w:ind w:right="310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480" w:type="dxa"/>
            <w:vAlign w:val="bottom"/>
          </w:tcPr>
          <w:p>
            <w:pPr>
              <w:spacing w:after="0"/>
              <w:rPr>
                <w:sz w:val="16"/>
                <w:szCs w:val="16"/>
                <w:color w:val="auto"/>
              </w:rPr>
            </w:pPr>
          </w:p>
        </w:tc>
        <w:tc>
          <w:tcPr>
            <w:tcW w:w="5400" w:type="dxa"/>
            <w:vAlign w:val="bottom"/>
          </w:tcPr>
          <w:p>
            <w:pPr>
              <w:jc w:val="center"/>
              <w:ind w:right="202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26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spacing w:after="0" w:line="29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40" w:val="left"/>
          <w:tab w:leader="none" w:pos="12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560" w:space="640"/>
            <w:col w:w="5100" w:space="720"/>
            <w:col w:w="2340" w:space="720"/>
            <w:col w:w="300"/>
          </w:cols>
          <w:pgMar w:left="240" w:top="233" w:right="27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4">
            <w:col w:w="1480" w:space="720"/>
            <w:col w:w="5100" w:space="720"/>
            <w:col w:w="2340" w:space="720"/>
            <w:col w:w="300"/>
          </w:cols>
          <w:pgMar w:left="240" w:top="233" w:right="279" w:bottom="1440" w:gutter="0" w:footer="0" w:header="0"/>
          <w:type w:val="continuous"/>
        </w:sectPr>
      </w:pPr>
    </w:p>
    <w:p>
      <w:pPr>
        <w:spacing w:after="0" w:line="20" w:lineRule="exact"/>
        <w:rPr>
          <w:sz w:val="24"/>
          <w:szCs w:val="24"/>
          <w:color w:val="auto"/>
        </w:rPr>
      </w:pPr>
    </w:p>
    <w:p>
      <w:pPr>
        <w:spacing w:after="0" w:line="196" w:lineRule="exact"/>
        <w:tabs>
          <w:tab w:leader="none" w:pos="7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8020" w:space="180"/>
            <w:col w:w="3180"/>
          </w:cols>
          <w:pgMar w:left="240" w:top="233" w:right="27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16, 2012, 36,986,532 shares of common stock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00" w:type="dxa"/>
            <w:vAlign w:val="bottom"/>
            <w:gridSpan w:val="11"/>
          </w:tcPr>
          <w:p>
            <w:pPr>
              <w:jc w:val="center"/>
              <w:ind w:right="2020"/>
              <w:spacing w:after="0"/>
              <w:rPr>
                <w:sz w:val="20"/>
                <w:szCs w:val="20"/>
                <w:color w:val="auto"/>
              </w:rPr>
            </w:pPr>
            <w:r>
              <w:rPr>
                <w:rFonts w:ascii="Arial" w:cs="Arial" w:eastAsia="Arial" w:hAnsi="Arial"/>
                <w:sz w:val="18"/>
                <w:szCs w:val="18"/>
                <w:b w:val="1"/>
                <w:bCs w:val="1"/>
                <w:color w:val="auto"/>
              </w:rPr>
              <w:t>DIAMONDBACK ENERGY, INC.</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gridSpan w:val="4"/>
          </w:tcPr>
          <w:p>
            <w:pPr>
              <w:ind w:left="800"/>
              <w:spacing w:after="0"/>
              <w:rPr>
                <w:sz w:val="20"/>
                <w:szCs w:val="20"/>
                <w:color w:val="auto"/>
              </w:rPr>
            </w:pPr>
            <w:r>
              <w:rPr>
                <w:rFonts w:ascii="Arial" w:cs="Arial" w:eastAsia="Arial" w:hAnsi="Arial"/>
                <w:sz w:val="18"/>
                <w:szCs w:val="18"/>
                <w:color w:val="auto"/>
              </w:rPr>
              <w:t>Page</w:t>
            </w:r>
          </w:p>
        </w:tc>
      </w:tr>
      <w:tr>
        <w:trPr>
          <w:trHeight w:val="27"/>
        </w:trPr>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820" w:type="dxa"/>
            <w:vAlign w:val="bottom"/>
            <w:tcBorders>
              <w:bottom w:val="single" w:sz="8" w:color="0000FF"/>
            </w:tcBorders>
            <w:gridSpan w:val="2"/>
          </w:tcPr>
          <w:p>
            <w:pPr>
              <w:spacing w:after="0" w:line="196" w:lineRule="exact"/>
              <w:rPr>
                <w:rFonts w:ascii="Arial" w:cs="Arial" w:eastAsia="Arial" w:hAnsi="Arial"/>
                <w:sz w:val="18"/>
                <w:szCs w:val="18"/>
                <w:color w:val="0000FF"/>
                <w:w w:val="95"/>
              </w:rPr>
            </w:pPr>
            <w:hyperlink w:anchor="page2">
              <w:r>
                <w:rPr>
                  <w:rFonts w:ascii="Arial" w:cs="Arial" w:eastAsia="Arial" w:hAnsi="Arial"/>
                  <w:sz w:val="18"/>
                  <w:szCs w:val="18"/>
                  <w:color w:val="0000FF"/>
                  <w:w w:val="95"/>
                </w:rPr>
                <w:t>EXPLANATORY NOTE</w:t>
              </w:r>
            </w:hyperlink>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ind w:left="40"/>
              <w:spacing w:after="0" w:line="196" w:lineRule="exact"/>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250"/>
        </w:trPr>
        <w:tc>
          <w:tcPr>
            <w:tcW w:w="2880" w:type="dxa"/>
            <w:vAlign w:val="bottom"/>
            <w:tcBorders>
              <w:bottom w:val="single" w:sz="8" w:color="0000FF"/>
            </w:tcBorders>
            <w:gridSpan w:val="7"/>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6560" w:type="dxa"/>
            <w:vAlign w:val="bottom"/>
            <w:gridSpan w:val="14"/>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0" w:type="dxa"/>
            <w:vAlign w:val="bottom"/>
          </w:tcPr>
          <w:p>
            <w:pPr>
              <w:spacing w:after="0"/>
              <w:rPr>
                <w:sz w:val="21"/>
                <w:szCs w:val="21"/>
                <w:color w:val="auto"/>
              </w:rPr>
            </w:pPr>
          </w:p>
        </w:tc>
        <w:tc>
          <w:tcPr>
            <w:tcW w:w="728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 of Windsor Permian LLC (unaudited)</w:t>
              </w:r>
            </w:hyperlink>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Consolidated Balance Sheets as of September 30, 2012 and December 31, 2011</w:t>
              </w:r>
            </w:hyperlink>
          </w:p>
        </w:tc>
        <w:tc>
          <w:tcPr>
            <w:tcW w:w="1540" w:type="dxa"/>
            <w:vAlign w:val="bottom"/>
            <w:gridSpan w:val="5"/>
          </w:tcPr>
          <w:p>
            <w:pPr>
              <w:spacing w:after="0"/>
              <w:rPr>
                <w:sz w:val="21"/>
                <w:szCs w:val="21"/>
                <w:color w:val="auto"/>
              </w:rPr>
            </w:pPr>
          </w:p>
        </w:tc>
        <w:tc>
          <w:tcPr>
            <w:tcW w:w="18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for the Three and Nine Months Ended September 30, 2012</w:t>
              </w:r>
            </w:hyperlink>
          </w:p>
        </w:tc>
        <w:tc>
          <w:tcPr>
            <w:tcW w:w="18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80" w:type="dxa"/>
            <w:vAlign w:val="bottom"/>
            <w:gridSpan w:val="1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and 2011</w:t>
              </w:r>
            </w:hyperlink>
          </w:p>
        </w:tc>
        <w:tc>
          <w:tcPr>
            <w:tcW w:w="194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80" w:type="dxa"/>
            <w:vAlign w:val="bottom"/>
            <w:gridSpan w:val="18"/>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Changes in Members' Equity for the Nine Months Ended September 30,</w:t>
              </w:r>
            </w:hyperlink>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2012</w:t>
              </w:r>
            </w:hyperlink>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80" w:type="dxa"/>
            <w:vAlign w:val="bottom"/>
            <w:gridSpan w:val="18"/>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Consolidated Statements of Cash Flows for the Nine Months Ended September 30, 2012 and 2011</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Consolidated Financial Statements</w:t>
              </w:r>
            </w:hyperlink>
          </w:p>
        </w:tc>
        <w:tc>
          <w:tcPr>
            <w:tcW w:w="3920" w:type="dxa"/>
            <w:vAlign w:val="bottom"/>
            <w:tcBorders>
              <w:top w:val="single" w:sz="8" w:color="0000FF"/>
            </w:tcBorders>
            <w:gridSpan w:val="6"/>
          </w:tcPr>
          <w:p>
            <w:pPr>
              <w:spacing w:after="0"/>
              <w:rPr>
                <w:sz w:val="21"/>
                <w:szCs w:val="21"/>
                <w:color w:val="auto"/>
              </w:rPr>
            </w:pPr>
          </w:p>
        </w:tc>
        <w:tc>
          <w:tcPr>
            <w:tcW w:w="200" w:type="dxa"/>
            <w:vAlign w:val="bottom"/>
            <w:gridSpan w:val="3"/>
          </w:tcPr>
          <w:p>
            <w:pPr>
              <w:spacing w:after="0"/>
              <w:rPr>
                <w:sz w:val="21"/>
                <w:szCs w:val="21"/>
                <w:color w:val="auto"/>
              </w:rPr>
            </w:pPr>
          </w:p>
        </w:tc>
        <w:tc>
          <w:tcPr>
            <w:tcW w:w="18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40" w:type="dxa"/>
            <w:vAlign w:val="bottom"/>
          </w:tcPr>
          <w:p>
            <w:pPr>
              <w:spacing w:after="0"/>
              <w:rPr>
                <w:sz w:val="21"/>
                <w:szCs w:val="21"/>
                <w:color w:val="auto"/>
              </w:rPr>
            </w:pPr>
          </w:p>
        </w:tc>
        <w:tc>
          <w:tcPr>
            <w:tcW w:w="728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Conditions and Results of Operations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40" w:type="dxa"/>
            <w:vAlign w:val="bottom"/>
          </w:tcPr>
          <w:p>
            <w:pPr>
              <w:spacing w:after="0"/>
              <w:rPr>
                <w:sz w:val="21"/>
                <w:szCs w:val="21"/>
                <w:color w:val="auto"/>
              </w:rPr>
            </w:pPr>
          </w:p>
        </w:tc>
        <w:tc>
          <w:tcPr>
            <w:tcW w:w="4320" w:type="dxa"/>
            <w:vAlign w:val="bottom"/>
            <w:gridSpan w:val="10"/>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Quantitative and Qualitative Disclosures about Market Risk</w:t>
              </w:r>
            </w:hyperlink>
          </w:p>
        </w:tc>
        <w:tc>
          <w:tcPr>
            <w:tcW w:w="2200" w:type="dxa"/>
            <w:vAlign w:val="bottom"/>
            <w:gridSpan w:val="4"/>
          </w:tcPr>
          <w:p>
            <w:pPr>
              <w:spacing w:after="0"/>
              <w:rPr>
                <w:sz w:val="21"/>
                <w:szCs w:val="21"/>
                <w:color w:val="auto"/>
              </w:rPr>
            </w:pPr>
          </w:p>
        </w:tc>
        <w:tc>
          <w:tcPr>
            <w:tcW w:w="760" w:type="dxa"/>
            <w:vAlign w:val="bottom"/>
            <w:gridSpan w:val="4"/>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4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Controls and Procedures</w:t>
              </w:r>
            </w:hyperlink>
          </w:p>
        </w:tc>
        <w:tc>
          <w:tcPr>
            <w:tcW w:w="2540" w:type="dxa"/>
            <w:vAlign w:val="bottom"/>
            <w:gridSpan w:val="3"/>
          </w:tcPr>
          <w:p>
            <w:pPr>
              <w:spacing w:after="0"/>
              <w:rPr>
                <w:sz w:val="21"/>
                <w:szCs w:val="21"/>
                <w:color w:val="auto"/>
              </w:rPr>
            </w:pPr>
          </w:p>
        </w:tc>
        <w:tc>
          <w:tcPr>
            <w:tcW w:w="2960" w:type="dxa"/>
            <w:vAlign w:val="bottom"/>
            <w:gridSpan w:val="8"/>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7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PART II OTHER INFORMATION</w:t>
              </w:r>
            </w:hyperlink>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0" w:type="dxa"/>
            <w:vAlign w:val="bottom"/>
          </w:tcPr>
          <w:p>
            <w:pPr>
              <w:spacing w:after="0"/>
              <w:rPr>
                <w:sz w:val="21"/>
                <w:szCs w:val="21"/>
                <w:color w:val="auto"/>
              </w:rPr>
            </w:pPr>
          </w:p>
        </w:tc>
        <w:tc>
          <w:tcPr>
            <w:tcW w:w="728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40" w:type="dxa"/>
            <w:vAlign w:val="bottom"/>
          </w:tcPr>
          <w:p>
            <w:pPr>
              <w:spacing w:after="0"/>
              <w:rPr>
                <w:sz w:val="21"/>
                <w:szCs w:val="21"/>
                <w:color w:val="auto"/>
              </w:rPr>
            </w:pPr>
          </w:p>
        </w:tc>
        <w:tc>
          <w:tcPr>
            <w:tcW w:w="920" w:type="dxa"/>
            <w:vAlign w:val="bottom"/>
            <w:gridSpan w:val="5"/>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Risk Factors</w:t>
              </w:r>
            </w:hyperlink>
          </w:p>
        </w:tc>
        <w:tc>
          <w:tcPr>
            <w:tcW w:w="400" w:type="dxa"/>
            <w:vAlign w:val="bottom"/>
          </w:tcPr>
          <w:p>
            <w:pPr>
              <w:spacing w:after="0"/>
              <w:rPr>
                <w:sz w:val="21"/>
                <w:szCs w:val="21"/>
                <w:color w:val="auto"/>
              </w:rPr>
            </w:pPr>
          </w:p>
        </w:tc>
        <w:tc>
          <w:tcPr>
            <w:tcW w:w="5960" w:type="dxa"/>
            <w:vAlign w:val="bottom"/>
            <w:gridSpan w:val="12"/>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40" w:type="dxa"/>
            <w:vAlign w:val="bottom"/>
          </w:tcPr>
          <w:p>
            <w:pPr>
              <w:spacing w:after="0"/>
              <w:rPr>
                <w:sz w:val="21"/>
                <w:szCs w:val="21"/>
                <w:color w:val="auto"/>
              </w:rPr>
            </w:pPr>
          </w:p>
        </w:tc>
        <w:tc>
          <w:tcPr>
            <w:tcW w:w="4360" w:type="dxa"/>
            <w:vAlign w:val="bottom"/>
            <w:gridSpan w:val="11"/>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2920" w:type="dxa"/>
            <w:vAlign w:val="bottom"/>
            <w:gridSpan w:val="7"/>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40" w:type="dxa"/>
            <w:vAlign w:val="bottom"/>
          </w:tcPr>
          <w:p>
            <w:pPr>
              <w:spacing w:after="0"/>
              <w:rPr>
                <w:sz w:val="21"/>
                <w:szCs w:val="21"/>
                <w:color w:val="auto"/>
              </w:rPr>
            </w:pPr>
          </w:p>
        </w:tc>
        <w:tc>
          <w:tcPr>
            <w:tcW w:w="2340" w:type="dxa"/>
            <w:vAlign w:val="bottom"/>
            <w:gridSpan w:val="8"/>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Defaults Upon Senior Securities</w:t>
              </w:r>
            </w:hyperlink>
          </w:p>
        </w:tc>
        <w:tc>
          <w:tcPr>
            <w:tcW w:w="2020" w:type="dxa"/>
            <w:vAlign w:val="bottom"/>
            <w:gridSpan w:val="3"/>
          </w:tcPr>
          <w:p>
            <w:pPr>
              <w:spacing w:after="0"/>
              <w:rPr>
                <w:sz w:val="21"/>
                <w:szCs w:val="21"/>
                <w:color w:val="auto"/>
              </w:rPr>
            </w:pPr>
          </w:p>
        </w:tc>
        <w:tc>
          <w:tcPr>
            <w:tcW w:w="2920" w:type="dxa"/>
            <w:vAlign w:val="bottom"/>
            <w:gridSpan w:val="7"/>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4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560" w:type="dxa"/>
            <w:vAlign w:val="bottom"/>
          </w:tcPr>
          <w:p>
            <w:pPr>
              <w:spacing w:after="0"/>
              <w:rPr>
                <w:sz w:val="21"/>
                <w:szCs w:val="21"/>
                <w:color w:val="auto"/>
              </w:rPr>
            </w:pPr>
          </w:p>
        </w:tc>
        <w:tc>
          <w:tcPr>
            <w:tcW w:w="4940" w:type="dxa"/>
            <w:vAlign w:val="bottom"/>
            <w:gridSpan w:val="10"/>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4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5500" w:type="dxa"/>
            <w:vAlign w:val="bottom"/>
            <w:gridSpan w:val="11"/>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40" w:type="dxa"/>
            <w:vAlign w:val="bottom"/>
          </w:tcPr>
          <w:p>
            <w:pPr>
              <w:spacing w:after="0"/>
              <w:rPr>
                <w:sz w:val="21"/>
                <w:szCs w:val="21"/>
                <w:color w:val="auto"/>
              </w:rPr>
            </w:pPr>
          </w:p>
        </w:tc>
        <w:tc>
          <w:tcPr>
            <w:tcW w:w="132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5960" w:type="dxa"/>
            <w:vAlign w:val="bottom"/>
            <w:gridSpan w:val="12"/>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50"/>
        </w:trPr>
        <w:tc>
          <w:tcPr>
            <w:tcW w:w="760" w:type="dxa"/>
            <w:vAlign w:val="bottom"/>
            <w:tcBorders>
              <w:bottom w:val="single" w:sz="8" w:color="0000FF"/>
            </w:tcBorders>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Signatures</w:t>
              </w:r>
            </w:hyperlink>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380"/>
          </w:cols>
          <w:pgMar w:left="280" w:top="256"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historical financial information contained in this report relates to periods that ended prior to the completion of the initial public offering (“IPO”) of Diamondback Energy, Inc., and prior to the effective dates of the Windsor UT LLC ("Windsor UT") and Gulfport Energy Corporation ("Gulfport") transactions discussed herein. Consequently, the unaudited consolidated financial statements and related discussion of financial condition and results of operations contained in this report pertain to Windsor Permian LLC (“Windsor”). Windsor is a wholly-owned subsidiary of Diamondback Energy LLC, an entity controlled by Wexford Capital LP ("Wexford"). In connection with completion of the IPO, Diamondback Energy LLC was merged with and into Diamondback Energy, Inc., causing Windsor to become a wholly owned subsidiary of Diamondback Energy, Inc. In addition, Wexford agreed to cause all of the outstanding equity interests in Windsor UT to be contributed to Windsor Permian prior to the merger in a transaction referred to as the Windsor UT contribution. On May 7, 2012, we entered into an agreement with Gulfport, in which Gulfport agreed to sell to us, subject to certain conditions, all of its oil and natural gas interests in the Permian Basin in exchange for shares of our common stock and a promissory note in a transaction we refer to as the Gulfport transaction. The Gulfport transaction was completed in connection with completion of the IPO. We refer to the Gulfport transaction and the Windsor UT contribution together as the Transactions.</w:t>
      </w:r>
    </w:p>
    <w:p>
      <w:pPr>
        <w:spacing w:after="0" w:line="23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October 11, 2012, Diamondback Energy, Inc. priced 12,500,000 shares of its common stock in its IPO at a price of $17.50 per share, and on October 12, 2012 shares of Diamondback Energy, Inc.'s common stock began trading on the Nasdaq Global Select Market under the symbol “FANG”. On October 17, 2012, Diamondback Energy, Inc. closed its IPO. On October 23, 2012, the underwriters purchased an additional 1,875,000 shares of common stock following the exercise in full of their over-allotment option. Unless the context otherwise requires, references in this report to “we,” “our,” “us,” or like terms, when used in a historical context (periods prior to October 11, 2012) refer to Windsor. References in this report to “we,” “our,” “us,” or like terms, when used in the present tense or prospectively (periods after October 11, 2012) refer to Diamondback Energy, Inc. and its subsidiaries. See Note 3 to the following financial statements for Windsor for information regarding the closing of the IPO.</w:t>
      </w:r>
    </w:p>
    <w:p>
      <w:pPr>
        <w:spacing w:after="0" w:line="23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While management believes that the financial statements contained herein are prepared in accordance with accounting principles generally accepted in the United States of America (“GAAP”) and in compliance with the rules and regulations of the U.S. Securities and Exchange Commission (“SEC”), we do not believe that the financial statements of Windsor are indicative of the financial results that will be reported for periods subsequent to the IPO of Diamondback Energy, Inc. The information contained in this report should be read in conjunction with the information contained in Diamondback Energy, Inc.'s final prospectus dated October 11, 2012 and filed with the SEC pursuant to Rule 424(b) under the Securities Act of 1933 on October 15,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r>
      <w:tr>
        <w:trPr>
          <w:trHeight w:val="33"/>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8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836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6,802,000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Joint interest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3,734,000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Oil and natural gas sales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5,172,000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839,000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13,123,000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6,310,000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6,006,000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428,000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26,904,000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30,932,000</w:t>
            </w:r>
          </w:p>
        </w:tc>
      </w:tr>
      <w:tr>
        <w:trPr>
          <w:trHeight w:val="189"/>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720"/>
              <w:spacing w:after="0"/>
              <w:rPr>
                <w:sz w:val="20"/>
                <w:szCs w:val="20"/>
                <w:color w:val="auto"/>
              </w:rPr>
            </w:pPr>
            <w:r>
              <w:rPr>
                <w:rFonts w:ascii="Arial" w:cs="Arial" w:eastAsia="Arial" w:hAnsi="Arial"/>
                <w:sz w:val="18"/>
                <w:szCs w:val="18"/>
                <w:color w:val="auto"/>
                <w:w w:val="96"/>
              </w:rPr>
              <w:t>Oil and natural gas properties, at cost, based on the full cost method of accounting ($7,343,000 and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tcPr>
          <w:p>
            <w:pPr>
              <w:ind w:left="720"/>
              <w:spacing w:after="0"/>
              <w:rPr>
                <w:sz w:val="20"/>
                <w:szCs w:val="20"/>
                <w:color w:val="auto"/>
              </w:rPr>
            </w:pPr>
            <w:r>
              <w:rPr>
                <w:rFonts w:ascii="Arial" w:cs="Arial" w:eastAsia="Arial" w:hAnsi="Arial"/>
                <w:sz w:val="18"/>
                <w:szCs w:val="18"/>
                <w:color w:val="auto"/>
                <w:w w:val="94"/>
              </w:rPr>
              <w:t>$1,732,000 excluded from amortization at September 30, 2012 and December 31, 2011, respectively)</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410,806,000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325,510,000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(135,733,000)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(119,500,000)</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207,027,000</w:t>
            </w:r>
          </w:p>
        </w:tc>
      </w:tr>
      <w:tr>
        <w:trPr>
          <w:trHeight w:val="432"/>
        </w:trPr>
        <w:tc>
          <w:tcPr>
            <w:tcW w:w="8360" w:type="dxa"/>
            <w:vAlign w:val="bottom"/>
          </w:tcPr>
          <w:p>
            <w:pPr>
              <w:ind w:left="40"/>
              <w:spacing w:after="0"/>
              <w:rPr>
                <w:sz w:val="20"/>
                <w:szCs w:val="20"/>
                <w:color w:val="auto"/>
              </w:rPr>
            </w:pPr>
            <w:r>
              <w:rPr>
                <w:rFonts w:ascii="Arial" w:cs="Arial" w:eastAsia="Arial" w:hAnsi="Arial"/>
                <w:sz w:val="18"/>
                <w:szCs w:val="18"/>
                <w:color w:val="auto"/>
              </w:rPr>
              <w:t>Investments-equity method</w:t>
            </w: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10,310,000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1,215,000</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307,767,000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249,484,000</w:t>
            </w:r>
          </w:p>
        </w:tc>
      </w:tr>
      <w:tr>
        <w:trPr>
          <w:trHeight w:val="237"/>
        </w:trPr>
        <w:tc>
          <w:tcPr>
            <w:tcW w:w="836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Members'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8,770,000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payable-related party</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1,066,000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3,436,000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13,923,000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6,114,000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4,804,000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2,426,000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Derivative contracts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6,185,000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8,320,000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payable-short term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Note payable credit facility-short term</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60,072,000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42,418,000</w:t>
            </w:r>
          </w:p>
        </w:tc>
      </w:tr>
      <w:tr>
        <w:trPr>
          <w:trHeight w:val="405"/>
        </w:trPr>
        <w:tc>
          <w:tcPr>
            <w:tcW w:w="8360" w:type="dxa"/>
            <w:vAlign w:val="bottom"/>
          </w:tcPr>
          <w:p>
            <w:pPr>
              <w:ind w:left="380"/>
              <w:spacing w:after="0"/>
              <w:rPr>
                <w:sz w:val="20"/>
                <w:szCs w:val="20"/>
                <w:color w:val="auto"/>
              </w:rPr>
            </w:pPr>
            <w:r>
              <w:rPr>
                <w:rFonts w:ascii="Arial" w:cs="Arial" w:eastAsia="Arial" w:hAnsi="Arial"/>
                <w:sz w:val="18"/>
                <w:szCs w:val="18"/>
                <w:color w:val="auto"/>
              </w:rPr>
              <w:t>Note payable–long term</w:t>
            </w:r>
          </w:p>
        </w:tc>
        <w:tc>
          <w:tcPr>
            <w:tcW w:w="16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payable credit facility-long term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85,000,000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Note payable–related party–long term</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30,045,000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6,139,000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1,264,000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1,080,000</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183,167,000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134,637,000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Contingencies (Note 13)</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114,847,000</w:t>
            </w: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307,767,000</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249,484,000</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14,314,000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1,282,000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42,703,000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1,920,000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sales - 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26,692,000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208,000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726,000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 - 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672,000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2,246,000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2,137,000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liquid sales - 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Oil and natural gas services - related party</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1,491,000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34,500,000</w:t>
            </w:r>
          </w:p>
        </w:tc>
      </w:tr>
      <w:tr>
        <w:trPr>
          <w:trHeight w:val="36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9,187,000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5,797,000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Lease operating expenses - related party</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1,607,000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Production taxes - related party</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1,210,000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Gathering and transportation - related party</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services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Oil and natural gas services - related party</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526,000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6,066,000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11,121,000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1,314,000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 - 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 retirement obligation accretion expense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45,000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12,556,000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33,478,000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24,247,000</w:t>
            </w:r>
          </w:p>
        </w:tc>
      </w:tr>
      <w:tr>
        <w:trPr>
          <w:trHeight w:val="35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4,042,000</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2,812,000</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14,878,000</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10,253,000</w:t>
            </w: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 related party</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671,000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equity investment</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(1,841,000)</w:t>
            </w:r>
          </w:p>
        </w:tc>
      </w:tr>
      <w:tr>
        <w:trPr>
          <w:trHeight w:val="379"/>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436,000</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2,089,000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15,376,000</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8,412,000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 forma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Net income before income taxes, as reported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436,000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2,089,000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15,376,000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8,412,000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provision for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 forma 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436,000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2,089,000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15,376,000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8,412,000</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income per common share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w w:val="95"/>
              </w:rPr>
              <w:t>Weighted average pro forma shares outstanding -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14,000,000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14,000,000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2420" w:type="dxa"/>
            <w:vAlign w:val="bottom"/>
          </w:tcPr>
          <w:p>
            <w:pPr>
              <w:spacing w:after="0"/>
              <w:rPr>
                <w:sz w:val="17"/>
                <w:szCs w:val="17"/>
                <w:color w:val="auto"/>
              </w:rPr>
            </w:pPr>
          </w:p>
        </w:tc>
        <w:tc>
          <w:tcPr>
            <w:tcW w:w="6540" w:type="dxa"/>
            <w:vAlign w:val="bottom"/>
            <w:gridSpan w:val="2"/>
          </w:tcPr>
          <w:p>
            <w:pPr>
              <w:jc w:val="center"/>
              <w:ind w:right="1910"/>
              <w:spacing w:after="0" w:line="205" w:lineRule="exact"/>
              <w:rPr>
                <w:sz w:val="20"/>
                <w:szCs w:val="20"/>
                <w:color w:val="auto"/>
              </w:rPr>
            </w:pPr>
            <w:r>
              <w:rPr>
                <w:rFonts w:ascii="Arial" w:cs="Arial" w:eastAsia="Arial" w:hAnsi="Arial"/>
                <w:sz w:val="18"/>
                <w:szCs w:val="18"/>
                <w:b w:val="1"/>
                <w:bCs w:val="1"/>
                <w:color w:val="auto"/>
                <w:w w:val="91"/>
              </w:rPr>
              <w:t>Windsor Permian LLC and Subsidiaries</w:t>
            </w:r>
          </w:p>
        </w:tc>
        <w:tc>
          <w:tcPr>
            <w:tcW w:w="144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540" w:type="dxa"/>
            <w:vAlign w:val="bottom"/>
            <w:gridSpan w:val="2"/>
          </w:tcPr>
          <w:p>
            <w:pPr>
              <w:jc w:val="center"/>
              <w:ind w:right="1890"/>
              <w:spacing w:after="0"/>
              <w:rPr>
                <w:sz w:val="20"/>
                <w:szCs w:val="20"/>
                <w:color w:val="auto"/>
              </w:rPr>
            </w:pPr>
            <w:r>
              <w:rPr>
                <w:rFonts w:ascii="Arial" w:cs="Arial" w:eastAsia="Arial" w:hAnsi="Arial"/>
                <w:sz w:val="18"/>
                <w:szCs w:val="18"/>
                <w:b w:val="1"/>
                <w:bCs w:val="1"/>
                <w:color w:val="auto"/>
                <w:w w:val="90"/>
              </w:rPr>
              <w:t>Consolidated Statement of Changes in Members' Equity</w:t>
            </w:r>
          </w:p>
        </w:tc>
        <w:tc>
          <w:tcPr>
            <w:tcW w:w="14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540" w:type="dxa"/>
            <w:vAlign w:val="bottom"/>
            <w:gridSpan w:val="2"/>
          </w:tcPr>
          <w:p>
            <w:pPr>
              <w:jc w:val="center"/>
              <w:ind w:right="1910"/>
              <w:spacing w:after="0"/>
              <w:rPr>
                <w:sz w:val="20"/>
                <w:szCs w:val="20"/>
                <w:color w:val="auto"/>
              </w:rPr>
            </w:pPr>
            <w:r>
              <w:rPr>
                <w:rFonts w:ascii="Arial" w:cs="Arial" w:eastAsia="Arial" w:hAnsi="Arial"/>
                <w:sz w:val="18"/>
                <w:szCs w:val="18"/>
                <w:b w:val="1"/>
                <w:bCs w:val="1"/>
                <w:color w:val="auto"/>
                <w:w w:val="93"/>
              </w:rPr>
              <w:t>(Unaudited)</w:t>
            </w:r>
          </w:p>
        </w:tc>
        <w:tc>
          <w:tcPr>
            <w:tcW w:w="1440" w:type="dxa"/>
            <w:vAlign w:val="bottom"/>
          </w:tcPr>
          <w:p>
            <w:pPr>
              <w:spacing w:after="0"/>
              <w:rPr>
                <w:sz w:val="20"/>
                <w:szCs w:val="20"/>
                <w:color w:val="auto"/>
              </w:rPr>
            </w:pPr>
          </w:p>
        </w:tc>
      </w:tr>
      <w:tr>
        <w:trPr>
          <w:trHeight w:val="603"/>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Total member's</w:t>
            </w:r>
          </w:p>
        </w:tc>
      </w:tr>
      <w:tr>
        <w:trPr>
          <w:trHeight w:val="234"/>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equity</w:t>
            </w:r>
          </w:p>
        </w:tc>
      </w:tr>
      <w:tr>
        <w:trPr>
          <w:trHeight w:val="27"/>
        </w:trPr>
        <w:tc>
          <w:tcPr>
            <w:tcW w:w="10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2012</w:t>
            </w:r>
          </w:p>
        </w:tc>
        <w:tc>
          <w:tcPr>
            <w:tcW w:w="6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114,847,000</w:t>
            </w:r>
          </w:p>
        </w:tc>
      </w:tr>
      <w:tr>
        <w:trPr>
          <w:trHeight w:val="243"/>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4,008,000</w:t>
            </w:r>
          </w:p>
        </w:tc>
      </w:tr>
      <w:tr>
        <w:trPr>
          <w:trHeight w:val="27"/>
        </w:trPr>
        <w:tc>
          <w:tcPr>
            <w:tcW w:w="1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Distributions of equity method investments</w:t>
            </w:r>
          </w:p>
        </w:tc>
        <w:tc>
          <w:tcPr>
            <w:tcW w:w="6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(10,504,000)</w:t>
            </w:r>
          </w:p>
        </w:tc>
      </w:tr>
      <w:tr>
        <w:trPr>
          <w:trHeight w:val="243"/>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Equity based compensation</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873,000</w:t>
            </w:r>
          </w:p>
        </w:tc>
      </w:tr>
      <w:tr>
        <w:trPr>
          <w:trHeight w:val="27"/>
        </w:trPr>
        <w:tc>
          <w:tcPr>
            <w:tcW w:w="1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15,376,000</w:t>
            </w:r>
          </w:p>
        </w:tc>
      </w:tr>
      <w:tr>
        <w:trPr>
          <w:trHeight w:val="257"/>
        </w:trPr>
        <w:tc>
          <w:tcPr>
            <w:tcW w:w="34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September 30, 2012</w:t>
            </w:r>
          </w:p>
        </w:tc>
        <w:tc>
          <w:tcPr>
            <w:tcW w:w="63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124,600,000</w:t>
            </w:r>
          </w:p>
        </w:tc>
      </w:tr>
      <w:tr>
        <w:trPr>
          <w:trHeight w:val="20"/>
        </w:trPr>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2011</w:t>
            </w:r>
          </w:p>
        </w:tc>
        <w:tc>
          <w:tcPr>
            <w:tcW w:w="6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105,638,000</w:t>
            </w:r>
          </w:p>
        </w:tc>
      </w:tr>
      <w:tr>
        <w:trPr>
          <w:trHeight w:val="243"/>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710,000</w:t>
            </w:r>
          </w:p>
        </w:tc>
      </w:tr>
      <w:tr>
        <w:trPr>
          <w:trHeight w:val="27"/>
        </w:trPr>
        <w:tc>
          <w:tcPr>
            <w:tcW w:w="1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 based compensation</w:t>
            </w:r>
          </w:p>
        </w:tc>
        <w:tc>
          <w:tcPr>
            <w:tcW w:w="6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259,000</w:t>
            </w:r>
          </w:p>
        </w:tc>
      </w:tr>
      <w:tr>
        <w:trPr>
          <w:trHeight w:val="243"/>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8,412,000</w:t>
            </w:r>
          </w:p>
        </w:tc>
      </w:tr>
      <w:tr>
        <w:trPr>
          <w:trHeight w:val="27"/>
        </w:trPr>
        <w:tc>
          <w:tcPr>
            <w:tcW w:w="10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2011</w:t>
            </w:r>
          </w:p>
        </w:tc>
        <w:tc>
          <w:tcPr>
            <w:tcW w:w="6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115,019,000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15,376,000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8,412,000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Asset retirement obligation accretion expense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11,624,000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347,000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Loss from equity investment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(4,944,000)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3,252,000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Revenues and royalties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807,000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payable-related party</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31,782,000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14,040,000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15"/>
        </w:trPr>
        <w:tc>
          <w:tcPr>
            <w:tcW w:w="8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(73,237,000)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(34,664,000)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natural gas properties-related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(14,992,000)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Purchase of other property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(6,950,000)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Settlement of non-hedge derivative instruments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(3,091,000)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Receipt on derivative margins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3,152,000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Deconsolidation of Bison</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membership interest in equity investment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(85,281,000)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(50,490,000)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15"/>
        </w:trPr>
        <w:tc>
          <w:tcPr>
            <w:tcW w:w="8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Proceeds from borrowings on credit facility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35,233,000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note payable –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Initial public offering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Contributions by members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4,008,000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710,000</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47,972,000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35,578,000</w:t>
            </w:r>
          </w:p>
        </w:tc>
      </w:tr>
      <w:tr>
        <w:trPr>
          <w:trHeight w:val="358"/>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(5,527,000)</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(872,000)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4,090,000</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1,275,000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3,218,000</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1,983,000</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304"/>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Asset retirement obligation incurred, including changes in estimate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246,000</w:t>
            </w:r>
          </w:p>
        </w:tc>
      </w:tr>
      <w:tr>
        <w:trPr>
          <w:trHeight w:val="251"/>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equity method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360" w:type="dxa"/>
            <w:vAlign w:val="bottom"/>
          </w:tcPr>
          <w:p>
            <w:pPr>
              <w:ind w:left="380"/>
              <w:spacing w:after="0"/>
              <w:rPr>
                <w:sz w:val="20"/>
                <w:szCs w:val="20"/>
                <w:color w:val="auto"/>
              </w:rPr>
            </w:pPr>
            <w:r>
              <w:rPr>
                <w:rFonts w:ascii="Arial" w:cs="Arial" w:eastAsia="Arial" w:hAnsi="Arial"/>
                <w:sz w:val="18"/>
                <w:szCs w:val="18"/>
                <w:color w:val="auto"/>
              </w:rPr>
              <w:t>Note payable exchanged for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411,000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5600"/>
        <w:spacing w:after="0" w:line="315" w:lineRule="auto"/>
        <w:rPr>
          <w:sz w:val="20"/>
          <w:szCs w:val="20"/>
          <w:color w:val="auto"/>
        </w:rPr>
      </w:pPr>
      <w:r>
        <w:rPr>
          <w:rFonts w:ascii="Arial" w:cs="Arial" w:eastAsia="Arial" w:hAnsi="Arial"/>
          <w:sz w:val="18"/>
          <w:szCs w:val="18"/>
          <w:b w:val="1"/>
          <w:bCs w:val="1"/>
          <w:color w:val="auto"/>
        </w:rPr>
        <w:t>1. DESCRIPTION OF THE BUSINESS AND BASIS OF PRESENTATION Description of the Business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Windsor Permian LLC (“Windsor”) is a limited liability company formed on October 23, 2007 to acquire, produce, develop and exploit oil and natural gas properties. As of and for the three and nine month periods ended September 30, 2012 and 2011 (the “Reporting Periods”), Windsor Permian LLC was a wholly owned subsidiary of Diamondback Energy LLC, an entity controlled by Wexford Capital LP, or Wexford. On October 11, 2012 Diamondback Energy LLC, merged with and into Diamondback Energy, Inc. and Diamondback Energy, Inc. continued as the surviving entity (the "Merger"). Neither Diamondback Energy LLC or Diamondback Energy, Inc. conducted any material business operations prior to October 11, 2012. Refer to Note 3 for information regarding the Diamondback Energy, Inc. initial public offering (“IPO”). As a limited liability company, the members of Windsor are not liable for the liabilities or other obligations of Windsor. Collectively, Windsor and its subsidiaries, Diamondback E&amp;P LLC, formed on February 17, 2012, Bison Drilling and Field Services LLC (formerly known as Windsor Drilling LLC) through March 31, 2011, and West Texas Field Services LLC through its dissolution on June 12, 2012, are referred to in these financial statements as the “Company”.</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is engaged in the acquisition, exploitation, development and production of oil and natural gas properties and related sale of oil, natural gas and natural gas liquids. The Company’s reserves are located in the Southern region of the United States. The Company’s results of operations are largely dependent on the difference between the prices received for its oil, natural gas and natural gas liquids and the cost to find, develop, produce and market such resources. Oil and natural gas prices are subject to fluctuations in response to changes in supply, market uncertainty and a variety of other factors beyond the Company’s control. These factors include worldwide political instability, quantity of natural gas in storage, foreign supply of oil and natural gas, the price of foreign imports, the level of consumer demand and the price of available alternative fuels, among others.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Securities and Exchange Commission ("SEC"). They reflect all adjustments that are, in the opinion of management, necessary for a fair statement of the results for the interim periods, on a basis consistent with the annual audited financial statements. All such adjustments are of a normal recurring nature. Certain information, accounting policies and footnote disclosures normally included in financial statements prepared in accordance with accounting principles generally accepted in the United States ("GAAP") have been omitted pursuant to such rules and regulations, although the Company believes that the disclosures are adequate to make the information presented not misleading. For a more complete understanding of our operations, financial position and accounting policies, these financial statements should be read in conjunction with the Company’s most recent annual financial statements included in Diamondback Energy, Inc.’s final prospectus (the "final prospectus") dated October 11, 2012 and filed with the SEC pursuant to Rule 424(b) under the Securities Act of 1933 on October 15,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of September 30, 2012, Windsor's significant accounting policies are consistent with those discussed in Note 2 of its consolidated financial statements contained in the final prospectus.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Periods. Significant estimates with regard to these financial statements include the estimate of proved oil and gas reserves and related present value estimates of future net cash flows therefrom, the carrying value of oil and natural gas properties, fair value estimates and asset retirement obligations. Actual results could differ from those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operations of the Company and its subsidiaries, as limited liability companies, are not subject to federal income taxes. As appropriate, the taxable income or loss applicable to those operations is included in the federal income tax returns of the respective owners and no income tax effect is included in the accompanying consolidated financial statements. The Company is subject to margin tax in the state of Texas. During the nine months ended September 30, 2012 and 2011, there was no margin tax expense. The Company’s 2008, 2009 and 2010 federal income tax and state margin tax returns remain open to examination by tax authorities. As of September 30, 2012 and December 31, 2011, the Company had no unrecognized tax benefits that would have a material impact on the effective rate. The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Company is continuing its practice of recognizing interest and penalties related to income tax matters as interest expense and general and administrative expenses, respectively. During the nine months ended September 30, 2012 and 2011, there was no interest or penalties associated with uncertain tax positions recognized in the Company’s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Income Taxes and Earnings Per Share</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Diamondback Energy, Inc. was formed as a holding company on December 30, 2011, and did not conduct any material business operations prior to the Merger. Diamondback Energy, Inc. is a C-Corp under the Internal Revenue Code and is subject to income taxes. Accordingly, the Company computed a pro forma income tax provision as if the Company were a C-Corp since inception. The pro forma tax provision has been calculated at a rate based upon a federal corporate level tax rate and a state tax rate, net of federal benefit, incorporating permanent differences. However, on a pro forma basis, management has determined that any net deferred income tax asset would not be realizable; therefore tax expense would be zero for all periods. Additionally, upon Windsor becoming a subsidiary of Diamondback Energy, Inc. the Company will establish a net deferred tax liability for differences between the tax and book basis of the Company’s assets and liabilities, and record a corresponding “first day” tax expense to net income from continuing operations. On a pro forma basis, at September 30, 2012 the amount of this charge would have been approximately $44.2 million.</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has presented pro forma earnings per share for the most recent period. Pro forma basic and diluted income per share was computed by dividing net income attributable to the Company by the number of Diamondback shares of common stock attributable to the Company issued in the Merger and the Gulfport transaction, as if such shares were issued and outstanding for the nine months ended September 30, 2012.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Pronouncements Issued but Not Yet Adopted</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December 2011, the FASB issued Accounting Standards Update No. 2011-11, which increases disclosures about offsetting assets and liabilities. New disclosures are required to enable users of financial statements to understand significant quantitative differences in balance sheets prepared under GAAP and International Financial Reporting Standards related to the offsetting of financial instruments. The existing GAAP guidance allowing balance sheet offsetting, including industry-specific guidance, remains unchanged. The guidance in ASU No. 2011-11 is effective for annual and interim reporting periods beginning on or after January 1, 2013. The disclosures should be applied retrospectively for all prior periods presented. The Company does not expect the adoption of this guidance to have a significant impact on its financial position, results of operations or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 OF DIAMONDBACK ENERGY, INC.</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13, 2012, a Registration Statement on Form S-1 (SEC File No. 333-179502) was filed with the SEC relating to the proposed underwritten IPO of Diamondback Energy, Inc. Prior to the completion of the IPO, Windsor was a wholly-owned subsidiary of Diamondback Energy LLC, an entity controlled by Wexford. In connection with completion of the IPO, Diamondback Energy LLC was merged with and into Diamondback Energy, Inc. in the Merger, causing Windsor to become a wholly owned subsidiary of Diamondback Energy, Inc.</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11, 2012, Diamondback Energy, Inc. priced 12,500,000 shares of its common stock in its IPO at a price of $17.50 per share, and on October 12, 2012 shares of Diamondback Energy, Inc.'s common stock began trading on the Nasdaq Global Select Market under the symbol “FANG”. On October 17, 2012, Diamondback Energy, Inc. closed its IPO. On October 23, 2012, the underwriters purchased an additional 1,875,000 shares of common stock following the exercise in full of their over-allotment option. Diamondback Energy, Inc. received estimated net proceeds of $235.3 million from the sale of these shares of common stock, after deducting the underwriting discount, and used a portion of these net proceeds to repay: (i) $100.0 million of outstanding borrowings under its revolving credit facility, (ii) $63.6 million to Gulfport Energy Corporation; and (iii) $30.0 million of outstanding borrowings under its subordinated note with an affiliate of Wexford.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May 7, 2012, Diamondback Energy, Inc. entered into an agreement with Gulfport Energy Corporation ("Gulfport") in which Gulfport agreed to sell to Diamondback Energy, Inc., subject to certain conditions, all of its oil and natural gas interests in the Permian Basin in exchange for shares of Diamondback Energy, Inc. common stock and a promissory note in a transaction referred to as the Gulfport transaction. The Gulfport transaction was completed in connection with completion of the IPO (see Note 3). In addition, Wexford agreed to cause all of the outstanding equity interests in Windsor UT LLC (“Windsor UT”) to be contributed to Windsor Permian prior to 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merger into Diamondback Energy, Inc. in a transaction referred to as the Windsor UT contribution. The Gulfport transaction and the Windsor UT contribution are referred to as the Transactions. The acquisition of certain property interests of Gulfport (the "Gulfport properties") will be treated as a business combination accounted for under the acquisition method of accounting with the identifiable assets recognized at fair value on the date of transfer. The Windsor UT contribution is treated as a combination of entities under common control with assets and liabilities transferred at their carrying amounts in the accounts of the transferring entity at the date of transfer. The pro forma data presented reflect events directly attributable to the Transactions and certain assumptions the Company believes are reasonable.</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unaudited summary pro forma combined statement of operations data of Diamondback Energy, Inc. for the three and nine month periods ended September 30, 2012 has been prepared to give effect to the Transactions as if they had occurred on January 1, 2011. The pro forma data are not necessarily indicative of financial results that would have been attained had the described transactions occurred on January 1, 2011. The pro forma data also necessarily exclude various operation expenses related to the Gulfport properties and the financial statements should not be viewed as indicative of operations in future periods. As the current operator of the properties acquired by the Company upon completion of the Gulfport transaction and the Windsor UT contribution, the Company does not expect any material impact from these transactions on its existing employees or infrastructure.</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6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September 30, 2012</w:t>
            </w:r>
          </w:p>
        </w:tc>
        <w:tc>
          <w:tcPr>
            <w:tcW w:w="260" w:type="dxa"/>
            <w:vAlign w:val="bottom"/>
          </w:tcPr>
          <w:p>
            <w:pPr>
              <w:spacing w:after="0"/>
              <w:rPr>
                <w:sz w:val="23"/>
                <w:szCs w:val="23"/>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September 30, 2011</w:t>
            </w:r>
          </w:p>
        </w:tc>
      </w:tr>
      <w:tr>
        <w:trPr>
          <w:trHeight w:val="270"/>
        </w:trPr>
        <w:tc>
          <w:tcPr>
            <w:tcW w:w="6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(Pro Forma)</w:t>
            </w:r>
          </w:p>
        </w:tc>
        <w:tc>
          <w:tcPr>
            <w:tcW w:w="260" w:type="dxa"/>
            <w:vAlign w:val="bottom"/>
          </w:tcPr>
          <w:p>
            <w:pPr>
              <w:spacing w:after="0"/>
              <w:rPr>
                <w:sz w:val="23"/>
                <w:szCs w:val="23"/>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(Pro Forma)</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23,839,000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70,412,000</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Pro forma income from operations</w:t>
            </w:r>
          </w:p>
        </w:tc>
        <w:tc>
          <w:tcPr>
            <w:tcW w:w="260" w:type="dxa"/>
            <w:vAlign w:val="bottom"/>
          </w:tcPr>
          <w:p>
            <w:pPr>
              <w:spacing w:after="0"/>
              <w:rPr>
                <w:sz w:val="21"/>
                <w:szCs w:val="21"/>
                <w:color w:val="auto"/>
              </w:rPr>
            </w:pP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5,536,000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21,204,000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Pro forma net income</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21,702,000</w:t>
            </w:r>
          </w:p>
        </w:tc>
      </w:tr>
    </w:tbl>
    <w:p>
      <w:pPr>
        <w:spacing w:after="0" w:line="148" w:lineRule="exact"/>
        <w:rPr>
          <w:sz w:val="20"/>
          <w:szCs w:val="20"/>
          <w:color w:val="auto"/>
        </w:rPr>
      </w:pPr>
    </w:p>
    <w:p>
      <w:pPr>
        <w:ind w:left="400" w:hanging="250"/>
        <w:spacing w:after="0"/>
        <w:tabs>
          <w:tab w:leader="none" w:pos="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Does not include pro forma income tax provision relating to becoming subject to income taxes as a result of the Merger.</w:t>
      </w:r>
    </w:p>
    <w:p>
      <w:pPr>
        <w:spacing w:after="0" w:line="248"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includes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68"/>
        </w:trPr>
        <w:tc>
          <w:tcPr>
            <w:tcW w:w="78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600"/>
              <w:spacing w:after="0"/>
              <w:rPr>
                <w:sz w:val="20"/>
                <w:szCs w:val="20"/>
                <w:color w:val="auto"/>
              </w:rPr>
            </w:pPr>
            <w:r>
              <w:rPr>
                <w:rFonts w:ascii="Arial" w:cs="Arial" w:eastAsia="Arial" w:hAnsi="Arial"/>
                <w:sz w:val="18"/>
                <w:szCs w:val="18"/>
                <w:color w:val="auto"/>
              </w:rPr>
              <w:t>Subject to depletion</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403,463,000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323,778,000</w:t>
            </w:r>
          </w:p>
        </w:tc>
      </w:tr>
      <w:tr>
        <w:trPr>
          <w:trHeight w:val="27"/>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Not subject to depletion-acquisition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1040"/>
              <w:spacing w:after="0"/>
              <w:rPr>
                <w:sz w:val="20"/>
                <w:szCs w:val="20"/>
                <w:color w:val="auto"/>
              </w:rPr>
            </w:pPr>
            <w:r>
              <w:rPr>
                <w:rFonts w:ascii="Arial" w:cs="Arial" w:eastAsia="Arial" w:hAnsi="Arial"/>
                <w:sz w:val="18"/>
                <w:szCs w:val="18"/>
                <w:color w:val="auto"/>
              </w:rPr>
              <w:t>Incurred in 2012</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5,632,000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Incurred in 2011</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1,199,000</w:t>
            </w:r>
          </w:p>
        </w:tc>
      </w:tr>
      <w:tr>
        <w:trPr>
          <w:trHeight w:val="243"/>
        </w:trPr>
        <w:tc>
          <w:tcPr>
            <w:tcW w:w="7880" w:type="dxa"/>
            <w:vAlign w:val="bottom"/>
          </w:tcPr>
          <w:p>
            <w:pPr>
              <w:ind w:left="1040"/>
              <w:spacing w:after="0"/>
              <w:rPr>
                <w:sz w:val="20"/>
                <w:szCs w:val="20"/>
                <w:color w:val="auto"/>
              </w:rPr>
            </w:pPr>
            <w:r>
              <w:rPr>
                <w:rFonts w:ascii="Arial" w:cs="Arial" w:eastAsia="Arial" w:hAnsi="Arial"/>
                <w:sz w:val="18"/>
                <w:szCs w:val="18"/>
                <w:color w:val="auto"/>
              </w:rPr>
              <w:t>Incurred in 2009</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533,000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533,000</w:t>
            </w:r>
          </w:p>
        </w:tc>
      </w:tr>
      <w:tr>
        <w:trPr>
          <w:trHeight w:val="27"/>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 subject to depletion</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7,343,000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1,732,000</w:t>
            </w:r>
          </w:p>
        </w:tc>
      </w:tr>
      <w:tr>
        <w:trPr>
          <w:trHeight w:val="358"/>
        </w:trPr>
        <w:tc>
          <w:tcPr>
            <w:tcW w:w="7880" w:type="dxa"/>
            <w:vAlign w:val="bottom"/>
          </w:tcPr>
          <w:p>
            <w:pPr>
              <w:ind w:left="40"/>
              <w:spacing w:after="0"/>
              <w:rPr>
                <w:sz w:val="20"/>
                <w:szCs w:val="20"/>
                <w:color w:val="auto"/>
              </w:rPr>
            </w:pPr>
            <w:r>
              <w:rPr>
                <w:rFonts w:ascii="Arial" w:cs="Arial" w:eastAsia="Arial" w:hAnsi="Arial"/>
                <w:sz w:val="18"/>
                <w:szCs w:val="18"/>
                <w:color w:val="auto"/>
              </w:rPr>
              <w:t>Gross oil and natural gas properties</w:t>
            </w: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410,806,000</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325,510,000</w:t>
            </w:r>
          </w:p>
        </w:tc>
      </w:tr>
      <w:tr>
        <w:trPr>
          <w:trHeight w:val="27"/>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amortization and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(135,130,000)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(119,167,000)</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Oil and natural gas properties, net</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275,676,000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206,343,000</w:t>
            </w:r>
          </w:p>
        </w:tc>
      </w:tr>
      <w:tr>
        <w:trPr>
          <w:trHeight w:val="27"/>
        </w:trPr>
        <w:tc>
          <w:tcPr>
            <w:tcW w:w="7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15"/>
        </w:trPr>
        <w:tc>
          <w:tcPr>
            <w:tcW w:w="7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1,017,000</w:t>
            </w:r>
          </w:p>
        </w:tc>
      </w:tr>
      <w:tr>
        <w:trPr>
          <w:trHeight w:val="243"/>
        </w:trPr>
        <w:tc>
          <w:tcPr>
            <w:tcW w:w="7880" w:type="dxa"/>
            <w:vAlign w:val="bottom"/>
          </w:tcPr>
          <w:p>
            <w:pPr>
              <w:ind w:left="60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(333,000)</w:t>
            </w:r>
          </w:p>
        </w:tc>
      </w:tr>
      <w:tr>
        <w:trPr>
          <w:trHeight w:val="27"/>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684,000</w:t>
            </w:r>
          </w:p>
        </w:tc>
      </w:tr>
      <w:tr>
        <w:trPr>
          <w:trHeight w:val="379"/>
        </w:trPr>
        <w:tc>
          <w:tcPr>
            <w:tcW w:w="788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depletion, amortization and impairment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277,350,000</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207,027,000</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oil and gas properties at September 30, 2012 is the cumulative capitalization of $3,714,000 in general and administrative costs incurred and capitalized to the full cost pool. General and administrative costs capitalized to the full cost pool represent management’s estimate of costs incurred directly related to exploration and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activities such as geological and other administrative costs associated with overseeing the exploration and development activities. All general and administrative costs not directly associated with exploration and development activities were charged to expense as they were incurred. Capitalized general and administrative costs were approximately $1,068,000 and $2,843,000 for the three and nine months ended September 30, 2012, respectively, and $375,000 and $375,000 for the three and nine months ended September 30,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RETIREMENT OBLIGATION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asset retirement obligation for the nine months ended September 30, 2012 and 2011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7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2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Pr>
          <w:p>
            <w:pPr>
              <w:spacing w:after="0"/>
              <w:rPr>
                <w:sz w:val="23"/>
                <w:szCs w:val="23"/>
                <w:color w:val="auto"/>
              </w:rPr>
            </w:pPr>
          </w:p>
        </w:tc>
      </w:tr>
      <w:tr>
        <w:trPr>
          <w:trHeight w:val="27"/>
        </w:trPr>
        <w:tc>
          <w:tcPr>
            <w:tcW w:w="7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728,000</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Additional liability incurred</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246,000</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Asset retirement obligation, end of period</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1,283,000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1,019,000</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Asset retirement obligations - long-term</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1,264,000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1,019,000</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METHOD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Bison Drilling and Field Services LLC</w:t>
      </w:r>
    </w:p>
    <w:p>
      <w:pPr>
        <w:spacing w:after="0" w:line="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held a wholly owned subsidiary, Bison Drilling and Field Services LLC (“Bison”), formerly known as Windsor Drilling LLC, formed on November 15, 2010. In addition, the Company held a wholly owned subsidiary, West Texas Field Services LLC, formed on March 2, 2010 which, on January 1, 2011, contributed all of its assets and liabilities to Bison and subsequently dissolved on June 12, 2012. Bison owns and operates drilling rigs and various oil and gas well servicing equipment.</w:t>
      </w:r>
    </w:p>
    <w:p>
      <w:pPr>
        <w:spacing w:after="0" w:line="19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Beginning on March 31, 2011, various related party investors contributed capital to Bison diluting the Company’s ownership interest. The Company assessed its ability to exercise financial control over Bison and based on the results of its assessment, the Company concluded it maintained significant influence but it no longer had the ability to exercise control over Bison. The Company deconsolidated Bison for financial reporting purposes as of March 31, 2011 and the previously consolidated amounts were removed from the consolidated balance sheet and reflected as an equity method investment. Under the equity method, the Company eliminated intercompany profits or losses in relation to its continuing involvement with Bison, proportionate to its equity interest.</w:t>
      </w:r>
    </w:p>
    <w:p>
      <w:pPr>
        <w:spacing w:after="0" w:line="16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 entity is required to deconsolidate a subsidiary when the entity ceases to have a controlling financial interest in the subsidiary. Upon deconsolidation of a subsidiary, an entity recognizes a gain or loss on the transaction and measures any retained investment in the subsidiary at fair value. The gain or loss includes any gain or loss associated with the difference between the fair value of the retained investment in the subsidiary and its carrying amount at the date the subsidiary is deconsolidated.</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internally reviewed the balance sheet of Bison to determine its fair value. At the time of the transaction Bison was still a recently formed company and had not yet built value in its operations. Bison’s assets consisted primarily of four recently purchased drilling rigs. Two of the drilling rigs were purchased at market price from a third party in December 2010 and the second two were purchased from the same third party in April 2011. The Company also reviewed pricing of similar rigs in the market through retail and auction transactions. Because the rigs had just recently been purchased and this purchase price was in line with other outside transactions the Company determined that Bison’s book value equaled fair value. There was no gain or loss recorded and the retained investment was recorded at fair value which equaled book value.</w:t>
      </w:r>
    </w:p>
    <w:p>
      <w:pPr>
        <w:spacing w:after="0" w:line="12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September 2011, the Company completed the sale of 25% of its membership interest in Bison to a related party. The Company internally reviewed the fair value of Bison and because the effective date of this transaction was May 1, 2011 and was within thirty days of the above valuation the Company concluded the value of Bison had not changed. The Company determined that fair value equaled book value at the date of this transaction. There was no gain or loss recorded and the retained investment was recorded at fair value which equaled book value.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As of June 15, 2012, the Company distributed its remaining interest in Bison to an entity which is controlled and managed by Wexford. As the transaction was between entities under common control, the Company has recognized the distribution of $6,437,000 as an equity transaction. Bison continues to be a related party with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11D1E"/>
        </w:rPr>
        <w:t>Muskie Holdings LLC</w:t>
      </w:r>
    </w:p>
    <w:p>
      <w:pPr>
        <w:spacing w:after="0" w:line="23"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During 2011, the Company paid approximately $4,200,000 for land and various other capital items related to the land. On October 7, 2011, the Company contributed these assets to a newly formed entity, Muskie Holdings LLC, a Delaware limited liability company, for a 48.6% equity interest. Through additional contributions to Muskie from a related party and various Wexford portfolio companies, the Company’s interest in Muskie decreased to 33% as of June 15, 2012. Muskie generated a loss during the period January 1, 2012 through June 15, 2012 and the Company has recorded its share of this loss.</w:t>
      </w:r>
    </w:p>
    <w:p>
      <w:pPr>
        <w:spacing w:after="0" w:line="106"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As of June 15, 2012, the Company distributed its remaining interest in Muskie to an entity which is controlled and managed by Wexford. As the transaction was between entities under common control, the Company has recognized the distribution of $4,067,000 as an equity transaction. Muskie continues to be a related party with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Facility-Wells Fargo Bank</w:t>
      </w:r>
    </w:p>
    <w:p>
      <w:pPr>
        <w:spacing w:after="0" w:line="10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October 15, 2010, the Company entered into a secured loan agreement with BNP Paribas (“BNP”) as the administrative agent, sole book runner and lead arranger, as amended, providing for a revolving credit facility. On May 10, 2012, the revolving credit agreement was further amended to provide for the resignation of BNP, and the appointment of Wells Fargo Bank, National Association, as administrative agent for the lenders. The aggregate maximum credit amount under the revolving credit agreement is $250.0 million notwithstanding future redeterminations of the borrowing base. The outstanding borrowings bear interest at a rate elected by the Company that is based on the prime, LIBOR or federal funds rate plus margins ranging from 1.25% to 3.50% depending on the base rate used and the amount of the loan outstanding in relation to the borrowing base.</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Principal may be optionally repaid from time to time and is required to be paid (i) if the loan amount exceeds the borrowing base and (ii) at the maturity date of October 15, 2014. The Company is obligated to pay, quarterly, a commitment fee equal to 0.5% per year of the unused portion of the borrowing base. The loan is secured by substantially all of the Company’s assets. The borrowing base is re-determined semi-annually with effective dates of April 1st and October 1st (a “scheduled redetermination”). In addition, the Company may request an additional three redeterminations of the borrowing base during any 12-month period. The borrowing base was $45.0 million at December 31, 2010. The borrowing base increased throughout 2011 through various redeterminations and at December 31, 2011 the borrowing base was $100.0 million. Under the terms of the revolving credit agreement upon the closing of the IPO of Diamondback Energy Inc., the borrowing base was reduced to $90.0 million, subject to the periodic and elective borrowing base redeterminations described above. As of September 30, 2012, the Company has classified $10.0 million of the outstanding borrowings under this credit facility as short term based on management’s expectation of the timing of closing an initial public offering. As of September 30, 2012 and December 31, 2011, the Company had outstanding borrowings of $100.0 million and $85.0 million, respectively. Outstanding borrowings under the credit facility bore a weighted average interest rate of 3.72% and 3.30% as of September 30, 2012 and December 31, 2011, respectively. In connection with the IPO of Diamondback Energy, Inc., the Company repaid all outstanding borrowings under its revolving credit facility.</w:t>
      </w:r>
    </w:p>
    <w:p>
      <w:pPr>
        <w:spacing w:after="0" w:line="12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agreement contains various affirmative and restrictive covenants. These covenants, among other things, prohibit additional indebtedness, sales of assets, mergers and consolidations, dividends and distributions, and changes in management and require the maintenance of various financial ratios defined below.</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current lenders and their percentage commitments in the revolving credit facility are Wells Fargo Bank, NA (45%), Amegy Bank, NA (25%), U.S. Bank, NA (25%) and West Texas National Bank (5%).</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July 24, 2012, the revolving credit agreement was amended and restated to include Diamondback Energy LLC and its subsidiaries as additional guarantors to the facility. The covenant prohibiting additional indebtedness was also amended to allow the issuance of unsecured debt of up to $250.0 million and, in connection with any such issuance, the reduction of the borrowing base by 25% of the principal amount of such issuance. A borrowing base reduction in connection with such issuance may require a portion of the outstanding principal of the loan to be repaid. The amendment also provided that redemptions of any unsecured debt will be restricted unless certain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liquidity requirements are met. Further, the amendment modified certain financial ratios, the current requirements of which are described below.</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Covenant</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8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Ratio of EBITDAX to interest expense, as defined in the credit agreement</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Not less than 2.5 to 1.0</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Ratio of total debt to EBITDAX</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Not greater than 4.5 to 1.0</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Ratio of total debt to EBITDAX (after closing date of IPO)</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Not greater than 4.0 to 1.0</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Ratio of debt under revolving credit agreement to EBITDAX</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Not greater than 3.0 to 1.0</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As of July 31, 2012, the first amendment to the amended and restated credit agreement was executed, which provided for the issuance to Gulfport of the Gulfport transaction note and the payment of the Gulfport transaction note from the proceeds of the IPO.</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September 28, 2012, the second amendment to the amended and restated credit agreement was executed, which among other things provided for an increase in permitted subordinated debt in a maximum principal amount not to exceed $45.0 million, including any such indebtedness evidenced by the Company’s subordinated note with an affiliate of Wexford described in more detail under “-Subordinated Note” below, waived compliance with the Company's current ratio covenant for the quarter ending September 30, 2012 and increased the aggregate limitation on lease payments during any period of twelve consecutive calendar months from $250,000 to $550,000.</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of September 30, 2012 and December 31, 2011, the Company was in compliance with all financial covenants under the revolving bank credit facility as in effect on the applicable date. The lenders may accelerate all of the indebtedness under the revolving bank credit facility upon the occurrence of any event of default unless the Company cures any such default within any applicable grace period. For payments of principal and interest under the revolving bank credit facility, the Company generally has a three business day grace period, and a 30-day cure period for most covenant defaults, but not for defaults of certain specific covenants, including the financial covenants and negative covenants.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Effective May 14, 2012, the Company issued a subordinated note to an affiliate of Wexford pursuant to which, as amended, the Wexford affiliate may, from time to time, advance up to an aggregate of $45.0 million. These advances are solely at the lender’s discretion and neither Wexford nor any of its affiliates has any commitment or obligation to provide further capital support to the Company. The note bears interest at a rate equal to LIBOR plus 0.28% or 8% per annum, whichever is lower. Interest is due quarterly in arrears beginning on July 1, 2012. Interest payments are payable in kind by adding such amounts to the principal balance of the note. The unpaid principal balance and all accrued interest on the note are due and payable in full on January 31, 2015 or the earlier completion of an initial public offering. Any indebtedness evidenced by this note is subordinate in the right of payment to any indebtedness outstanding under the Company’s revolving credit facility. As of September 30, 2012, there was $30.0 million in aggregate principal amount outstanding under this note. In connection with the IPO of Diamondback Energy, Inc., the Company repaid all outstanding borrowings under the subordinated note and the subordinated note was canceled.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entered into an installment payment contract with EMC Corporation for the purchase of computer equipment. The contract is payable in equal installments over a period of 36 months. As of September 30, 2012, there was $363,000 outstanding under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 has used price swap derivatives to reduce price volatility associated with certain of its oil sales. In these swaps, the Company receives the fixed price per the contract and pays a floating market price to the counterparty based on New York Mercantile Exchange Light Sweet Crude Oil pricing. The fixed-price payment and the floating-price payment are offset, resulting in a net amount due to or from the counterparty. The counterparties to the Company’s derivative contracts are BNP Paribas (“BNP”) and Hess Corporation (“Hess”), who the Company believes are acceptable credit risks.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All derivative financial instruments are recorded on the consolidated balance sheets at fair value. The fair value of swaps is generally determined using established index prices and other sources which are based upon, among other things, futures prices and time to maturity.</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October 4, 2011, in order to lock-in prices on the anticipated base level of production, while at the same time providing downside protection for the borrowing base under the revolving credit facility, the Company executed with BNP, West Texas Intermediate light sweet crude oil swaps on the NYMEX for calendar year 2012 and 2013 of one thousand barrels per day priced at $78.50 and $80.55,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the summarized amounts, terms and fair values of outstanding instruments held as of September 30, 2012 and December 31, 2011.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6"/>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Original Strike</w:t>
            </w:r>
          </w:p>
        </w:tc>
        <w:tc>
          <w:tcPr>
            <w:tcW w:w="680" w:type="dxa"/>
            <w:vAlign w:val="bottom"/>
          </w:tcPr>
          <w:p>
            <w:pPr>
              <w:spacing w:after="0"/>
              <w:rPr>
                <w:sz w:val="24"/>
                <w:szCs w:val="24"/>
                <w:color w:val="auto"/>
              </w:rPr>
            </w:pPr>
          </w:p>
        </w:tc>
        <w:tc>
          <w:tcPr>
            <w:tcW w:w="184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and Production Period</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Volume (Bbls)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Price (per Bbl)</w:t>
            </w:r>
          </w:p>
        </w:tc>
        <w:tc>
          <w:tcPr>
            <w:tcW w:w="680" w:type="dxa"/>
            <w:vAlign w:val="bottom"/>
          </w:tcPr>
          <w:p>
            <w:pPr>
              <w:spacing w:after="0"/>
              <w:rPr>
                <w:sz w:val="20"/>
                <w:szCs w:val="20"/>
                <w:color w:val="auto"/>
              </w:rPr>
            </w:pPr>
          </w:p>
        </w:tc>
        <w:tc>
          <w:tcPr>
            <w:tcW w:w="18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6"/>
              </w:rPr>
              <w:t>Liability</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Crude Oil Swaps:</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January – August 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244,000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$78.50</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tcPr>
          <w:p>
            <w:pPr>
              <w:ind w:left="1240"/>
              <w:spacing w:after="0"/>
              <w:rPr>
                <w:sz w:val="20"/>
                <w:szCs w:val="20"/>
                <w:color w:val="auto"/>
              </w:rPr>
            </w:pPr>
            <w:r>
              <w:rPr>
                <w:rFonts w:ascii="Arial" w:cs="Arial" w:eastAsia="Arial" w:hAnsi="Arial"/>
                <w:sz w:val="18"/>
                <w:szCs w:val="18"/>
                <w:color w:val="auto"/>
              </w:rPr>
              <w:t>—   $</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5,038,000</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 November 2012</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$78.50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1,795,000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December 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$78.50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454,000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594,000</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 August 2013</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$80.55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3,823,000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September – November 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$80.55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1,171,000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1,298,000</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2013</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$80.55</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424,000</w:t>
            </w:r>
          </w:p>
        </w:tc>
      </w:tr>
      <w:tr>
        <w:trPr>
          <w:trHeight w:val="27"/>
        </w:trPr>
        <w:tc>
          <w:tcPr>
            <w:tcW w:w="4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counter-swaps from time to time for the purpose of locking-in the value of a swap. Under the counter-swap, the Company receives a floating price for the hedged commodity and pays a fixed price to the counterparty. The counter-swap is effective in locking-in the value of a swap since subsequent changes in the market value of the swap are entirely offset by subsequent changes in the market value of the counter-swap.</w:t>
      </w:r>
    </w:p>
    <w:p>
      <w:pPr>
        <w:spacing w:after="0" w:line="16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December 2007, the Company placed a swap contract with Hess covering 1,680,000 Bbls of crude oil for the period from January 2008 to December 2012 at various fixed prices. In April 2008, the Company entered into a series of counter-swaps to lock-in the value of certain of these swaps settling 1,188,000 Bbls of crude oil swaps. In June 2009, the Company entered into an additional series of counter-swaps to lock-in the value of the remaining swaps settling 324,000 Bbls of crude oil swaps.</w:t>
      </w:r>
    </w:p>
    <w:p>
      <w:pPr>
        <w:spacing w:after="0" w:line="14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Set forth below are the summarized amounts, terms and fair values of the locked-in swaps from the April 2008 settlements as of September 30, 2012 and December 31, 2011,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Original Strike</w:t>
            </w:r>
          </w:p>
        </w:tc>
        <w:tc>
          <w:tcPr>
            <w:tcW w:w="212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93"/>
              </w:rPr>
              <w:t>Lock-in</w:t>
            </w:r>
          </w:p>
        </w:tc>
        <w:tc>
          <w:tcPr>
            <w:tcW w:w="18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and Production Period</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Volume (Bbls)</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Price (per Bbl)</w:t>
            </w:r>
          </w:p>
        </w:tc>
        <w:tc>
          <w:tcPr>
            <w:tcW w:w="212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91"/>
              </w:rPr>
              <w:t>Price(per Bbl)</w:t>
            </w:r>
          </w:p>
        </w:tc>
        <w:tc>
          <w:tcPr>
            <w:tcW w:w="18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6"/>
              </w:rPr>
              <w:t>Liability</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Crude Oil Swaps:</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December 2011</w:t>
            </w:r>
          </w:p>
        </w:tc>
        <w:tc>
          <w:tcPr>
            <w:tcW w:w="1300" w:type="dxa"/>
            <w:vAlign w:val="bottom"/>
          </w:tcPr>
          <w:p>
            <w:pPr>
              <w:jc w:val="center"/>
              <w:spacing w:after="0" w:line="189" w:lineRule="exact"/>
              <w:rPr>
                <w:sz w:val="20"/>
                <w:szCs w:val="20"/>
                <w:color w:val="auto"/>
              </w:rPr>
            </w:pPr>
            <w:r>
              <w:rPr>
                <w:rFonts w:ascii="Arial" w:cs="Arial" w:eastAsia="Arial" w:hAnsi="Arial"/>
                <w:sz w:val="18"/>
                <w:szCs w:val="18"/>
                <w:color w:val="auto"/>
                <w:w w:val="90"/>
              </w:rPr>
              <w:t>22,500</w:t>
            </w:r>
          </w:p>
        </w:tc>
        <w:tc>
          <w:tcPr>
            <w:tcW w:w="10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Arial" w:cs="Arial" w:eastAsia="Arial" w:hAnsi="Arial"/>
                <w:sz w:val="18"/>
                <w:szCs w:val="18"/>
                <w:color w:val="auto"/>
                <w:w w:val="90"/>
              </w:rPr>
              <w:t>$82.90</w:t>
            </w:r>
          </w:p>
        </w:tc>
        <w:tc>
          <w:tcPr>
            <w:tcW w:w="120" w:type="dxa"/>
            <w:vAlign w:val="bottom"/>
          </w:tcPr>
          <w:p>
            <w:pPr>
              <w:spacing w:after="0"/>
              <w:rPr>
                <w:sz w:val="16"/>
                <w:szCs w:val="16"/>
                <w:color w:val="auto"/>
              </w:rPr>
            </w:pPr>
          </w:p>
        </w:tc>
        <w:tc>
          <w:tcPr>
            <w:tcW w:w="2120" w:type="dxa"/>
            <w:vAlign w:val="bottom"/>
            <w:gridSpan w:val="3"/>
          </w:tcPr>
          <w:p>
            <w:pPr>
              <w:jc w:val="center"/>
              <w:ind w:right="710"/>
              <w:spacing w:after="0" w:line="189" w:lineRule="exact"/>
              <w:rPr>
                <w:sz w:val="20"/>
                <w:szCs w:val="20"/>
                <w:color w:val="auto"/>
              </w:rPr>
            </w:pPr>
            <w:r>
              <w:rPr>
                <w:rFonts w:ascii="Arial" w:cs="Arial" w:eastAsia="Arial" w:hAnsi="Arial"/>
                <w:sz w:val="18"/>
                <w:szCs w:val="18"/>
                <w:color w:val="auto"/>
                <w:w w:val="89"/>
              </w:rPr>
              <w:t>$98.50–$102.20</w:t>
            </w:r>
          </w:p>
        </w:tc>
        <w:tc>
          <w:tcPr>
            <w:tcW w:w="1820" w:type="dxa"/>
            <w:vAlign w:val="bottom"/>
            <w:gridSpan w:val="3"/>
            <w:vMerge w:val="restart"/>
          </w:tcPr>
          <w:p>
            <w:pPr>
              <w:ind w:left="1240"/>
              <w:spacing w:after="0"/>
              <w:rPr>
                <w:sz w:val="20"/>
                <w:szCs w:val="20"/>
                <w:color w:val="auto"/>
              </w:rPr>
            </w:pPr>
            <w:r>
              <w:rPr>
                <w:rFonts w:ascii="Arial" w:cs="Arial" w:eastAsia="Arial" w:hAnsi="Arial"/>
                <w:sz w:val="18"/>
                <w:szCs w:val="18"/>
                <w:color w:val="auto"/>
              </w:rPr>
              <w:t>—   $</w:t>
            </w: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379,000</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January-August 2012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$85.07</w:t>
            </w:r>
          </w:p>
        </w:tc>
        <w:tc>
          <w:tcPr>
            <w:tcW w:w="120" w:type="dxa"/>
            <w:vAlign w:val="bottom"/>
            <w:shd w:val="clear" w:color="auto" w:fill="CCEEFF"/>
          </w:tcPr>
          <w:p>
            <w:pPr>
              <w:spacing w:after="0"/>
              <w:rPr>
                <w:sz w:val="21"/>
                <w:szCs w:val="21"/>
                <w:color w:val="auto"/>
              </w:rPr>
            </w:pPr>
          </w:p>
        </w:tc>
        <w:tc>
          <w:tcPr>
            <w:tcW w:w="2120" w:type="dxa"/>
            <w:vAlign w:val="bottom"/>
            <w:gridSpan w:val="3"/>
            <w:shd w:val="clear" w:color="auto" w:fill="CCEEFF"/>
          </w:tcPr>
          <w:p>
            <w:pPr>
              <w:jc w:val="center"/>
              <w:ind w:right="710"/>
              <w:spacing w:after="0"/>
              <w:rPr>
                <w:sz w:val="20"/>
                <w:szCs w:val="20"/>
                <w:color w:val="auto"/>
              </w:rPr>
            </w:pPr>
            <w:r>
              <w:rPr>
                <w:rFonts w:ascii="Arial" w:cs="Arial" w:eastAsia="Arial" w:hAnsi="Arial"/>
                <w:sz w:val="18"/>
                <w:szCs w:val="18"/>
                <w:color w:val="auto"/>
                <w:w w:val="89"/>
              </w:rPr>
              <w:t>$98.25–$101.80</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2,585,000</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September-December 2012</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$85.07</w:t>
            </w:r>
          </w:p>
        </w:tc>
        <w:tc>
          <w:tcPr>
            <w:tcW w:w="120" w:type="dxa"/>
            <w:vAlign w:val="bottom"/>
          </w:tcPr>
          <w:p>
            <w:pPr>
              <w:spacing w:after="0"/>
              <w:rPr>
                <w:sz w:val="21"/>
                <w:szCs w:val="21"/>
                <w:color w:val="auto"/>
              </w:rPr>
            </w:pPr>
          </w:p>
        </w:tc>
        <w:tc>
          <w:tcPr>
            <w:tcW w:w="2120" w:type="dxa"/>
            <w:vAlign w:val="bottom"/>
            <w:gridSpan w:val="3"/>
          </w:tcPr>
          <w:p>
            <w:pPr>
              <w:jc w:val="center"/>
              <w:ind w:right="710"/>
              <w:spacing w:after="0"/>
              <w:rPr>
                <w:sz w:val="20"/>
                <w:szCs w:val="20"/>
                <w:color w:val="auto"/>
              </w:rPr>
            </w:pPr>
            <w:r>
              <w:rPr>
                <w:rFonts w:ascii="Arial" w:cs="Arial" w:eastAsia="Arial" w:hAnsi="Arial"/>
                <w:sz w:val="18"/>
                <w:szCs w:val="18"/>
                <w:color w:val="auto"/>
                <w:w w:val="89"/>
              </w:rPr>
              <w:t>$98.25–$101.80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1,292,000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Set forth below are the summarized amounts, terms and fair values of the locked-in swaps from the June 2009 settlements as of September 30, 2012 and December 31, 2011,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 2012</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Original Strike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Lock-in</w:t>
            </w:r>
          </w:p>
        </w:tc>
        <w:tc>
          <w:tcPr>
            <w:tcW w:w="70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4"/>
                <w:szCs w:val="24"/>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and Production Period</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Volume (Bbls)</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Price (per Bbl)</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Price(per Bbl)</w:t>
            </w:r>
          </w:p>
        </w:tc>
        <w:tc>
          <w:tcPr>
            <w:tcW w:w="700" w:type="dxa"/>
            <w:vAlign w:val="bottom"/>
          </w:tcPr>
          <w:p>
            <w:pPr>
              <w:spacing w:after="0"/>
              <w:rPr>
                <w:sz w:val="20"/>
                <w:szCs w:val="20"/>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1"/>
              </w:rPr>
              <w:t>Asset</w:t>
            </w:r>
          </w:p>
        </w:tc>
        <w:tc>
          <w:tcPr>
            <w:tcW w:w="2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Crude Oil Swaps:</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December 2011</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$82.90</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$78.42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January-August 2012</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$85.07</w:t>
            </w:r>
          </w:p>
        </w:tc>
        <w:tc>
          <w:tcPr>
            <w:tcW w:w="120" w:type="dxa"/>
            <w:vAlign w:val="bottom"/>
            <w:shd w:val="clear" w:color="auto" w:fill="CCEEFF"/>
          </w:tcPr>
          <w:p>
            <w:pPr>
              <w:spacing w:after="0"/>
              <w:rPr>
                <w:sz w:val="21"/>
                <w:szCs w:val="21"/>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$80.52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273,000</w:t>
            </w:r>
          </w:p>
        </w:tc>
        <w:tc>
          <w:tcPr>
            <w:tcW w:w="0" w:type="dxa"/>
            <w:vAlign w:val="bottom"/>
          </w:tcPr>
          <w:p>
            <w:pPr>
              <w:spacing w:after="0"/>
              <w:rPr>
                <w:sz w:val="1"/>
                <w:szCs w:val="1"/>
                <w:color w:val="auto"/>
              </w:rPr>
            </w:pPr>
          </w:p>
        </w:tc>
      </w:tr>
      <w:tr>
        <w:trPr>
          <w:trHeight w:val="156"/>
        </w:trPr>
        <w:tc>
          <w:tcPr>
            <w:tcW w:w="3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September- December 2012</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$85.07</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$80.52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136,000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summarizes the loss on derivative contracts included in the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7"/>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 (gain) on open non-hedge derivative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7"/>
              </w:rPr>
              <w:t>Loss on settlement of non-hedge derivative instruments</w:t>
            </w:r>
          </w:p>
        </w:tc>
        <w:tc>
          <w:tcPr>
            <w:tcW w:w="2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896,000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4,369,000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contracts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3,148,000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is required to provide margin deposits to Hess whenever its unrealized losses exceed predetermined credit limits. The Company had a margin deposit held by Hess of $0 and $2,326,000 as of September 30, 2012 and December 31, 2011, respectively, which earns interest that is remitted to the Company. As the Company has a master netting agreement with Hess, the Company has offset this margin deposit against its derivative 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BASED COMPENSATION</w:t>
      </w:r>
    </w:p>
    <w:p>
      <w:pPr>
        <w:spacing w:after="0" w:line="13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year ended December 31, 2011, the Company granted to its executive officers options to acquire membership interests in the Company. Such options vest in four equal annual installments commencing on the first anniversary of the date of grant and are exercisable for five years from the date of grant. In the event more than 50% of the combined voting interests of the Company is not owned by Wexford or its affiliates and there is a material change in the terms of the option holder’s employment, the options will vest immediately.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the grant dates with the total exercise prices and total fair values of the underlying options: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Membership Interest</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Fair Value at Date of</w:t>
            </w: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Grants Made During the Months Ended</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Exercise Price</w:t>
            </w:r>
          </w:p>
        </w:tc>
        <w:tc>
          <w:tcPr>
            <w:tcW w:w="3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Grant</w:t>
            </w:r>
          </w:p>
        </w:tc>
      </w:tr>
      <w:tr>
        <w:trPr>
          <w:trHeight w:val="27"/>
        </w:trPr>
        <w:tc>
          <w:tcPr>
            <w:tcW w:w="6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2011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1,453,000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August 2011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1,384,000</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2011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1,533,000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November 2011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288,000</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4,658,000</w:t>
            </w:r>
          </w:p>
        </w:tc>
      </w:tr>
      <w:tr>
        <w:trPr>
          <w:trHeight w:val="20"/>
        </w:trPr>
        <w:tc>
          <w:tcPr>
            <w:tcW w:w="60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At September 30, 2012 and December 31, 2011, for outstanding options, the intrinsic value was zero and $113,000, respectively, and the weighted-average remaining contractual terms were 3.8 and 4.6 years, respectively. A 0.86% membership interest was exercisable at September 30, 2012. No options were exercisable at December 31, 2011.</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accounts for such options issued using a fair-value-based method calculated on the grant-date of the award. The resulting cost is recognized on a straight-line basis over the vesting period of the entire option.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fair value of the options issued was estimated using the Black-Scholes option-pricing model. One of the inputs to this model is the estimate of the fair value of the underlying membership interest on the date of grant. The other inputs include an estimate of the expected volatility of the membership interest, an option’s expected term, the risk-free interest rate over the option’s expected term, the option’s exercise price, and the Company’s expectations regarding dividends.</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 does not have a history of market prices for its membership interests because such interests are not publicly traded. The expected volatility was determined using the historical volatility for a peer group of companies. The expected term for options issued was determined based on the contractual term of the awards. The weighted-average risk-free interest rate was based on the daily U.S. treasury yield curve rate whose term was consistent with the expected life of the options. The Company does not anticipate paying cash dividends; therefore, the expected dividend yield was assumed to be zero.</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summary of the significant assumptions used to estimate the fair value of the options to acquire membership interests during the year ended December 31, 2011 was as follows:</w:t>
      </w:r>
    </w:p>
    <w:p>
      <w:pPr>
        <w:spacing w:after="0" w:line="157"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6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5 years</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0"/>
              </w:rPr>
              <w:t>0.96%</w:t>
            </w:r>
          </w:p>
        </w:tc>
      </w:tr>
      <w:tr>
        <w:trPr>
          <w:trHeight w:val="27"/>
        </w:trPr>
        <w:tc>
          <w:tcPr>
            <w:tcW w:w="29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6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45.5%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0"/>
              </w:rPr>
              <w:t>0.00%</w:t>
            </w:r>
          </w:p>
        </w:tc>
      </w:tr>
    </w:tbl>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assumed no annual forfeiture rate because of its lack of turnover and lack of history for this type of award. The Company will continue to evaluate the appropriateness of the forfeiture rate based on actual forfeiture experience, analysis of employee turnover behavior, and other factors. Changes in the estimated forfeiture rate can have a significant effect on reported equity-based compensation expense, because the cumulative effect of adjusting the rate for all expense amortization is recognized in the period the forfeiture estimate is changed.</w:t>
      </w:r>
    </w:p>
    <w:p>
      <w:pPr>
        <w:spacing w:after="0" w:line="134"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Equity-based compensation expense recorded for the three and nine months ended September 30, 2012 was $291,000 and $873,000, respectively. Equity-based compensation expense recorded for both the three and nine months ended September 30, 2011 was $259,000. The unrecognized equity-based compensation expense as of September 30, 2012 and December 31, 2011 was $3,240,000 and $4,113,000, respectively, related to these awards which is expected to be recognized over a weighted-average period of 2.8 and 3.6 years,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0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The Company measures and discloses fair value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Topic 820”). 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ASC Topic 820 describes a fair value hierarchy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102" w:lineRule="exact"/>
        <w:rPr>
          <w:sz w:val="20"/>
          <w:szCs w:val="20"/>
          <w:color w:val="auto"/>
        </w:rPr>
      </w:pPr>
    </w:p>
    <w:p>
      <w:pPr>
        <w:ind w:left="660" w:right="160"/>
        <w:spacing w:after="0" w:line="262"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6"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 The following table provides fair value measurement information for financial assets and liabilities measured at fair value on a recurring basis as of September 30, 2012 and December 31,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Quoted Prices in</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Unobservable Inputs</w:t>
            </w: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1"/>
        </w:trPr>
        <w:tc>
          <w:tcPr>
            <w:tcW w:w="26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1</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Level 3</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360"/>
              <w:spacing w:after="0" w:line="262" w:lineRule="exact"/>
              <w:rPr>
                <w:sz w:val="20"/>
                <w:szCs w:val="20"/>
                <w:color w:val="auto"/>
              </w:rPr>
            </w:pPr>
            <w:r>
              <w:rPr>
                <w:rFonts w:ascii="Arial" w:cs="Arial" w:eastAsia="Arial" w:hAnsi="Arial"/>
                <w:sz w:val="18"/>
                <w:szCs w:val="18"/>
                <w:b w:val="1"/>
                <w:bCs w:val="1"/>
                <w:color w:val="auto"/>
                <w:w w:val="89"/>
              </w:rPr>
              <w:t>Collateral</w:t>
            </w:r>
            <w:r>
              <w:rPr>
                <w:rFonts w:ascii="Arial" w:cs="Arial" w:eastAsia="Arial" w:hAnsi="Arial"/>
                <w:sz w:val="25"/>
                <w:szCs w:val="25"/>
                <w:b w:val="1"/>
                <w:bCs w:val="1"/>
                <w:color w:val="auto"/>
                <w:w w:val="89"/>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Net Fair Value</w:t>
            </w: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September 30, 2012</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7,741,000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7,741,000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December 31, 2011</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16,785,000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14,459,000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ind w:left="720" w:hanging="68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impact of netting cash collateral with a counterparty with which the right of offset exists.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 Fair Value Measurements</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Derivative contracts-The fair values of the Company’s crude oil swaps are measured internally using established index prices and other sources. These are based upon, among other things, futures prices and time to maturity.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and Environmental Obligations</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estimates asset retirement obligations pursuant to the provisions of FASB ASC Topic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(“FASB ASC 410”). The initial measurement of asset retirement obligations at fair value is calculated using discounted cash flow techniques and based on internal estimates of future retirement costs associated with oil and gas properties. Given the unobservable nature of the inputs, including plugging costs and reserve lives, the initial measurement of the asset retirement obligation liability is deemed to use Level 3 inputs. See Note 6 for further discussion of the Company’s asset retirement obligations. Asset retirement obligations incurred were $141,000 and $246,000 during the nine months ended September 30,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0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 entity under common management provided technical, administrative and payroll services to the Company under a shared services agreement which began March 1, 2008. Through December 31, 2011, amounts charged to the Company included those costs directly attributable to the Company as well as indirect costs allocated to the Company. The reimbursement amount for indirect costs is determined by the affiliate's management based on estimates of time devoted to the Company. The Company incurred total costs of $235,000 and $4,357,000 for the three months and nine months ended September, 30, 2012, respectively, and $656,000 and $3,776,000 for the three months and nine months ended September 30, 2011, respectively. Costs incurred unrelated to drilling activities are expensed and costs incurred in the acquisition, exploration, and development of proved oil and natural gas properties have been capitalized. The expensed costs were partially offset in general and administrative expenses by overhead reimbursements of $620,000 and $1,772,000 for the three months and nine months ended September 30, 2012, respectively, and $473,000 and $1,382,000 for the three months and nine months ended September 30, 2011, respectively. As of September 30, 2012, the Company owed the administrative services affiliate $12,000 and as of December 31, 2011, the Company owed the administrative services affiliate $769,000. These amounts are included in accounts payable-related party in the accompanying consolidated balance sheets.</w:t>
      </w:r>
    </w:p>
    <w:p>
      <w:pPr>
        <w:spacing w:after="0" w:line="16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Effective January 1, 2012, the Company entered into an additional shared services agreement with this entity. Under this agreement, the Company provides this entity and, at its request, certain affiliates, with consulting, technical and administrative services. The initial term of the additional shared services agreement is two years. Upon expiration of the initial term the agreement will continue on a month-to-month basis until canceled by either party upon thirty days prior written notice. Costs that are attributable to and billed to other affiliates are reported as other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related party. For the three months and nine months ended September 30, 2012, the affiliate reimbursed the Company $671,000 and $1,729,000 respectively, for services under the shared services agreement and at September 30, 2012, the affiliate owed the Company $97,000 and this amount is included in accounts receivable-related party in the accompanying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Services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is the operator of substantially all of its properties. As operator of these properties, the Company is responsible for the daily operations, monthly operation billings and monthly revenue disbursements for the properties.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2012, the Company had amounts due to affiliated parties related to revenue distributions payable of $109,000. As of December 31, 2011, amounts due to affiliated parties related to prepaid drilling costs of $210,000 and revenue distributions payable of $2,303,000. These amounts are included in accounts payable-related party in the accompanying consolidated balance sheets. Each of these affiliated parties is either controlled by or was an affiliate of Wexford.</w:t>
      </w:r>
    </w:p>
    <w:p>
      <w:pPr>
        <w:spacing w:after="0" w:line="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September 30, 2012 and December 31, 2011, amounts due from affiliates related to joint interest billings and included in accounts receivable-related party in the accompanying consolidated balance sheets is $9,299,000 and $8,990,000, respectively. Each of these affiliated parties is either controlled by or was an affiliate of Wexford.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Services</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Bison has performed drilling and field services for the Company under master drilling agreements. Under the Company's most recent master drilling agreement with Bison, effective as of January 1, 2012, Bison committed to accept orders from the Company for the use of at least two of its rigs, and at September 30, 2012 was providing drilling services to the Company using two of its rigs. This master drilling agreement is terminable by either party on 30 day prior written notice, although neither party will be relieved of its respective obligations arising from a drilling contract being performed prior to the termination of the master drilling agreement. For the three months ended March 31, 2011, Bison was a wholly-owned subsidiary thus intercompany amounts were eliminated in consolidation. The Company owed Bison $923,000 as of September 30, 2012 and $154,000 as of December 31, 2011.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and Well Servicing Services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contracted with an affiliate for certain of its well completion services. Effective August 24, 2011, the affiliate was sold to a non-related third party. While still an affiliate of the Company, the Company was billed $2,504,000 and $12,511,000 for the three months and nine months ended September 30, 2011, respectively. Such amounts are capitalized in oil and natural gas properties in the accompanying consolidated balance sheet. At September 30, 2012 and December 31, 2011, the entity was no longer a related party.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entered into an agreement on March 1, 2009 with an entity under common management that purchased and received a significant portion of the Company's oil volumes. Effective January 1, 2012 the agreement with the affiliate was canceled. The Company's revenues from the affiliate were $8,274,000 and $26,692,000 for the three months and nine months ended September 30, 2011, respectively, and such amounts are included in oil sales in the accompanying consolidated statements of operations. As of December 31, 2011, the Company had an accounts receivable-related party balance with the affiliate of $4,132,000 and such amount is included in the accompanying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MidMar</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party to a gas purchase agreement, dated May 1, 2009, as amended, with MidMar Gas LLC, or MidMar, an entity affiliated with Wexford that owns a gas gathering system and processing plant in the Permian Basin. Under this agreement, MidMar is obligated to purchase from the Company, and the Company is obligated to sell to MidMar, all of the gas conforming to certain quality specifications produced from certain of the Company's Permian Basin acreage. Following the expiration of the initial ten-year term, the agreement will continue on a year-to-year basis until terminated by either party on 30 days written notice. Under the gas purchase agreement, MidMar is obligated to pay the Company 87% of the net revenue received by MidMar for all components of the Company's dedicated gas, including the liquid hydrocarbons, and the sale of residue gas, in each case extracted, recovered or otherwise processed at MidMar's gas processing plant, and 94.56% of the net revenue received by MidMar from the sale of such gas components and residue gas, extracted, recovered or otherwise processed at Chevron's Headlee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plant. For the three months and nine months ended September 30, 2012, MidMar paid the Company $803,000 and $2,187,000, respectively. For the three months and nine months ended September 30, 2011, MidMar paid the Company $556,000 and $1,316,000, respectively. As of September 30, 2012 and December 31, 2011, MidMar owed the Company $645,000 and $462,000, respectively, for the Company's portion of the net proceeds from the sale of gas, gas products and residue gas.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Lease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May 15, 2011, the Company occupied corporate office space in Midland, Texas under a lease with a five-year term. The office space is owned by an entity controlled by an affiliate of Wexford. For the three months and nine months ended September 30, 2012, the Company paid $46,000 and $117,000, respectively, and for the three months and nine months ended September 30, 2011, the Company paid $8,000 and $16,000, respectively. The current monthly rent under the lease will increase approximately 4% annually on June 1 of each year during the lease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City Lease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2012, the Company occupied corporate office space in Oklahoma City, Oklahoma under a lease with a 67 month term. The office space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owned by an entity controlled by an affiliate of Wexford. For the three months and nine months ended September 30, 2012, the Company paid $60,000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$267,000, respectively. The monthly rent under the lease increased to $17,000 per month on August 1, 2012 with no further escalations for the remaining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from Wexford</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From time to time, Wexford provides certain professional services to the Company. For the three months and nine months ended September 30, 2012, the Company incurred total costs of $25,000 and $119,000, respectively. As of September 30, 2012 the Company owed Wexford $22,000 and this amount is included in accounts payable-related party in the accompanying consolidated balance sheets. The Company did not incur any costs for professional services from Wexford during the nine months ended September 30,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October 17, 2012 Diamondback Energy, Inc. closed its IPO. See Note 3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Diamondback Energy, Inc. entered into an advisory services agreement (the "Advisory Services Agreement") with Wexford, dated as of October 11, 2012, under which Wexford will provide Diamondback Energy, Inc. with general financial and strategic advisory services related to the business in return for an annual fee of $500,000, plus reasonable out-of-pocket expenses. The Advisory Services Agreement has a term of two years commencing on the completion of the IPO, and will continue for additional one-year periods unless terminated in writing by either party at least ten days prior to the expiration of the then current term. It may be terminated at any time by either party upon 30 days’ prior written notice. In the event Diamondback Energy, Inc. terminates such agreement, it is obligated to pay all amounts due through the remaining term. In addition, Diamondback Energy, Inc. agreed to pay Wexford to-be-negotiated market-based fees approved by Diamondback's independent directors for such services as may be provided by Wexford at Diamondback Energy, Inc.'s request in connection with future acquisitions and divestitures, financings or other transactions in which Diamondback Energy, Inc. may be involved. The services provided by Wexford thereunder will not extend to Diamondback Energy, Inc.'s day-to-day business or operations. Diamondback Energy, Inc. has agreed to indemnify Wexford and its affiliates from any and all losses arising out of or in connection with the Advisory Services Agreement except for losses resulting from Wexford's or its affiliates’ gross negligence or willful misconduct.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The following discussion and analysis should be read in conjunction with the “Management’s Discussion and Analysis of Financial Condition and Results of Operations” section and audited consolidated financial statements and related notes thereto included in our final prospectus dated October 11, 2012 and filed with the Securities and Exchange Commission, or SEC, pursuant to Rule 424(b) under the Securities Act of 1933, or the Securities Act, on October 15, 2012, and with the unaudited consolidated financial statements and related notes thereto presented in this Quarterly Report on Form 10-Q.</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Various statements contained in this report that express a belief, expectation, or intention, or that are not statements of historical fact, are forward-looking statements within the meaning of Section 27A of the Securities Act and Section 21E of the Securities Exchange Act of 1934, or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quarterly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on Form 10-Q and detailed in our final prospectus dated October 11, 2012 and filed with the SEC pursuant to Rule 424(b) on October 15, 2012, could affect our actual results and cause our actual results to differ materially from expectations, estimates, or assumptions expressed in, forecasted in, or implied in such forward-looking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All forward-looking statements speak only as of the date of this quarterly report.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quarterly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long-life, onshore oil and natural gas reserves in the Permian Basin in West Texas. Our activities are primarily directed at the Clearfork, Spraberry, Wolfcamp, Cline, Strawn and Atoka formations which we refer to as the Wolfberry play. We intend to grow our reserves and production through development drilling, exploitation and exploration activities on our multi-year inventory of identified potential drilling locations and through acquisitions that meet our strategic and financial objectives, targeting oil-weighted reserves.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began operations in December 2007 with the acquisition of 4,174 net acres of oil and natural gas properties in the Permian Basin in West Texas. Subsequently, we acquired additional acreage which brought our total net acreage position in the Permian Basin to approximately 31,052 net acres at September 30, 2012.</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October 11, 2012, prior to the pricing of our initial public offering, Wexford Capital LP, or Wexford, our equity sponsor, caused all the outstanding equity interests in Windsor UT LLC, or Windsor UT, to be contributed to us. Windsor UT owns 2,489 net acres in the Permian Basin of which we are the operator. Also on October 11, 2012, we acquired all of the oil and natural gas properties of Gulfport Energy Corporation, or Gulfport, located in the Permian Basin in exchange for (i) 7,914,036 shares of our common stock and (ii) approximately $63.6 million in the form of a non-interest bearing promissory note that was repaid in full upon the closing of our initial public offering. We are the operator of the acreage acquired by us from Gulfport. The aggregate consideration payable to Gulfport is subject to a post-closing cash adjustment. If the closing date for the Gulfport transaction had been September 30, 2012, based on preliminary estimates we believe that we would have owed Gulfport approximately $16.0 million for this post-closing adjustment.</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October 11, 2012, after giving effect to the contribution to us of Windsor UT and our acquisition of Gulfport’s oil and natural gas assets in the Permian Basin, our net acreage position in the Permian Basin was approximately 51,709 net acres.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11, 2012, we priced, and on October 17, 2012 we closed, our initial public offering of 12,500,000 shares of our common stock at a price to the public of $17.50 per share. On October 23, 2012, the underwriters purchased an additional 1,875,000 shares of our common stock following the exercise in full of their over-allotment option. We received net proceeds of approximately $235.3 million from the sale of these shares of common stock (net of estimated expenses and underwriting discounts and commissions).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Diamondback Energy, Inc. was incorporated on December 30, 2011 in Delaware as a holding company and did not conduct any material business operations prior to the transaction described above. Accordingly, our historical financial information included in this report pertains to the assets, liabilities, revenues and expenses of Windsor Permian LLC, or Windsor Permian. Windsor Permian was a wholly-owned subsidiary of Diamondback Energy LLC, which was an entity controlled by our equity sponsor, Wexford. On October 11, 2012, Wexford caused Diamondback Energy LLC to be merged with and into Diamondback Energy, Inc. and Diamondback Energy, Inc. continued as the surviving entity. Since the contribution of Windsor UT to us and our acquisition of assets from Gulfport occurred on October 11, 2012, the financial results of Windsor UT and of the assets and operations acquired from Gulfport are not included in the historical financial information contained in this report and will only be included in our financial results for periods subsequent to their acquisition on October 11, 2012.</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As of April 30, 2012, Windsor Permian held a 22% interest in Bison Drilling and Field Services LLC, or Bison, and a 33% interest in Muskie Holdings LLC, or Muskie. Bison owns drilling rigs and various oil and natural gas well servicing equipment and performs drilling and field services for us. Muskie owns certain assets, real estate and rights in a lease for land that is prospective for oil and natural gas fracture grade sand. Windsor Permian’s interests in Bison and Muskie were distributed to Windsor Permian’s sole member in June 2012 so we may focus our activities on our oil and natural gas exploration and development activities. We recorded revenues of $1.5 million attributable to Bison in our consolidated statements of operations during the first quarter of 2011. Muskie was formed in 2011, and we recorded a loss from equity method investments of zero for the three months and nine months ended September 30,</w:t>
      </w:r>
    </w:p>
    <w:p>
      <w:pPr>
        <w:spacing w:after="0" w:line="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2011. For the three months and nine months ended September 30, 2012, we recorded a loss from equity method investments of zero and $67,000, respectively. The interests in Bison and Muskie are reflected in “Investments-equity method” on our consolidated balance sheets. For additional information regarding Bison and Muskie, see Note 7 to our consolidated financial statements appearing elsewhere in this report.</w:t>
      </w:r>
    </w:p>
    <w:p>
      <w:pPr>
        <w:spacing w:after="0" w:line="11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Since we began operations in 2007, we have increased our drilling activity, evaluated potential acquisitions and added to our acreage portfolio. Because of our growth through acquisitions and development of our properties, our historical results of operations and period-to-period comparisons of these results and certain financial data may not be meaningful or indicative of future results.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Overview</w:t>
      </w:r>
    </w:p>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During the three months ended September 30, 2012, Windsor Permian’s average daily production was 1,780 barrels per day, or Bbls/d, of oil, 2,220 thousand cubic feet per day, or Mcf/d, of natural gas and 488 Bbls/d of natural gas liquids, an increase of 7%, or 163 BOE/d over the three months ended June 30, 2012, consisting of 1,793 Bbls/d of oil, 1,734 Mcf/d of natural gas and 392 Bbls/d of natural gas liquids. On a pro forma basis for the Windsor UT and Gulfport transactions, our daily production for the three months ended September 30, 2012 would have been 2,559 Bbls/d of oil, 3,400Mcf/d of natural gas and 744 Bbls/d of natural gas liquids, an increase of 6%, or 232 BOE/d, over the pro forma results for the three months ended June 30, 2012, consisting of 2,579 Bbls/d of oil, 2,757 Mcf/d of natural gas and 599 Bbls/d of natural gas liquids.</w:t>
      </w:r>
    </w:p>
    <w:p>
      <w:pPr>
        <w:spacing w:after="0" w:line="17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During the three months ended September 30, 2012, we drilled 9 gross (6 net) wells, and participated in an additional 1 gross (0.4 net) non-operated well, in the Permian Basin. On a pro forma basis for the Windsor UT and Gulfport transactions, we would have drilled 10 gross (9 net) wells, and participated in an additional 1 gross (0.4 net) non-operated well, in the Permian Basin.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can Significantly Affect our Results</w:t>
      </w:r>
    </w:p>
    <w:p>
      <w:pPr>
        <w:spacing w:after="0" w:line="229"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Like all oil and natural gas exploration and production companies, we face the challenge of natural production declines. As initial reservoir pressures are depleted, oil and natural gas production from a given well naturally decreases. Thus, an oil and natural gas exploration and production company depletes part of its asset base with each unit of oil or natural gas it produces. We attempt to overcome this natural decline by drilling to find additional reserves and acquiring more reserves than we produce. Our future growth will depend on our ability to continue to add reserves in excess of production. We will maintain our focus on managing costs associated with drilling and the development and production of reserves. Our ability to add reserves through drilling is dependent on our capital resources and can be limited by many factors, including our ability to timely obtain drilling permits and regulatory approvals. We expect the permitting and approval process to become more difficult with increased activism from environmental and other groups which may extend the time it takes us to receive permits. Because of our relatively small size and concentrated property base, we can be disproportionately disadvantaged by delays in obtaining or failing to obtain drilling approvals compared to companies with larger or more dispersed property bases. As a result, we are less able to shift drilling activities to areas where permitting may be easier and we have fewer properties over which to spread the costs related to complying with these regulations and the costs or foregone opportunities resulting from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historical operating data for the periods indicated.</w:t>
      </w:r>
    </w:p>
    <w:p>
      <w:pPr>
        <w:sectPr>
          <w:pgSz w:w="11900" w:h="16838" w:orient="portrait"/>
          <w:cols w:equalWidth="0" w:num="1">
            <w:col w:w="11420"/>
          </w:cols>
          <w:pgMar w:left="240" w:top="125" w:right="239" w:bottom="1440" w:gutter="0" w:footer="0" w:header="0"/>
        </w:sectPr>
      </w:pPr>
    </w:p>
    <w:p>
      <w:pPr>
        <w:spacing w:after="0" w:line="298" w:lineRule="exact"/>
        <w:rPr>
          <w:sz w:val="20"/>
          <w:szCs w:val="20"/>
          <w:color w:val="auto"/>
        </w:rPr>
      </w:pPr>
    </w:p>
    <w:p>
      <w:pPr>
        <w:jc w:val="center"/>
        <w:ind w:left="532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48895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5720"/>
        <w:spacing w:after="0"/>
        <w:tabs>
          <w:tab w:leader="none" w:pos="730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48895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34290</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100" w:space="460"/>
            <w:col w:w="28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ind w:left="800"/>
              <w:spacing w:after="0"/>
              <w:rPr>
                <w:sz w:val="20"/>
                <w:szCs w:val="20"/>
                <w:color w:val="auto"/>
              </w:rPr>
            </w:pPr>
            <w:r>
              <w:rPr>
                <w:rFonts w:ascii="Arial" w:cs="Arial" w:eastAsia="Arial" w:hAnsi="Arial"/>
                <w:sz w:val="18"/>
                <w:szCs w:val="18"/>
                <w:color w:val="auto"/>
                <w:w w:val="98"/>
              </w:rPr>
              <w:t>(unaudited)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ind w:left="800"/>
              <w:spacing w:after="0"/>
              <w:rPr>
                <w:sz w:val="20"/>
                <w:szCs w:val="20"/>
                <w:color w:val="auto"/>
              </w:rPr>
            </w:pPr>
            <w:r>
              <w:rPr>
                <w:rFonts w:ascii="Arial" w:cs="Arial" w:eastAsia="Arial" w:hAnsi="Arial"/>
                <w:sz w:val="18"/>
                <w:szCs w:val="18"/>
                <w:color w:val="auto"/>
                <w:w w:val="98"/>
              </w:rPr>
              <w:t>(unaudited)</w:t>
            </w:r>
          </w:p>
        </w:tc>
        <w:tc>
          <w:tcPr>
            <w:tcW w:w="10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and natural gas revenues</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16,598,000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color w:val="auto"/>
                <w:w w:val="97"/>
              </w:rPr>
              <w:t>10,971,000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48,356,000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w w:val="99"/>
              </w:rPr>
              <w:t>33,009,000</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1,491,000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3,882,000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8"/>
                <w:szCs w:val="18"/>
                <w:color w:val="auto"/>
              </w:rPr>
              <w:t>3,119,000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10,017,000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7,404,000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taxes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815,000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color w:val="auto"/>
              </w:rPr>
              <w:t>535,000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2,365,000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1,629,000</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Gathering and transportation expense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117,000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264,000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139,000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and natural gas services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1,733,000</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6,066,000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8"/>
                <w:szCs w:val="18"/>
                <w:color w:val="auto"/>
              </w:rPr>
              <w:t>3,680,000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16,302,000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w w:val="99"/>
              </w:rPr>
              <w:t>11,121,000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1,654,000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color w:val="auto"/>
              </w:rPr>
              <w:t>755,000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4,468,000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2,176,000</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Asset retirement obligation accretion expense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62,000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45,000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12,556,000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color w:val="auto"/>
              </w:rPr>
              <w:t>8,159,000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33,478,000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w w:val="99"/>
              </w:rPr>
              <w:t>24,247,000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
              <w:spacing w:after="0"/>
              <w:rPr>
                <w:sz w:val="20"/>
                <w:szCs w:val="20"/>
                <w:color w:val="auto"/>
              </w:rPr>
            </w:pPr>
            <w:r>
              <w:rPr>
                <w:rFonts w:ascii="Arial" w:cs="Arial" w:eastAsia="Arial" w:hAnsi="Arial"/>
                <w:sz w:val="18"/>
                <w:szCs w:val="18"/>
                <w:color w:val="auto"/>
              </w:rPr>
              <w:t>4,042,000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18"/>
                <w:szCs w:val="18"/>
                <w:color w:val="auto"/>
              </w:rPr>
              <w:t>2,812,000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
              <w:spacing w:after="0"/>
              <w:rPr>
                <w:sz w:val="20"/>
                <w:szCs w:val="20"/>
                <w:color w:val="auto"/>
              </w:rPr>
            </w:pPr>
            <w:r>
              <w:rPr>
                <w:rFonts w:ascii="Arial" w:cs="Arial" w:eastAsia="Arial" w:hAnsi="Arial"/>
                <w:sz w:val="18"/>
                <w:szCs w:val="18"/>
                <w:color w:val="auto"/>
              </w:rPr>
              <w:t>14,878,000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
              <w:spacing w:after="0"/>
              <w:rPr>
                <w:sz w:val="20"/>
                <w:szCs w:val="20"/>
                <w:color w:val="auto"/>
              </w:rPr>
            </w:pPr>
            <w:r>
              <w:rPr>
                <w:rFonts w:ascii="Arial" w:cs="Arial" w:eastAsia="Arial" w:hAnsi="Arial"/>
                <w:sz w:val="18"/>
                <w:szCs w:val="18"/>
                <w:color w:val="auto"/>
                <w:w w:val="99"/>
              </w:rPr>
              <w:t>10,253,000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(1,806,000)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671,000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8"/>
                <w:szCs w:val="18"/>
                <w:color w:val="auto"/>
              </w:rPr>
              <w:t>1,729,000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2,017,000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from equity investment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(3,606,000)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498,000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(1,841,000)</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8"/>
                <w:szCs w:val="18"/>
                <w:color w:val="auto"/>
              </w:rPr>
              <w:t>436,000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8"/>
                <w:szCs w:val="18"/>
                <w:color w:val="auto"/>
              </w:rPr>
              <w:t>2,089,000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8"/>
                <w:szCs w:val="18"/>
                <w:color w:val="auto"/>
              </w:rPr>
              <w:t>15,376,000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8"/>
                <w:szCs w:val="18"/>
                <w:color w:val="auto"/>
              </w:rPr>
              <w:t>8,412,000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1"/>
        </w:trPr>
        <w:tc>
          <w:tcPr>
            <w:tcW w:w="5040" w:type="dxa"/>
            <w:vAlign w:val="bottom"/>
          </w:tcPr>
          <w:p>
            <w:pPr>
              <w:ind w:left="500"/>
              <w:spacing w:after="0"/>
              <w:rPr>
                <w:sz w:val="20"/>
                <w:szCs w:val="20"/>
                <w:color w:val="auto"/>
              </w:rPr>
            </w:pPr>
            <w:r>
              <w:rPr>
                <w:rFonts w:ascii="Arial" w:cs="Arial" w:eastAsia="Arial" w:hAnsi="Arial"/>
                <w:sz w:val="18"/>
                <w:szCs w:val="18"/>
                <w:color w:val="auto"/>
              </w:rPr>
              <w:t>Oil (Bbls)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163,740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Arial" w:cs="Arial" w:eastAsia="Arial" w:hAnsi="Arial"/>
                <w:sz w:val="20"/>
                <w:szCs w:val="20"/>
                <w:color w:val="auto"/>
              </w:rPr>
              <w:t>107,848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474,915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20"/>
                <w:szCs w:val="20"/>
                <w:color w:val="auto"/>
              </w:rPr>
              <w:t>307,179</w:t>
            </w: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(Mcf)</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204,225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91,570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494,396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274,432</w:t>
            </w:r>
          </w:p>
        </w:tc>
      </w:tr>
      <w:tr>
        <w:trPr>
          <w:trHeight w:val="261"/>
        </w:trPr>
        <w:tc>
          <w:tcPr>
            <w:tcW w:w="5040" w:type="dxa"/>
            <w:vAlign w:val="bottom"/>
          </w:tcPr>
          <w:p>
            <w:pPr>
              <w:ind w:left="500"/>
              <w:spacing w:after="0"/>
              <w:rPr>
                <w:sz w:val="20"/>
                <w:szCs w:val="20"/>
                <w:color w:val="auto"/>
              </w:rPr>
            </w:pPr>
            <w:r>
              <w:rPr>
                <w:rFonts w:ascii="Arial" w:cs="Arial" w:eastAsia="Arial" w:hAnsi="Arial"/>
                <w:sz w:val="18"/>
                <w:szCs w:val="18"/>
                <w:color w:val="auto"/>
              </w:rPr>
              <w:t>Natural gas liquids (Bbls)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44,851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Arial" w:cs="Arial" w:eastAsia="Arial" w:hAnsi="Arial"/>
                <w:sz w:val="20"/>
                <w:szCs w:val="20"/>
                <w:color w:val="auto"/>
              </w:rPr>
              <w:t>16,851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110,039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20"/>
                <w:szCs w:val="20"/>
                <w:color w:val="auto"/>
              </w:rPr>
              <w:t>61,671</w:t>
            </w: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(Boe)</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242,629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139,961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667,353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414,589</w:t>
            </w:r>
          </w:p>
        </w:tc>
      </w:tr>
      <w:tr>
        <w:trPr>
          <w:trHeight w:val="261"/>
        </w:trPr>
        <w:tc>
          <w:tcPr>
            <w:tcW w:w="504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2,637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Arial" w:cs="Arial" w:eastAsia="Arial" w:hAnsi="Arial"/>
                <w:sz w:val="20"/>
                <w:szCs w:val="20"/>
                <w:color w:val="auto"/>
              </w:rPr>
              <w:t>1,521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2,436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20"/>
                <w:szCs w:val="20"/>
                <w:color w:val="auto"/>
              </w:rPr>
              <w:t>1,519</w:t>
            </w:r>
          </w:p>
        </w:tc>
      </w:tr>
      <w:tr>
        <w:trPr>
          <w:trHeight w:val="199"/>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Average Prices</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1"/>
        </w:trPr>
        <w:tc>
          <w:tcPr>
            <w:tcW w:w="5040" w:type="dxa"/>
            <w:vAlign w:val="bottom"/>
          </w:tcPr>
          <w:p>
            <w:pPr>
              <w:ind w:left="40"/>
              <w:spacing w:after="0"/>
              <w:rPr>
                <w:sz w:val="20"/>
                <w:szCs w:val="20"/>
                <w:color w:val="auto"/>
              </w:rPr>
            </w:pPr>
            <w:r>
              <w:rPr>
                <w:rFonts w:ascii="Arial" w:cs="Arial" w:eastAsia="Arial" w:hAnsi="Arial"/>
                <w:sz w:val="18"/>
                <w:szCs w:val="18"/>
                <w:color w:val="auto"/>
              </w:rPr>
              <w:t>Oil (per Bbl)</w:t>
            </w: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87.42</w:t>
            </w:r>
          </w:p>
        </w:tc>
        <w:tc>
          <w:tcPr>
            <w:tcW w:w="10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7"/>
              <w:spacing w:after="0"/>
              <w:rPr>
                <w:sz w:val="20"/>
                <w:szCs w:val="20"/>
                <w:color w:val="auto"/>
              </w:rPr>
            </w:pPr>
            <w:r>
              <w:rPr>
                <w:rFonts w:ascii="Arial" w:cs="Arial" w:eastAsia="Arial" w:hAnsi="Arial"/>
                <w:sz w:val="20"/>
                <w:szCs w:val="20"/>
                <w:color w:val="auto"/>
              </w:rPr>
              <w:t>88.61</w:t>
            </w:r>
          </w:p>
        </w:tc>
        <w:tc>
          <w:tcPr>
            <w:tcW w:w="10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89.92</w:t>
            </w:r>
          </w:p>
        </w:tc>
        <w:tc>
          <w:tcPr>
            <w:tcW w:w="1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7"/>
              <w:spacing w:after="0"/>
              <w:rPr>
                <w:sz w:val="20"/>
                <w:szCs w:val="20"/>
                <w:color w:val="auto"/>
              </w:rPr>
            </w:pPr>
            <w:r>
              <w:rPr>
                <w:rFonts w:ascii="Arial" w:cs="Arial" w:eastAsia="Arial" w:hAnsi="Arial"/>
                <w:sz w:val="20"/>
                <w:szCs w:val="20"/>
                <w:color w:val="auto"/>
              </w:rPr>
              <w:t>93.14</w:t>
            </w: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(per Mcf)</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4.10</w:t>
            </w:r>
          </w:p>
        </w:tc>
      </w:tr>
      <w:tr>
        <w:trPr>
          <w:trHeight w:val="261"/>
        </w:trPr>
        <w:tc>
          <w:tcPr>
            <w:tcW w:w="5040" w:type="dxa"/>
            <w:vAlign w:val="bottom"/>
          </w:tcPr>
          <w:p>
            <w:pPr>
              <w:ind w:left="40"/>
              <w:spacing w:after="0"/>
              <w:rPr>
                <w:sz w:val="20"/>
                <w:szCs w:val="20"/>
                <w:color w:val="auto"/>
              </w:rPr>
            </w:pPr>
            <w:r>
              <w:rPr>
                <w:rFonts w:ascii="Arial" w:cs="Arial" w:eastAsia="Arial" w:hAnsi="Arial"/>
                <w:sz w:val="18"/>
                <w:szCs w:val="18"/>
                <w:color w:val="auto"/>
              </w:rPr>
              <w:t>Natural gas liquids (per Bbl)</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38.06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Arial" w:cs="Arial" w:eastAsia="Arial" w:hAnsi="Arial"/>
                <w:sz w:val="20"/>
                <w:szCs w:val="20"/>
                <w:color w:val="auto"/>
              </w:rPr>
              <w:t>60.95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20"/>
                <w:szCs w:val="20"/>
                <w:color w:val="auto"/>
              </w:rPr>
              <w:t>40.14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20"/>
                <w:szCs w:val="20"/>
                <w:color w:val="auto"/>
              </w:rPr>
              <w:t>53.06</w:t>
            </w: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(per BOE)</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68.41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78.39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72.46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79.62</w:t>
            </w:r>
          </w:p>
        </w:tc>
      </w:tr>
      <w:tr>
        <w:trPr>
          <w:trHeight w:val="20"/>
        </w:trPr>
        <w:tc>
          <w:tcPr>
            <w:tcW w:w="5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ind w:right="100" w:firstLine="8"/>
        <w:spacing w:after="0" w:line="295"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After giving effect to our hedging arrangements in effect during the period ended, the average prices per Bbl of oil and per BOE were $81.95 and $64.72, respectively, during the three months ended September 30, 2012, and $88.54 and $78.33, respectively, during the three months ended September 30, 2011. After giving effect to our hedging arrangements in effect during the period ended, the average prices per Bbl of oil and per BOE were $80.72 and $65.91, respectively, during the nine months ended September 30, 2012, and $93.03 and $79.53, respectively, during the nine months ended September 30,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2012 and 2011</w:t>
      </w:r>
    </w:p>
    <w:p>
      <w:pPr>
        <w:spacing w:after="0" w:line="279"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b w:val="1"/>
          <w:bCs w:val="1"/>
          <w:i w:val="1"/>
          <w:iCs w:val="1"/>
          <w:color w:val="auto"/>
        </w:rPr>
        <w:t xml:space="preserve">Oil, Natural Gas Liquids and Natural Gas Revenues. </w:t>
      </w:r>
      <w:r>
        <w:rPr>
          <w:rFonts w:ascii="Arial" w:cs="Arial" w:eastAsia="Arial" w:hAnsi="Arial"/>
          <w:sz w:val="18"/>
          <w:szCs w:val="18"/>
          <w:color w:val="auto"/>
        </w:rPr>
        <w:t>Our oil, natural gas liquids and natural gas revenues increased by approximately $5,627,000,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 to $16,598,000 for the three months ended September 30, 2012 from $10,971,000 for the three months ended September 30, 2011. Our revenues are a function of oil, natural gas liquids and natural gas production volumes sold and average sales prices received for those volumes. Average daily production sold increased by 1,116 BOE/d during the three months ended September 30, 2012 as compared to the same period in 2011. The total increase in revenue of approximately $5,627,000 is largely attributable to higher oil,</w:t>
      </w:r>
    </w:p>
    <w:p>
      <w:pPr>
        <w:sectPr>
          <w:pgSz w:w="11900" w:h="16838" w:orient="portrait"/>
          <w:cols w:equalWidth="0" w:num="1">
            <w:col w:w="11420"/>
          </w:cols>
          <w:pgMar w:left="240" w:top="125"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natural gas liquids and natural gas production volumes for the three months ended September 30, 2012 as compared to the three months ended September 30, 2011. Production increased by 55,892 Bbls of oil, 28,000 Bbls of natural gas liquids and 112,655 Mcf of natural gas for the three months ended September 30, 2012 as compared to the three months ended September 30, 2011. The net dollar effect of the decreases in prices of approximately $1,509,000 (calculated as the change in quarter-to-quarter average prices times current quarterly production volumes of oil, natural gas liquids and natural gas) and the net dollar effect of the increase in production of approximately $7,136,000 (calculated as the increase in quarter-to-quarter volumes for oil, natural gas liquids and natural gas times the prior year quarterly average prices) are shown below.</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Production</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effect of change</w:t>
            </w:r>
          </w:p>
        </w:tc>
      </w:tr>
      <w:tr>
        <w:trPr>
          <w:trHeight w:val="261"/>
        </w:trPr>
        <w:tc>
          <w:tcPr>
            <w:tcW w:w="3740" w:type="dxa"/>
            <w:vAlign w:val="bottom"/>
          </w:tcPr>
          <w:p>
            <w:pPr>
              <w:spacing w:after="0"/>
              <w:rPr>
                <w:sz w:val="22"/>
                <w:szCs w:val="22"/>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Change in prices</w:t>
            </w:r>
          </w:p>
        </w:tc>
        <w:tc>
          <w:tcPr>
            <w:tcW w:w="120" w:type="dxa"/>
            <w:vAlign w:val="bottom"/>
          </w:tcPr>
          <w:p>
            <w:pPr>
              <w:spacing w:after="0"/>
              <w:rPr>
                <w:sz w:val="22"/>
                <w:szCs w:val="22"/>
                <w:color w:val="auto"/>
              </w:rPr>
            </w:pPr>
          </w:p>
        </w:tc>
        <w:tc>
          <w:tcPr>
            <w:tcW w:w="1600" w:type="dxa"/>
            <w:vAlign w:val="bottom"/>
            <w:gridSpan w:val="2"/>
          </w:tcPr>
          <w:p>
            <w:pPr>
              <w:jc w:val="center"/>
              <w:ind w:right="40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20" w:type="dxa"/>
            <w:vAlign w:val="bottom"/>
          </w:tcPr>
          <w:p>
            <w:pPr>
              <w:spacing w:after="0"/>
              <w:rPr>
                <w:sz w:val="22"/>
                <w:szCs w:val="22"/>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44"/>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163,740</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43"/>
        </w:trPr>
        <w:tc>
          <w:tcPr>
            <w:tcW w:w="37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204,225</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5"/>
        </w:trPr>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production</w:t>
            </w:r>
          </w:p>
        </w:tc>
        <w:tc>
          <w:tcPr>
            <w:tcW w:w="12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Prior period</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effect of change</w:t>
            </w:r>
          </w:p>
        </w:tc>
      </w:tr>
      <w:tr>
        <w:trPr>
          <w:trHeight w:val="261"/>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20" w:type="dxa"/>
            <w:vAlign w:val="bottom"/>
          </w:tcPr>
          <w:p>
            <w:pPr>
              <w:spacing w:after="0"/>
              <w:rPr>
                <w:sz w:val="22"/>
                <w:szCs w:val="22"/>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Average Prices</w:t>
            </w:r>
          </w:p>
        </w:tc>
        <w:tc>
          <w:tcPr>
            <w:tcW w:w="120" w:type="dxa"/>
            <w:vAlign w:val="bottom"/>
          </w:tcPr>
          <w:p>
            <w:pPr>
              <w:spacing w:after="0"/>
              <w:rPr>
                <w:sz w:val="22"/>
                <w:szCs w:val="22"/>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44"/>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55,892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88.61</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4,952</w:t>
            </w: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r>
      <w:tr>
        <w:trPr>
          <w:trHeight w:val="243"/>
        </w:trPr>
        <w:tc>
          <w:tcPr>
            <w:tcW w:w="37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112,655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r>
      <w:tr>
        <w:trPr>
          <w:trHeight w:val="250"/>
        </w:trPr>
        <w:tc>
          <w:tcPr>
            <w:tcW w:w="374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8890</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 w:lineRule="exact"/>
        <w:rPr>
          <w:sz w:val="20"/>
          <w:szCs w:val="20"/>
          <w:color w:val="auto"/>
        </w:rPr>
      </w:pPr>
    </w:p>
    <w:p>
      <w:pPr>
        <w:ind w:left="1760" w:hanging="536"/>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-130175</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2"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Lease operating expense was $3,882,000 for the three months ended September 30, 2012, an increase of $763,000, or 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$3,119,000 for the three months ended September 30, 2011. The increase is due to increased drilling activity, which resulted in additional producing wells for the three months ended September 30, 2012 as compared to the three months ended September 30, 2011. Our lease operating expense during both periods was also adversely impacted by the cost of processing and treating non-hydrocarbon gases from certain of our wells that came on-line in 2011. During the fourth quarter of 2012, we intend to complete both oil and water gathering systems that will transport this gas stream to a sour gas pipeline, thereby eliminating the monthly processing and treating expense, and reducing water trucking, respectively. We believe that the completion of the gathering systems will help reduce our lease operating expense in future periods.</w:t>
      </w:r>
    </w:p>
    <w:p>
      <w:pPr>
        <w:spacing w:after="0" w:line="340"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b w:val="1"/>
          <w:bCs w:val="1"/>
          <w:i w:val="1"/>
          <w:iCs w:val="1"/>
          <w:color w:val="auto"/>
        </w:rPr>
        <w:t xml:space="preserve">Production Tax Expense. </w:t>
      </w:r>
      <w:r>
        <w:rPr>
          <w:rFonts w:ascii="Arial" w:cs="Arial" w:eastAsia="Arial" w:hAnsi="Arial"/>
          <w:sz w:val="17"/>
          <w:szCs w:val="17"/>
          <w:color w:val="auto"/>
        </w:rPr>
        <w:t>Production taxes as a percentage of oil and natural gas sales were 4.9% for both the three months ended September 30,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2011. Production taxes are primarily based on the market value of our production at the wellhead and may vary across the different counties in which we operate. Total production taxes increased $280,000, from $535,000 during the three months ended September 30, 2011 to $815,000 during the three months ended September 30, 2012, as a result of higher production and an increase in the market value of our production.</w:t>
      </w:r>
    </w:p>
    <w:p>
      <w:pPr>
        <w:spacing w:after="0" w:line="334"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$2,386,000, or 65%, from $3,680,000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2011 to $6,066,000 for the three months ended September 30, 2012. This increase was due to an increase in our full cost pool as a result of our capital activities.</w:t>
      </w:r>
    </w:p>
    <w:p>
      <w:pPr>
        <w:spacing w:after="0" w:line="343"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increased $899,000 from $755,000 for the three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2011 to $1,654,000 for the three months ended September 30, 2012. This increase was due primarily to increases in salary and equity based compensation expense and legal and professional service expenses related to our IPO. These increases were partially offset by increases in general and administrative costs related to exploration and development activity capitalized to the full cost pool and increases in COPAS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overhead payments due to increased drilling activity. In connection with our initial public offering, we incurred a non-recurring charge to our fourth quarter general and administrative expense of approximately $3.0 million for executive bonuses associated with such offering.</w:t>
      </w:r>
    </w:p>
    <w:p>
      <w:pPr>
        <w:spacing w:after="0" w:line="333" w:lineRule="exact"/>
        <w:rPr>
          <w:sz w:val="20"/>
          <w:szCs w:val="20"/>
          <w:color w:val="auto"/>
        </w:rPr>
      </w:pPr>
    </w:p>
    <w:p>
      <w:pPr>
        <w:ind w:right="300" w:firstLine="446"/>
        <w:spacing w:after="0" w:line="312" w:lineRule="auto"/>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Net interest expense for the three months ended September 30, 2012 was $1,129,000, as compared to $716,000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2011, an increase of $413,000. This increase is due to an increase in our weighted average outstanding borrowings under our credit agreement to $100,000,000 for the three months ended September 30, 2012 from $75,526,000 for the same period in 2011.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2012 and 2011</w:t>
      </w:r>
    </w:p>
    <w:p>
      <w:pPr>
        <w:spacing w:after="0" w:line="90"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$15,347,000,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46%, to $48,356,000 for the nine months ended September 30, 2012 from $33,009,000 for the nine months ended September 30, 2011. Our revenues are a function of oil, natural gas liquids and natural gas production volumes sold and average sales prices received for those volumes. Average daily production sold increased by 917 BOE/d during the nine months ended September 30, 2012 as compared to the same period in 2011. The total increase in revenue of approximately $15,347,000 is largely attributable to higher oil, natural gas liquids and natural gas production volumes for the nine months ended September 30, 2012 as compared to the nine months ended September 30, 2011. Production increased by 167,736 Bbls of oil, 48,368 Bbls of natural gas liquids and 219,964 Mcf of natural gas for the nine months ended September 30, 2012 as compared to the nine months ended September 30, 2011. The net dollar effect of the decreases in prices of approximately $3,745,000 (calculated as the change in period-to-period average prices times current period production volumes of oil, natural gas liquids and natural gas) and the net dollar effect of the increase in production of approximately $19,902,000 (calculated as the increase in period-to-period volumes for oil, natural gas liquids and natural gas times the period average prices) are shown below.</w:t>
      </w:r>
    </w:p>
    <w:p>
      <w:pPr>
        <w:spacing w:after="0" w:line="192"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net dollar</w:t>
            </w: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Production</w:t>
            </w: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effect of change</w:t>
            </w:r>
          </w:p>
        </w:tc>
      </w:tr>
      <w:tr>
        <w:trPr>
          <w:trHeight w:val="261"/>
        </w:trPr>
        <w:tc>
          <w:tcPr>
            <w:tcW w:w="3660" w:type="dxa"/>
            <w:vAlign w:val="bottom"/>
          </w:tcPr>
          <w:p>
            <w:pPr>
              <w:spacing w:after="0"/>
              <w:rPr>
                <w:sz w:val="22"/>
                <w:szCs w:val="22"/>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Change in prices</w:t>
            </w:r>
          </w:p>
        </w:tc>
        <w:tc>
          <w:tcPr>
            <w:tcW w:w="140" w:type="dxa"/>
            <w:vAlign w:val="bottom"/>
          </w:tcPr>
          <w:p>
            <w:pPr>
              <w:spacing w:after="0"/>
              <w:rPr>
                <w:sz w:val="22"/>
                <w:szCs w:val="22"/>
                <w:color w:val="auto"/>
              </w:rPr>
            </w:pPr>
          </w:p>
        </w:tc>
        <w:tc>
          <w:tcPr>
            <w:tcW w:w="14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20" w:type="dxa"/>
            <w:vAlign w:val="bottom"/>
          </w:tcPr>
          <w:p>
            <w:pPr>
              <w:spacing w:after="0"/>
              <w:rPr>
                <w:sz w:val="22"/>
                <w:szCs w:val="22"/>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r>
      <w:tr>
        <w:trPr>
          <w:trHeight w:val="244"/>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58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474,915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43"/>
        </w:trPr>
        <w:tc>
          <w:tcPr>
            <w:tcW w:w="3660" w:type="dxa"/>
            <w:vAlign w:val="bottom"/>
          </w:tcPr>
          <w:p>
            <w:pPr>
              <w:ind w:left="580"/>
              <w:spacing w:after="0"/>
              <w:rPr>
                <w:sz w:val="20"/>
                <w:szCs w:val="20"/>
                <w:color w:val="auto"/>
              </w:rPr>
            </w:pPr>
            <w:r>
              <w:rPr>
                <w:rFonts w:ascii="Arial" w:cs="Arial" w:eastAsia="Arial" w:hAnsi="Arial"/>
                <w:sz w:val="18"/>
                <w:szCs w:val="18"/>
                <w:color w:val="auto"/>
              </w:rPr>
              <w:t>Natural gas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494,396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25"/>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Change in</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net dollar</w:t>
            </w: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production</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Prior period</w:t>
            </w: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effect of change</w:t>
            </w:r>
          </w:p>
        </w:tc>
      </w:tr>
      <w:tr>
        <w:trPr>
          <w:trHeight w:val="261"/>
        </w:trPr>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4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 Prices</w:t>
            </w:r>
          </w:p>
        </w:tc>
        <w:tc>
          <w:tcPr>
            <w:tcW w:w="120" w:type="dxa"/>
            <w:vAlign w:val="bottom"/>
          </w:tcPr>
          <w:p>
            <w:pPr>
              <w:spacing w:after="0"/>
              <w:rPr>
                <w:sz w:val="22"/>
                <w:szCs w:val="22"/>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r>
      <w:tr>
        <w:trPr>
          <w:trHeight w:val="244"/>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58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167,736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15,624</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r>
      <w:tr>
        <w:trPr>
          <w:trHeight w:val="243"/>
        </w:trPr>
        <w:tc>
          <w:tcPr>
            <w:tcW w:w="3660" w:type="dxa"/>
            <w:vAlign w:val="bottom"/>
          </w:tcPr>
          <w:p>
            <w:pPr>
              <w:ind w:left="580"/>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219,964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19,092</w:t>
            </w:r>
          </w:p>
        </w:tc>
      </w:tr>
      <w:tr>
        <w:trPr>
          <w:trHeight w:val="250"/>
        </w:trPr>
        <w:tc>
          <w:tcPr>
            <w:tcW w:w="3660" w:type="dxa"/>
            <w:vAlign w:val="bottom"/>
          </w:tcPr>
          <w:p>
            <w:pPr>
              <w:ind w:left="580"/>
              <w:spacing w:after="0"/>
              <w:rPr>
                <w:sz w:val="20"/>
                <w:szCs w:val="20"/>
                <w:color w:val="auto"/>
              </w:rPr>
            </w:pPr>
            <w:r>
              <w:rPr>
                <w:rFonts w:ascii="Arial" w:cs="Arial" w:eastAsia="Arial" w:hAnsi="Arial"/>
                <w:sz w:val="18"/>
                <w:szCs w:val="18"/>
                <w:color w:val="auto"/>
              </w:rPr>
              <w:t>Total change in revenues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8890</wp:posOffset>
            </wp:positionV>
            <wp:extent cx="917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 w:lineRule="exact"/>
        <w:rPr>
          <w:sz w:val="20"/>
          <w:szCs w:val="20"/>
          <w:color w:val="auto"/>
        </w:rPr>
      </w:pPr>
    </w:p>
    <w:p>
      <w:pPr>
        <w:ind w:left="1980" w:hanging="675"/>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-130175</wp:posOffset>
            </wp:positionV>
            <wp:extent cx="917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2"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Lease operating expense was $10,017,000 for the nine months ended September 30, 2012, an increase of $2,613,000,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 from $7,404,000 for the nine months ended September 30, 2011. The increase is due to increased drilling activity, which resulted in additional producing wells for the nine months ended September 30, 2012 as compared to the nine months ended September 30, 2011. Our lease operating expense during both periods was also adversely impacted by the cost of processing and treating non-hydrocarbon gases from certain of our wells that came on-line in 2011. During the fourth quarter of 2012, we intend to complete both oil and water gathering systems that will transport this gas stream to a sour gas pipeline, thereby eliminating the monthly processing and treating expense, and reducing water trucking, respectively. We believe that the completion of the gathering systems will help reduce our lease operating expense in future periods.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46"/>
        <w:spacing w:after="0" w:line="279" w:lineRule="auto"/>
        <w:rPr>
          <w:sz w:val="20"/>
          <w:szCs w:val="20"/>
          <w:color w:val="auto"/>
        </w:rPr>
      </w:pPr>
      <w:r>
        <w:rPr>
          <w:rFonts w:ascii="Arial" w:cs="Arial" w:eastAsia="Arial" w:hAnsi="Arial"/>
          <w:sz w:val="17"/>
          <w:szCs w:val="17"/>
          <w:b w:val="1"/>
          <w:bCs w:val="1"/>
          <w:i w:val="1"/>
          <w:iCs w:val="1"/>
          <w:color w:val="auto"/>
        </w:rPr>
        <w:t xml:space="preserve">Production Tax Expense. </w:t>
      </w:r>
      <w:r>
        <w:rPr>
          <w:rFonts w:ascii="Arial" w:cs="Arial" w:eastAsia="Arial" w:hAnsi="Arial"/>
          <w:sz w:val="17"/>
          <w:szCs w:val="17"/>
          <w:color w:val="auto"/>
        </w:rPr>
        <w:t>Production taxes as a percentage of oil and natural gas sales were 4.9% for both the nine months ended September 30,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2011. Production taxes are primarily based on the market value of our production at the wellhead and may vary across the different counties in which we operate. Total production taxes increased $736,000, from $1,629,000 during the nine months ended September 30, 2011 to $2,365,000 during the nine months ended September 30, 2012, as a result of higher production and an increase in the market value of our production.</w:t>
      </w:r>
    </w:p>
    <w:p>
      <w:pPr>
        <w:spacing w:after="0" w:line="334"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$5,181,000, or 47%, from $11,121,000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2011 to $16,302,000 for the nine months ended September 30, 2012. This increase was due to an increase in our full cost pool as a result of our capital activities.</w:t>
      </w:r>
    </w:p>
    <w:p>
      <w:pPr>
        <w:spacing w:after="0" w:line="343"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increased $2,292,000 from $2,176,000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2011 to $4,468,000 for the nine months ended September 30, 2012. This increase was due primarily to increases in salary and equity based compensation expense, legal and professional service expenses related to our IPO, and contract labor. These increases were partially offset by increases in general and administrative costs related to exploration and development activity capitalized to the full cost pool and increases in COPAS overhead payments due to increased drilling activity. In connection with our initial public offering, we incurred a non-recurring charge to our fourth quarter general and administrative expense of approximately $3.0 million for executive bonuses associated with such offering.</w:t>
      </w:r>
    </w:p>
    <w:p>
      <w:pPr>
        <w:spacing w:after="0" w:line="341" w:lineRule="exact"/>
        <w:rPr>
          <w:sz w:val="20"/>
          <w:szCs w:val="20"/>
          <w:color w:val="auto"/>
        </w:rPr>
      </w:pPr>
    </w:p>
    <w:p>
      <w:pPr>
        <w:ind w:right="160" w:firstLine="446"/>
        <w:spacing w:after="0" w:line="312" w:lineRule="auto"/>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Net interest expense for the nine months ended September 30, 2012 was $3,181,000, as compared to $1,806,000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2011, an increase of $1,375,000. This increase is due to an increase in our weighted average outstanding borrowings under our credit agreement to $97,330,000 for the nine months ended September 30, 2012 from $63,223,000 for the same period in 2011.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Historically, our primary sources of liquidity to date have been capital contributions and loans from our equity sponsor, borrowings under our credit facility and cash flows from operations. Our primary useof capital has been for the acquisition, development and exploration of oil and natural gas properties. We regularly evaluate potential capital sources, including equity and debt financings, in an effort to meet our planned capital expenditures and liquidity requirements. Our future success in growing proved reserves and production will be highly dependent on our ability to access outside sources of capital.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60"/>
              <w:spacing w:after="0"/>
              <w:rPr>
                <w:sz w:val="20"/>
                <w:szCs w:val="20"/>
                <w:color w:val="auto"/>
              </w:rPr>
            </w:pPr>
            <w:r>
              <w:rPr>
                <w:rFonts w:ascii="Arial" w:cs="Arial" w:eastAsia="Arial" w:hAnsi="Arial"/>
                <w:sz w:val="18"/>
                <w:szCs w:val="18"/>
                <w:color w:val="auto"/>
                <w:w w:val="98"/>
              </w:rPr>
              <w:t>Our cash flows for the nine months ended September 30, 2012 and 2011 are presented below:</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(85,281,000)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(50,490,000)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47,972,000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35,578,000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change in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(5,527,000)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(872,000)</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Net cash provided by operating activities was $31,782,000 for the nine months ended September 30, 2012 as compared to $14,040,000 for the nine months ended September 30, 2011. The increase in operating cash flows is due to an overall increase in production revenues, partially offset by increased expenses. The increase in production is largely a result of our increased drilling activities throughout 2012 and 2011. For a summary of our commodity prices, production, costs and expenses, refer to the “</w:t>
      </w:r>
      <w:r>
        <w:rPr>
          <w:rFonts w:ascii="Arial" w:cs="Arial" w:eastAsia="Arial" w:hAnsi="Arial"/>
          <w:sz w:val="17"/>
          <w:szCs w:val="17"/>
          <w:i w:val="1"/>
          <w:iCs w:val="1"/>
          <w:color w:val="auto"/>
        </w:rPr>
        <w:t>Results of Operations</w:t>
      </w:r>
      <w:r>
        <w:rPr>
          <w:rFonts w:ascii="Arial" w:cs="Arial" w:eastAsia="Arial" w:hAnsi="Arial"/>
          <w:sz w:val="17"/>
          <w:szCs w:val="17"/>
          <w:color w:val="auto"/>
        </w:rPr>
        <w:t>” of this Item 2. For additional detail of changes in operating assets and liabilities, see the statement of consolidated cash flows in Item 1, Financial Statements of this Form 10-Q.</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used cash for investing activities of $85,281,000 and $50,490,000 during the nine months ended September 30, 2012 and 2011,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During the nine months ended September 30, 2012, we spent $71,881,000 on capital expenditures in conjunction with our drilling program in which we participated in the drilling of 33 gross (24 net) wells. We spent an additional $7,948,000 on leasehold costs, $778,000 for the purchase of other property and equipment and $4,700,000, net, on the settlement of derivative transactions.</w:t>
      </w:r>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investing activities for the nine months ended September 30, 2012 and 2011 are summarized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and completion of wells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(71,881,000)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(47,775,000)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leasehold acquisitions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(7,948,000)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(1,881,000)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other property and equipment</w:t>
            </w:r>
          </w:p>
        </w:tc>
        <w:tc>
          <w:tcPr>
            <w:tcW w:w="28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(6,950,000)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1"/>
                <w:szCs w:val="21"/>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of non-hedge derivative instruments</w:t>
            </w:r>
          </w:p>
        </w:tc>
        <w:tc>
          <w:tcPr>
            <w:tcW w:w="28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(7,025,000)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(3,091,000)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Receipt (payment) on derivative margins</w:t>
            </w:r>
          </w:p>
        </w:tc>
        <w:tc>
          <w:tcPr>
            <w:tcW w:w="280" w:type="dxa"/>
            <w:vAlign w:val="bottom"/>
          </w:tcPr>
          <w:p>
            <w:pPr>
              <w:spacing w:after="0"/>
              <w:rPr>
                <w:sz w:val="21"/>
                <w:szCs w:val="21"/>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2,325,000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3,152,000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equity investment, net</w:t>
            </w:r>
          </w:p>
        </w:tc>
        <w:tc>
          <w:tcPr>
            <w:tcW w:w="280" w:type="dxa"/>
            <w:vAlign w:val="bottom"/>
            <w:shd w:val="clear" w:color="auto" w:fill="CCEEFF"/>
          </w:tcPr>
          <w:p>
            <w:pPr>
              <w:spacing w:after="0"/>
              <w:rPr>
                <w:sz w:val="21"/>
                <w:szCs w:val="21"/>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vMerge w:val="continue"/>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(85,281,000)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(50,490,000)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Net cash provided by financing activities for the nine months ended September 30, 2012 was $47,972,000 as compared to $35,578,000 for the first nine months of 2011. During the first nine months of 2012 and 2011, we borrowed $15,000,000 and $35,233,000, respectively, under our revolving credit facility. During the first nine months of 2012, we borrowed $30,045,000 under our subordinate note with Wexford, our equity sponsor. During the first nine months of 2012 and 2011, we received capital contributions from our members of $4,008,000 and $710,000, respectively. These proceeds were used primarily to fund our drilling costs and purchase property and equipment. During the nine months ended September 30, 2012, we paid $1,009,000 for costs associated with our initial public offering.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On October 15, 2010, we entered into a secured loan agreement with BNP Paribas, or BNP, as the administrative agent, sole book runner and lead arranger. On May 10, 2012, the revolving credit agreement was amended to provide for the resignation of BNP, and the appointment of Wells Fargo Bank, National Association, as administrative agent for the lenders. The loan agreement, as amended, provides for a $250 million revolving credit facility, subject to scheduled semi-annual and other elective collateral borrowing base redeterminations based on our oil and natural gas reserves (the “borrowing base”). The outstanding borrowings bear interest at a rate elected by us that is based on the prime, LIBOR or federal funds rate plus margins ranging from 1.25% to 3.50% depending on the base rate used and the amount of the loan outstanding in relation to the borrowing base.</w:t>
      </w:r>
    </w:p>
    <w:p>
      <w:pPr>
        <w:spacing w:after="0" w:line="260" w:lineRule="exact"/>
        <w:rPr>
          <w:sz w:val="20"/>
          <w:szCs w:val="20"/>
          <w:color w:val="auto"/>
        </w:rPr>
      </w:pPr>
    </w:p>
    <w:p>
      <w:pPr>
        <w:ind w:right="100" w:firstLine="446"/>
        <w:spacing w:after="0" w:line="268" w:lineRule="auto"/>
        <w:rPr>
          <w:sz w:val="20"/>
          <w:szCs w:val="20"/>
          <w:color w:val="auto"/>
        </w:rPr>
      </w:pPr>
      <w:r>
        <w:rPr>
          <w:rFonts w:ascii="Arial" w:cs="Arial" w:eastAsia="Arial" w:hAnsi="Arial"/>
          <w:sz w:val="17"/>
          <w:szCs w:val="17"/>
          <w:color w:val="auto"/>
        </w:rPr>
        <w:t>Principal may be optionally repaid from time to time and is required to be paid (a) if the loan amount exceeds the borrowing base, whether due to a borrowing base redetermination or otherwise and (b) at the maturity date of October 15, 2014. We are obligated to pay a quarterly commitment fee equal to 0.5% per year of the unused portion of the borrowing base. The loan is secured by substantially all of our assets. The borrowing base is re-determined semi-annually with effective dates of April 1st and October 1st. In addition, we may request up to three additional redeterminations of the borrowing base during any 12-month period. The borrowing base was $45.0 million at December 31, 2010. The borrowing base was increased several times during 2011 as a result of redeterminations and at December 31, 2011 the borrowing base was $100.0 million. Under the terms of the revolving credit agreement upon the closing of our initial public offering on October 15, 2012, the borrowing base was reduced to $90.0 million, subject to the periodic and elective borrowing base redeterminations described above. We expect that our borrowing base will be increased above the $90.0 million borrowing base level as a result of our acquisition of the oil and gas properties included in the Gulfport transaction and those properties owned by Windsor UT. Notwithstanding future redeterminations of the borrowing base, the aggregate maximum credit amount under the revolving credit agreement is $250.0 million. As of September 30, 2012, the Company has classified $10.0 million of the outstanding borrowings under this credit facility as short term based on management’s expectation of the closing of our initial public offering. As of September 30, 2012 and December 31, 2011, the Company had outstanding borrowings of $100.0 million and $85.0 million, respectively. Outstanding borrowings under the credit facility bore a weighted average interest rate of 3.72% and 3.30% as of September 30, 2012 and December 31, 2011,</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respectively. We repaid all outstanding borrowings under our revolving credit facility with a portion of the net proceeds from our initial public offering.</w:t>
      </w:r>
    </w:p>
    <w:p>
      <w:pPr>
        <w:spacing w:after="0" w:line="183"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Our revolving credit agreement contains various affirmative and restrictive covenants. These covenants, among other things, prohibit additional indebtedness, additional liens, sales of assets, mergers and consolidations, dividends and distributions, transactions with affiliates and entering into certain swap agreements and require the maintenance of various financial ratios described below.</w:t>
      </w:r>
    </w:p>
    <w:p>
      <w:pPr>
        <w:spacing w:after="0" w:line="127"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As of July 24, 2012, our revolving credit agreement was amended and restated to include Diamondback Energy LLC and its subsidiaries as additional guarantors to the facility. The covenant prohibiting additional indebtedness was also amended to allow the issuance of unsecured debt of up to $250.0 million and, in connection with any such issuance, the reduction of the borrowing base by 25% of the principal amount of such issuance. A borrowing base reduction in connection with such issuance may require a portion of the outstanding principal of the loan to be repaid. The amendment also provided that redemptions of any unsecured debt will be restricted unless certain liquidity requirements are met. Further, the amendment modified certain financial ratios, the current requirements of which are described below.</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Covenant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8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Ratio of EBITDAX to interest expense, as defined in the credit agreement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Not less than 2.5 to 1.0</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Ratio of total debt to EBITDAX</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Not greater than 4.5 to 1.0</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Ratio of total debt to EBITDAX (after closing date of IPO)</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Not greater than 4.0 to 1.0</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Ratio of debt under revolving credit agreement to EBITDAX</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Not greater than 3.0 to 1.0</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Not less than 1.0 to 1.0</w:t>
            </w:r>
          </w:p>
        </w:tc>
      </w:tr>
    </w:tbl>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revolving credit agreement defines EBITDAX, for any period, as the sum of our consolidated net income for such period plus the following expenses or charges to the extent deducted from our consolidated net income for such period: interest; income taxes; depreciation, depletion, amortization and exploration expenses; extraordinary items and other similar non-cash charges, including expenses related to stock-based compensation and hedging, minus all non-cash income added to our consolidated net income.</w:t>
      </w:r>
    </w:p>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July 31, 2012, the first amendment to the amended and restated credit agreement was executed, which provided for the issuance to Gulfport of the Gulfport transaction note and the payment of the Gulfport transaction note from the proceeds of our initial public offering.</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September 28, 2012, the second amendment to the amended and restated credit agreement was executed, which among other things provided for an increase in permitted subordinated debt in a maximum principal amount not to exceed $45.0 million, including any such indebtedness evidenced by the Company’s subordinated note with an affiliate of Wexford described in more detail under “-Subordinated Note” below, waived compliance with our current ratio covenant for the quarter ending September 30, 2012 and increased the aggregate limitation on lease payments during any period of twelve consecutive months from $250,000 to $550,000.</w:t>
      </w:r>
    </w:p>
    <w:p>
      <w:pPr>
        <w:spacing w:after="0" w:line="188"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As of September 30, 2012 and December 31, 2011, we were in compliance with all financial covenants under the revolving bank credit facility as in effect on the applicable date. The lenders may accelerate all of the indebtedness under the revolving bank credit facility upon the occurrence of any event of default unless the Company cures any such default within any applicable grace period. For payments of principal and interest under the revolving bank credit facility, the Company generally has a three business day grace period, and a 30-day cure period for most covenant defaults, but not for defaults of certain specific covenants, including the financial covenants and negative covenants.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w:t>
      </w:r>
    </w:p>
    <w:p>
      <w:pPr>
        <w:spacing w:after="0" w:line="90"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Effective May 14, 2012, we executed an unsecured subordinated note with an affiliate of Wexford pursuant to which, as amended, the Wexford affiliate could, from time to time, advance up to an aggregate $45.0 million. These advances were solely at Wexford’s discretion and neither Wexford nor any of its affiliates had any commitment or obligation to provide further capital support to us. The note bore interest at a rate equal to LIBOR plus 0.28% or 8% per annum, whichever was lower. Interest was due quarterly in arrears beginning on July 1, 2012. Interest payments were payable in kind by adding such amounts to the principal balance of the note. The unpaid principal balance and all accrued interest on the note was due and payable in full on January 31, 2015 or the earlier completion of our initial public offering. Any indebtedness evidenced by this note was subordinate in the right of payment to any indebtedness outstanding under our revolving credit facility. As of September 30, 2012, there was $30.0 million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aggregate principal amount outstanding under this note. We repaid the outstanding borrowings under this note in full on October 15, 2012, with a portion of the net proceeds from our initial public offering and the note was canceled.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9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We currently anticipate our 2012 capital budget for drilling and infrastructure will be approximately $150.0 million to $160.0 million after giving pro forma effect to the Windsor UT and Gulfport transactions. We intend to allocate these expenditures as follows:</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$126.0 million for the drilling and completion of operated wells;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$11.0 million for our participation in the drilling and completion of non-operated wells;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 million for leasehold interest and property acquisitions;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$12.0 million for the construction of infrastructure to support production, including investments in water disposal infrastructure and gathering line projects.</w:t>
      </w:r>
    </w:p>
    <w:p>
      <w:pPr>
        <w:spacing w:after="0" w:line="17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During the nine months ended September 30, 2012, our actual aggregate capital expenditures for drilling, infrastructure and leasehold acquisitions were $79.8 million.</w:t>
      </w:r>
    </w:p>
    <w:p>
      <w:pPr>
        <w:spacing w:after="0" w:line="116"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However, the amount and timing of these capital expenditures is largely discretionary and within our control. We could choose to defer a portion of these planned 2012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w:t>
      </w:r>
    </w:p>
    <w:p>
      <w:pPr>
        <w:spacing w:after="0" w:line="117"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Based upon current oil and natural gas price expectations for 2012, we believe that our cash flow from operations, proceeds from our initial public offering and borrowings under our revolving credit facility will be sufficient to fund our operations through year-end 2013. However, future cash flows are subject to a number of variables, including the level of oil and natural gas production and prices, and significant additional capital expenditures will be required to more fully develop our properties. We cannot assure you that operations and other capital resources will provide cash in sufficient amounts to maintain planned or future levels of capital expenditures. Further, our capital expenditure budget for 2012 allocates $6.0 million to leasehold interest and property acquisitions. In the event we make additional acquisitions and the amount of capital required is greater than the amount we have available for acquisitions at that time, we could be required to reduce the expected level of capital expenditures and/or seek additional capital. If we require additional capital for that or other reasons, we may seek such capital through traditional reserve base borrowings, joint venture partnerships, production payment financings, asset sales, offerings of debt and equity securities or other means. We cannot assure you that needed capital will be available on acceptable terms or at all. If we are unable to obtain funds when needed or on acceptable terms, we may be required to curtail our current drilling programs, which could result in a loss of acreage through lease expirations. In addition, we may not be able to complete acquisitions that may be favorable to us or finance the capital expenditures necessary to replace our reserves.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final prospectus dated October 11, 2012 and filed with the SEC on October 15, 2012.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33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December 2011, the FASB issued Accounting Standards Update No. 2011-11, which increases disclosures about offsetting assets and liabilities. New disclosures are required to enable users of financial statements to understand significant quantitative differences in balance sheets prepared under GAAP and International Financial Reporting Standards related to the offsetting of financial instruments. The existing GAAP guidance allowing balance sheet offsetting, including industry-specific guidance, remains unchanged. The guidance in ASU No. 2011-11 is effective for annual and interim reporting periods beginning on or after January 1, 2013. The disclosures should be applied retrospectively for all prior periods presented. We do not expect the adoption of this new guidance to have a significant impact on our financial position, results of operations or cash flow.</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306" w:lineRule="exact"/>
        <w:rPr>
          <w:sz w:val="20"/>
          <w:szCs w:val="20"/>
          <w:color w:val="auto"/>
        </w:rPr>
      </w:pPr>
    </w:p>
    <w:p>
      <w:pPr>
        <w:jc w:val="both"/>
        <w:ind w:right="40" w:firstLine="446"/>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349"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use price swap derivatives to reduce price volatility associated with certain of our oil sales. Under these swap contracts, we receive a fixed price per barrel of oil and pay a floating market price per barrel of oil to the counterparty based on New York Mercantile Exchange Light Sweet Crude Oil pricing. The fixed-price payment and the floating-price payment are offset, resulting in a net amount due to or from the counterparty. For the purpose of locking-in the value of a swap, we enter into counter-swaps from time to time.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34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In December 2007, we placed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the remaining swaps settling 324,000 Bbls of crude oil swaps. In October 2011 we placed a swap contract covering 730,000 Bbls of crude oil for the period from January 2012 to December 2013 at a fixed price of $78.50 for 2012 and $80.55 for 2013. Such contracts and any future hedging arrangements may expose us to risk of financial loss in certain circumstances, including instances where production is less than expected or oil prices increase. In addition, these arrangements may limit the benefit to us of increases in the price of oil.</w:t>
      </w:r>
    </w:p>
    <w:p>
      <w:pPr>
        <w:spacing w:after="0" w:line="351" w:lineRule="exact"/>
        <w:rPr>
          <w:sz w:val="20"/>
          <w:szCs w:val="20"/>
          <w:color w:val="auto"/>
        </w:rPr>
      </w:pPr>
    </w:p>
    <w:p>
      <w:pPr>
        <w:jc w:val="both"/>
        <w:ind w:right="460" w:firstLine="446"/>
        <w:spacing w:after="0" w:line="286" w:lineRule="auto"/>
        <w:rPr>
          <w:sz w:val="20"/>
          <w:szCs w:val="20"/>
          <w:color w:val="auto"/>
        </w:rPr>
      </w:pPr>
      <w:r>
        <w:rPr>
          <w:rFonts w:ascii="Arial" w:cs="Arial" w:eastAsia="Arial" w:hAnsi="Arial"/>
          <w:sz w:val="17"/>
          <w:szCs w:val="17"/>
          <w:color w:val="auto"/>
        </w:rPr>
        <w:t>At September 30, 2012, we had a net liability derivative position of $7,741,000 related to our price swap derivatives. Following our IPO, we have continued to monitor commodity prices. As these prices are approaching our current swap contract pricing and taking into account the transaction costs associated with replacing the existing swap contracts, we have determined not to settle our existing swap contracts at this time.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and Customer Credit Risk</w:t>
      </w:r>
    </w:p>
    <w:p>
      <w:pPr>
        <w:spacing w:after="0" w:line="306" w:lineRule="exact"/>
        <w:rPr>
          <w:sz w:val="20"/>
          <w:szCs w:val="20"/>
          <w:color w:val="auto"/>
        </w:rPr>
      </w:pPr>
    </w:p>
    <w:p>
      <w:pPr>
        <w:ind w:right="340" w:firstLine="446"/>
        <w:spacing w:after="0" w:line="308" w:lineRule="auto"/>
        <w:rPr>
          <w:sz w:val="20"/>
          <w:szCs w:val="20"/>
          <w:color w:val="auto"/>
        </w:rPr>
      </w:pPr>
      <w:r>
        <w:rPr>
          <w:rFonts w:ascii="Arial" w:cs="Arial" w:eastAsia="Arial" w:hAnsi="Arial"/>
          <w:sz w:val="17"/>
          <w:szCs w:val="17"/>
          <w:color w:val="auto"/>
        </w:rPr>
        <w:t>Our principal exposures to credit risk are through receivables resulting from joint interest receivables (approximately $12,278,000 at September 30, 2012) and receivables from the sale of our oil and natural gas production (approximately $5,817,000 at September 30, 2012).</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nine months ended September 30, 2012, three purchasers accounted for more than 10% of our revenue: Plains Marketing, L.P. (59%); Occidental Energy Marketing, Inc. (12%); and Andrews Oil Buyers Inc. (12%). For the year ended December 31, 2011, Windsor Midstream LLC, an entity controlled by Wexford, accounted for approximately 78% of our revenue. No other customer accounted for more than 10% of our revenue during these periods.</w:t>
      </w:r>
    </w:p>
    <w:p>
      <w:pPr>
        <w:spacing w:after="0" w:line="13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September 30, 2012, we had two customers that represented approximately 78% of our total joint operations receivables. At December 31, 2011, we had one customer that represented approximately 68% of our total joint operations receivables.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306"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with BNP. The terms of our revolving credit facility with BNP provide for interest on borrowings at a floating rate equal to prime, LIBOR or federal funds rate plus margins ranging from 1.25% to 3.50%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depending on the base rate used and the amount of the loan outstanding in relation to the borrowing base. Borrowings under the credit facility bore interest at a weighted average rate of 3.72% as of September 30, 2012. An increase or decrease of 1% in the interest rate would have a corresponding decrease or increase in our net income (loss) of approximately $1.0 million, based on the $100.0 million outstanding in the aggregate under our revolving credit facility with Wells Fargo as of September 30, 2012, and assuming no interest is capitalized. Pending use of the net proceeds from this offering to fund our exploration and development activities and for general corporate purposes, we repaid the outstanding borrowings under our revolving credit facility.</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our Chief Executive Officer and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Vice President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of September 30, 2012, an evaluation was performed under the supervision and with the participation of management, including our Chief Executive Officer and Vice President and Chief Financial Officer, of the effectiveness of the design and operation of our disclosure controls and procedures pursuant to Rule 13a-15(b) under the Exchange Act. Based upon our evaluation, our Chief Executive Officer and Vice President and Chief Financial Officer have concluded that as of September 30, 2012, our disclosure controls and procedures are effective.</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our third quarter ended September 30, 2012 that have materially affected, or are reasonably likely to materially affect, internal controls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70"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impair our business operations.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For a discussion of our potential risks and uncertainties, see the information in our final prospectus dated October 11, 2012 and filed with the SEC pursuant to Rule 424(b) under the Securities Act on October 15, 2012. There have been no material changes in our risk factors from those described in our prospectus filed pursuant to Rule 424(b) on October 15, 2012.</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right="2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11, 2012, in connection with the merger of Diamondback Energy LLC with and into Diamondback Energy, Inc., we issued 14,697,496 shares of our common stock to DB Energy Holdings LLC. In addition, on October 11, 2012, we issued 7,914,036 shares of our common stock to Gulfport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connection with Gulfport’s contribution to us of all of Gulfport’s oil and natural gas properties located in the Permian Basin.</w:t>
      </w:r>
    </w:p>
    <w:p>
      <w:pPr>
        <w:spacing w:after="0" w:line="239" w:lineRule="exact"/>
        <w:rPr>
          <w:sz w:val="20"/>
          <w:szCs w:val="20"/>
          <w:color w:val="auto"/>
        </w:rPr>
      </w:pPr>
    </w:p>
    <w:p>
      <w:pPr>
        <w:ind w:left="660" w:right="520"/>
        <w:spacing w:after="0" w:line="308" w:lineRule="auto"/>
        <w:rPr>
          <w:sz w:val="20"/>
          <w:szCs w:val="20"/>
          <w:color w:val="auto"/>
        </w:rPr>
      </w:pPr>
      <w:r>
        <w:rPr>
          <w:rFonts w:ascii="Arial" w:cs="Arial" w:eastAsia="Arial" w:hAnsi="Arial"/>
          <w:sz w:val="17"/>
          <w:szCs w:val="17"/>
          <w:color w:val="auto"/>
        </w:rPr>
        <w:t>The shares of our common stock described in this Item 2 were issued in reliance upon the exemption from the registration requirements of the Securities Act provided by Section 4(2) of the Securities Act as sales by an issuer not involving any public offering.</w:t>
      </w:r>
    </w:p>
    <w:p>
      <w:pPr>
        <w:spacing w:after="0" w:line="147" w:lineRule="exact"/>
        <w:rPr>
          <w:sz w:val="20"/>
          <w:szCs w:val="20"/>
          <w:color w:val="auto"/>
        </w:rPr>
      </w:pPr>
    </w:p>
    <w:p>
      <w:pPr>
        <w:ind w:left="660" w:hanging="652"/>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11, 2012, our registration statement on Form S-1 (File No. 333-179502) was declared effective for our initial public offering, and on October 17, 2012, we consummated our initial public offering consisting of 12,500,000 shares of our common stock issued and sold by us at a public offering price of $17.50 per share. On October 23, 2012, we settled the underwriters’ exercise of their over-allotment option for an additional 1,875,000 shares issued and sold by us at a public offering price of $17.50 per share. Credit Suisse Securities (USA) LLC acted as the representative of the underwriters in the offering. Following the sale of the shares in connection with the closing of our initial public offering, the offering terminated. As a result of the offering, including the underwriters’ over-allotment option, we received total net proceeds of approximately $235.3 million, after deducting underwriting discounts and commissions of approximately $14.4 million and total estimated offering expenses of approximately $1.9 million. No payments for such expenses were made directly or indirectly to (i) any of our officers or directors or their associates, (ii) any persons owning 10% or more of any class of our equity securities or (iii) any of our affiliates. Of the net proceeds from our initial public offering, we used:</w:t>
      </w:r>
    </w:p>
    <w:p>
      <w:pPr>
        <w:spacing w:after="0" w:line="19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 million to repay the outstanding borrowings under our revolving credit facility;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$63.6 million to repay the Gulfport transaction note;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$30.0 million to repay the outstanding borrowings under our subordinated note with an affiliate of Wexford.</w:t>
      </w:r>
    </w:p>
    <w:p>
      <w:pPr>
        <w:spacing w:after="0" w:line="22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We intend to use the balance of the proceeds from our initial public offering to fund a portion of our exploration and development activities and for general corporate purposes, which may include leasehold interest and property acquisitions, working capital and the post-closing cash adjustment payable to Gulfport under the terms of the Gulfport transaction.</w:t>
      </w:r>
    </w:p>
    <w:p>
      <w:pPr>
        <w:spacing w:after="0" w:line="181" w:lineRule="exact"/>
        <w:rPr>
          <w:sz w:val="20"/>
          <w:szCs w:val="20"/>
          <w:color w:val="auto"/>
        </w:rPr>
      </w:pPr>
    </w:p>
    <w:p>
      <w:pPr>
        <w:ind w:left="660" w:right="4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share repurchase program, and during the three months ended September 30, 2012, we did not purchase any shares of our common stock.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280" w:firstLine="656"/>
        <w:spacing w:after="0" w:line="279" w:lineRule="auto"/>
        <w:tabs>
          <w:tab w:leader="none" w:pos="10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November 14, 2012, Paul Jacobi resigned as a director of our Company, effective immediately. On November 14, 2012, our board of directors, upon the recommendation of its nominating and corporate governance committee, appointed Travis D. Stice, our Chief Executive Officer, as a director of our Company to fill the vacancy on the board of directors created by Mr. Jacobi’s resignation. Mr. Stice will assume and perform his duties and responsibilities as a director, in addition to his duties as our Chief Executive Officer, effective immediately.</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Mr. Stice, 50, has served as our Chief Executive Officer since January 2012. Prior to his current position with us, he served as our President and Chief Operating Officer from April 2011 to January 2012. Mr. Stice has also served on the board of managers of MidMar Gas LLC, or MidMar, an entity that owns a gas gathering system and processing plant, since 2011 and as Vice President and Secretary of MidMar since April 2012. From November 2010 to April 2011, Mr. Stice served as a Production Manager of Apache Corporation, an oil and gas exploration company. Mr. Stice served as a Vice President of Laredo Petroleum Holdings, Inc, an oil and gas exploration company, from September 2008 to September 2010. From April 2006 until August 2008, Mr. Stice served as a Development Manager of ConocoPhillips/Burlington Resources Mid-Continent Business Unit, an oil and gas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t>exploration company.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26 years of industry experience in production operations, reservoir engineering, production engineering and unconventional oil and gas exploration and over 18 years of management experience. Mr. Stice graduated from Texas A&amp;M University with a Bachelor of Science degree in Petroleum Engineering. Mr. Stice is a registered engineer in the State of Texas, and is a 25-year member of the Society of Petroleum Engineers.</w:t>
      </w:r>
    </w:p>
    <w:p>
      <w:pPr>
        <w:spacing w:after="0" w:line="234" w:lineRule="exact"/>
        <w:rPr>
          <w:sz w:val="20"/>
          <w:szCs w:val="20"/>
          <w:color w:val="auto"/>
        </w:rPr>
      </w:pPr>
    </w:p>
    <w:p>
      <w:pPr>
        <w:ind w:firstLine="648"/>
        <w:spacing w:after="0" w:line="336" w:lineRule="auto"/>
        <w:rPr>
          <w:sz w:val="20"/>
          <w:szCs w:val="20"/>
          <w:color w:val="auto"/>
        </w:rPr>
      </w:pPr>
      <w:r>
        <w:rPr>
          <w:rFonts w:ascii="Arial" w:cs="Arial" w:eastAsia="Arial" w:hAnsi="Arial"/>
          <w:sz w:val="17"/>
          <w:szCs w:val="17"/>
          <w:color w:val="auto"/>
        </w:rPr>
        <w:t>As a Chief Executive Officer of our Company, Mr. Stice is a party to an employment agreement with us, the terms of which are described in our final prospectus dated October 11, 2012, filed with the SEC pursuant to Rule 424(b) under the Securities Act on October 15, 2012, which description is incorporated herein by reference. Mr. Stice will not receive any additional compensation from us for his services as a director.</w:t>
      </w:r>
    </w:p>
    <w:p>
      <w:pPr>
        <w:spacing w:after="0" w:line="13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indicated above, Mr. Stice has served as a manager on MidMar’s board of managers since April 2011 and as Vice President and Secretary of MidMar since April 2012. A description of our relationships and related party transactions with MidMar is set forth in our Rule 424(b) prospectus filed with the SEC on October 15, 2012, which description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7"/>
        </w:trPr>
        <w:tc>
          <w:tcPr>
            <w:tcW w:w="2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040" w:type="dxa"/>
            <w:vAlign w:val="bottom"/>
          </w:tcPr>
          <w:p>
            <w:pPr>
              <w:ind w:left="160"/>
              <w:spacing w:after="0"/>
              <w:rPr>
                <w:sz w:val="20"/>
                <w:szCs w:val="20"/>
                <w:color w:val="auto"/>
              </w:rPr>
            </w:pPr>
            <w:r>
              <w:rPr>
                <w:rFonts w:ascii="Arial" w:cs="Arial" w:eastAsia="Arial" w:hAnsi="Arial"/>
                <w:sz w:val="18"/>
                <w:szCs w:val="18"/>
                <w:color w:val="auto"/>
              </w:rPr>
              <w:t>1.1</w:t>
            </w:r>
          </w:p>
        </w:tc>
        <w:tc>
          <w:tcPr>
            <w:tcW w:w="9340" w:type="dxa"/>
            <w:vAlign w:val="bottom"/>
          </w:tcPr>
          <w:p>
            <w:pPr>
              <w:ind w:left="20"/>
              <w:spacing w:after="0"/>
              <w:rPr>
                <w:sz w:val="20"/>
                <w:szCs w:val="20"/>
                <w:color w:val="auto"/>
              </w:rPr>
            </w:pPr>
            <w:r>
              <w:rPr>
                <w:rFonts w:ascii="Arial" w:cs="Arial" w:eastAsia="Arial" w:hAnsi="Arial"/>
                <w:sz w:val="18"/>
                <w:szCs w:val="18"/>
                <w:color w:val="auto"/>
                <w:w w:val="95"/>
              </w:rPr>
              <w:t>Underwriting Agreement, dated October 11, 2012, by and between Diamondback Energy, Inc. and Credit Suisse Securities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(USA) LLC, as representative of the several underwriters (incorporated by reference to Exhibit 1.1 to the Form 8-K, File No.</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001-35700, filed by the Company with the SEC on October 17, 2012).</w:t>
            </w:r>
          </w:p>
        </w:tc>
        <w:tc>
          <w:tcPr>
            <w:tcW w:w="0" w:type="dxa"/>
            <w:vAlign w:val="bottom"/>
          </w:tcPr>
          <w:p>
            <w:pPr>
              <w:spacing w:after="0"/>
              <w:rPr>
                <w:sz w:val="1"/>
                <w:szCs w:val="1"/>
                <w:color w:val="auto"/>
              </w:rPr>
            </w:pPr>
          </w:p>
        </w:tc>
      </w:tr>
      <w:tr>
        <w:trPr>
          <w:trHeight w:val="338"/>
        </w:trPr>
        <w:tc>
          <w:tcPr>
            <w:tcW w:w="2040" w:type="dxa"/>
            <w:vAlign w:val="bottom"/>
          </w:tcPr>
          <w:p>
            <w:pPr>
              <w:ind w:left="160"/>
              <w:spacing w:after="0"/>
              <w:rPr>
                <w:sz w:val="20"/>
                <w:szCs w:val="20"/>
                <w:color w:val="auto"/>
              </w:rPr>
            </w:pPr>
            <w:r>
              <w:rPr>
                <w:rFonts w:ascii="Arial" w:cs="Arial" w:eastAsia="Arial" w:hAnsi="Arial"/>
                <w:sz w:val="18"/>
                <w:szCs w:val="18"/>
                <w:color w:val="auto"/>
              </w:rPr>
              <w:t>3.1*</w:t>
            </w:r>
          </w:p>
        </w:tc>
        <w:tc>
          <w:tcPr>
            <w:tcW w:w="93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the Company.</w:t>
            </w:r>
          </w:p>
        </w:tc>
        <w:tc>
          <w:tcPr>
            <w:tcW w:w="0" w:type="dxa"/>
            <w:vAlign w:val="bottom"/>
          </w:tcPr>
          <w:p>
            <w:pPr>
              <w:spacing w:after="0"/>
              <w:rPr>
                <w:sz w:val="1"/>
                <w:szCs w:val="1"/>
                <w:color w:val="auto"/>
              </w:rPr>
            </w:pPr>
          </w:p>
        </w:tc>
      </w:tr>
      <w:tr>
        <w:trPr>
          <w:trHeight w:val="392"/>
        </w:trPr>
        <w:tc>
          <w:tcPr>
            <w:tcW w:w="2040" w:type="dxa"/>
            <w:vAlign w:val="bottom"/>
          </w:tcPr>
          <w:p>
            <w:pPr>
              <w:ind w:left="160"/>
              <w:spacing w:after="0"/>
              <w:rPr>
                <w:sz w:val="20"/>
                <w:szCs w:val="20"/>
                <w:color w:val="auto"/>
              </w:rPr>
            </w:pPr>
            <w:r>
              <w:rPr>
                <w:rFonts w:ascii="Arial" w:cs="Arial" w:eastAsia="Arial" w:hAnsi="Arial"/>
                <w:sz w:val="18"/>
                <w:szCs w:val="18"/>
                <w:color w:val="auto"/>
              </w:rPr>
              <w:t>3.2*</w:t>
            </w:r>
          </w:p>
        </w:tc>
        <w:tc>
          <w:tcPr>
            <w:tcW w:w="9340" w:type="dxa"/>
            <w:vAlign w:val="bottom"/>
          </w:tcPr>
          <w:p>
            <w:pPr>
              <w:ind w:left="20"/>
              <w:spacing w:after="0"/>
              <w:rPr>
                <w:sz w:val="20"/>
                <w:szCs w:val="20"/>
                <w:color w:val="auto"/>
              </w:rPr>
            </w:pPr>
            <w:r>
              <w:rPr>
                <w:rFonts w:ascii="Arial" w:cs="Arial" w:eastAsia="Arial" w:hAnsi="Arial"/>
                <w:sz w:val="18"/>
                <w:szCs w:val="18"/>
                <w:color w:val="auto"/>
              </w:rPr>
              <w:t>Amended and Restated Bylaws of the Company.</w:t>
            </w:r>
          </w:p>
        </w:tc>
        <w:tc>
          <w:tcPr>
            <w:tcW w:w="0" w:type="dxa"/>
            <w:vAlign w:val="bottom"/>
          </w:tcPr>
          <w:p>
            <w:pPr>
              <w:spacing w:after="0"/>
              <w:rPr>
                <w:sz w:val="1"/>
                <w:szCs w:val="1"/>
                <w:color w:val="auto"/>
              </w:rPr>
            </w:pPr>
          </w:p>
        </w:tc>
      </w:tr>
      <w:tr>
        <w:trPr>
          <w:trHeight w:val="377"/>
        </w:trPr>
        <w:tc>
          <w:tcPr>
            <w:tcW w:w="2040" w:type="dxa"/>
            <w:vAlign w:val="bottom"/>
          </w:tcPr>
          <w:p>
            <w:pPr>
              <w:ind w:left="160"/>
              <w:spacing w:after="0"/>
              <w:rPr>
                <w:sz w:val="20"/>
                <w:szCs w:val="20"/>
                <w:color w:val="auto"/>
              </w:rPr>
            </w:pPr>
            <w:r>
              <w:rPr>
                <w:rFonts w:ascii="Arial" w:cs="Arial" w:eastAsia="Arial" w:hAnsi="Arial"/>
                <w:sz w:val="18"/>
                <w:szCs w:val="18"/>
                <w:color w:val="auto"/>
              </w:rPr>
              <w:t>4.1</w:t>
            </w:r>
          </w:p>
        </w:tc>
        <w:tc>
          <w:tcPr>
            <w:tcW w:w="9340" w:type="dxa"/>
            <w:vAlign w:val="bottom"/>
          </w:tcPr>
          <w:p>
            <w:pPr>
              <w:ind w:left="20"/>
              <w:spacing w:after="0"/>
              <w:rPr>
                <w:sz w:val="20"/>
                <w:szCs w:val="20"/>
                <w:color w:val="auto"/>
              </w:rPr>
            </w:pPr>
            <w:r>
              <w:rPr>
                <w:rFonts w:ascii="Arial" w:cs="Arial" w:eastAsia="Arial" w:hAnsi="Arial"/>
                <w:sz w:val="18"/>
                <w:szCs w:val="18"/>
                <w:color w:val="auto"/>
                <w:w w:val="95"/>
              </w:rPr>
              <w:t>Specimen certificate for shares of common stock, par value $0.01 per share, of the Company (incorporated by reference to</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Exhibit 4.1 to Amendment No. 4 to the Registration Statement on Form S-1, File No. 333-179502, filed by the Company with</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the SEC on August 20, 2012).</w:t>
            </w:r>
          </w:p>
        </w:tc>
        <w:tc>
          <w:tcPr>
            <w:tcW w:w="0" w:type="dxa"/>
            <w:vAlign w:val="bottom"/>
          </w:tcPr>
          <w:p>
            <w:pPr>
              <w:spacing w:after="0"/>
              <w:rPr>
                <w:sz w:val="1"/>
                <w:szCs w:val="1"/>
                <w:color w:val="auto"/>
              </w:rPr>
            </w:pPr>
          </w:p>
        </w:tc>
      </w:tr>
      <w:tr>
        <w:trPr>
          <w:trHeight w:val="392"/>
        </w:trPr>
        <w:tc>
          <w:tcPr>
            <w:tcW w:w="2040" w:type="dxa"/>
            <w:vAlign w:val="bottom"/>
          </w:tcPr>
          <w:p>
            <w:pPr>
              <w:ind w:left="160"/>
              <w:spacing w:after="0"/>
              <w:rPr>
                <w:sz w:val="20"/>
                <w:szCs w:val="20"/>
                <w:color w:val="auto"/>
              </w:rPr>
            </w:pPr>
            <w:r>
              <w:rPr>
                <w:rFonts w:ascii="Arial" w:cs="Arial" w:eastAsia="Arial" w:hAnsi="Arial"/>
                <w:sz w:val="18"/>
                <w:szCs w:val="18"/>
                <w:color w:val="auto"/>
              </w:rPr>
              <w:t>4.2*</w:t>
            </w:r>
          </w:p>
        </w:tc>
        <w:tc>
          <w:tcPr>
            <w:tcW w:w="9340" w:type="dxa"/>
            <w:vAlign w:val="bottom"/>
          </w:tcPr>
          <w:p>
            <w:pPr>
              <w:ind w:left="20"/>
              <w:spacing w:after="0"/>
              <w:rPr>
                <w:sz w:val="20"/>
                <w:szCs w:val="20"/>
                <w:color w:val="auto"/>
              </w:rPr>
            </w:pPr>
            <w:r>
              <w:rPr>
                <w:rFonts w:ascii="Arial" w:cs="Arial" w:eastAsia="Arial" w:hAnsi="Arial"/>
                <w:sz w:val="18"/>
                <w:szCs w:val="18"/>
                <w:color w:val="auto"/>
                <w:w w:val="94"/>
              </w:rPr>
              <w:t>Registration Rights Agreement, dated as of October 11, 2012, by and between the Company and DB Energy Holdings LLC.</w:t>
            </w:r>
          </w:p>
        </w:tc>
        <w:tc>
          <w:tcPr>
            <w:tcW w:w="0" w:type="dxa"/>
            <w:vAlign w:val="bottom"/>
          </w:tcPr>
          <w:p>
            <w:pPr>
              <w:spacing w:after="0"/>
              <w:rPr>
                <w:sz w:val="1"/>
                <w:szCs w:val="1"/>
                <w:color w:val="auto"/>
              </w:rPr>
            </w:pPr>
          </w:p>
        </w:tc>
      </w:tr>
      <w:tr>
        <w:trPr>
          <w:trHeight w:val="392"/>
        </w:trPr>
        <w:tc>
          <w:tcPr>
            <w:tcW w:w="2040" w:type="dxa"/>
            <w:vAlign w:val="bottom"/>
          </w:tcPr>
          <w:p>
            <w:pPr>
              <w:ind w:left="160"/>
              <w:spacing w:after="0"/>
              <w:rPr>
                <w:sz w:val="20"/>
                <w:szCs w:val="20"/>
                <w:color w:val="auto"/>
              </w:rPr>
            </w:pPr>
            <w:r>
              <w:rPr>
                <w:rFonts w:ascii="Arial" w:cs="Arial" w:eastAsia="Arial" w:hAnsi="Arial"/>
                <w:sz w:val="18"/>
                <w:szCs w:val="18"/>
                <w:color w:val="auto"/>
              </w:rPr>
              <w:t>4.3*</w:t>
            </w:r>
          </w:p>
        </w:tc>
        <w:tc>
          <w:tcPr>
            <w:tcW w:w="9340" w:type="dxa"/>
            <w:vAlign w:val="bottom"/>
          </w:tcPr>
          <w:p>
            <w:pPr>
              <w:ind w:left="20"/>
              <w:spacing w:after="0"/>
              <w:rPr>
                <w:sz w:val="20"/>
                <w:szCs w:val="20"/>
                <w:color w:val="auto"/>
              </w:rPr>
            </w:pPr>
            <w:r>
              <w:rPr>
                <w:rFonts w:ascii="Arial" w:cs="Arial" w:eastAsia="Arial" w:hAnsi="Arial"/>
                <w:sz w:val="18"/>
                <w:szCs w:val="18"/>
                <w:color w:val="auto"/>
                <w:w w:val="95"/>
              </w:rPr>
              <w:t>Investor Rights Agreement, dated as of October 11, 2012, by and between the Company and Gulfport Energy Corporation.</w:t>
            </w:r>
          </w:p>
        </w:tc>
        <w:tc>
          <w:tcPr>
            <w:tcW w:w="0" w:type="dxa"/>
            <w:vAlign w:val="bottom"/>
          </w:tcPr>
          <w:p>
            <w:pPr>
              <w:spacing w:after="0"/>
              <w:rPr>
                <w:sz w:val="1"/>
                <w:szCs w:val="1"/>
                <w:color w:val="auto"/>
              </w:rPr>
            </w:pPr>
          </w:p>
        </w:tc>
      </w:tr>
      <w:tr>
        <w:trPr>
          <w:trHeight w:val="338"/>
        </w:trPr>
        <w:tc>
          <w:tcPr>
            <w:tcW w:w="2040" w:type="dxa"/>
            <w:vAlign w:val="bottom"/>
          </w:tcPr>
          <w:p>
            <w:pPr>
              <w:ind w:left="160"/>
              <w:spacing w:after="0"/>
              <w:rPr>
                <w:sz w:val="20"/>
                <w:szCs w:val="20"/>
                <w:color w:val="auto"/>
              </w:rPr>
            </w:pPr>
            <w:r>
              <w:rPr>
                <w:rFonts w:ascii="Arial" w:cs="Arial" w:eastAsia="Arial" w:hAnsi="Arial"/>
                <w:sz w:val="18"/>
                <w:szCs w:val="18"/>
                <w:color w:val="auto"/>
              </w:rPr>
              <w:t>10.1*</w:t>
            </w:r>
          </w:p>
        </w:tc>
        <w:tc>
          <w:tcPr>
            <w:tcW w:w="93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323"/>
        </w:trPr>
        <w:tc>
          <w:tcPr>
            <w:tcW w:w="2040" w:type="dxa"/>
            <w:vAlign w:val="bottom"/>
          </w:tcPr>
          <w:p>
            <w:pPr>
              <w:ind w:left="160"/>
              <w:spacing w:after="0"/>
              <w:rPr>
                <w:sz w:val="20"/>
                <w:szCs w:val="20"/>
                <w:color w:val="auto"/>
              </w:rPr>
            </w:pPr>
            <w:r>
              <w:rPr>
                <w:rFonts w:ascii="Arial" w:cs="Arial" w:eastAsia="Arial" w:hAnsi="Arial"/>
                <w:sz w:val="18"/>
                <w:szCs w:val="18"/>
                <w:color w:val="auto"/>
              </w:rPr>
              <w:t>10.2</w:t>
            </w:r>
          </w:p>
        </w:tc>
        <w:tc>
          <w:tcPr>
            <w:tcW w:w="9340" w:type="dxa"/>
            <w:vAlign w:val="bottom"/>
          </w:tcPr>
          <w:p>
            <w:pPr>
              <w:ind w:left="20"/>
              <w:spacing w:after="0"/>
              <w:rPr>
                <w:sz w:val="20"/>
                <w:szCs w:val="20"/>
                <w:color w:val="auto"/>
              </w:rPr>
            </w:pPr>
            <w:r>
              <w:rPr>
                <w:rFonts w:ascii="Arial" w:cs="Arial" w:eastAsia="Arial" w:hAnsi="Arial"/>
                <w:sz w:val="18"/>
                <w:szCs w:val="18"/>
                <w:color w:val="auto"/>
              </w:rPr>
              <w:t>Form of Stock Option Agreement (incorporated by reference to Exhibit 10.13 to Amendment No. 4 to the Registration</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c>
          <w:tcPr>
            <w:tcW w:w="0" w:type="dxa"/>
            <w:vAlign w:val="bottom"/>
          </w:tcPr>
          <w:p>
            <w:pPr>
              <w:spacing w:after="0"/>
              <w:rPr>
                <w:sz w:val="1"/>
                <w:szCs w:val="1"/>
                <w:color w:val="auto"/>
              </w:rPr>
            </w:pPr>
          </w:p>
        </w:tc>
      </w:tr>
      <w:tr>
        <w:trPr>
          <w:trHeight w:val="323"/>
        </w:trPr>
        <w:tc>
          <w:tcPr>
            <w:tcW w:w="2040" w:type="dxa"/>
            <w:vAlign w:val="bottom"/>
          </w:tcPr>
          <w:p>
            <w:pPr>
              <w:ind w:left="160"/>
              <w:spacing w:after="0"/>
              <w:rPr>
                <w:sz w:val="20"/>
                <w:szCs w:val="20"/>
                <w:color w:val="auto"/>
              </w:rPr>
            </w:pPr>
            <w:r>
              <w:rPr>
                <w:rFonts w:ascii="Arial" w:cs="Arial" w:eastAsia="Arial" w:hAnsi="Arial"/>
                <w:sz w:val="18"/>
                <w:szCs w:val="18"/>
                <w:color w:val="auto"/>
              </w:rPr>
              <w:t>10.3</w:t>
            </w:r>
          </w:p>
        </w:tc>
        <w:tc>
          <w:tcPr>
            <w:tcW w:w="9340" w:type="dxa"/>
            <w:vAlign w:val="bottom"/>
          </w:tcPr>
          <w:p>
            <w:pPr>
              <w:ind w:left="20"/>
              <w:spacing w:after="0"/>
              <w:rPr>
                <w:sz w:val="20"/>
                <w:szCs w:val="20"/>
                <w:color w:val="auto"/>
              </w:rPr>
            </w:pPr>
            <w:r>
              <w:rPr>
                <w:rFonts w:ascii="Arial" w:cs="Arial" w:eastAsia="Arial" w:hAnsi="Arial"/>
                <w:sz w:val="18"/>
                <w:szCs w:val="18"/>
                <w:color w:val="auto"/>
                <w:w w:val="93"/>
              </w:rPr>
              <w:t>Form or Restricted Stock Unit Agreement (incorporated by reference to Exhibit 10.14 to Amendment No. 4 to the Registration</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10.4*</w:t>
            </w:r>
          </w:p>
        </w:tc>
        <w:tc>
          <w:tcPr>
            <w:tcW w:w="9340" w:type="dxa"/>
            <w:vAlign w:val="bottom"/>
          </w:tcPr>
          <w:p>
            <w:pPr>
              <w:ind w:left="20"/>
              <w:spacing w:after="0"/>
              <w:rPr>
                <w:sz w:val="20"/>
                <w:szCs w:val="20"/>
                <w:color w:val="auto"/>
              </w:rPr>
            </w:pPr>
            <w:r>
              <w:rPr>
                <w:rFonts w:ascii="Arial" w:cs="Arial" w:eastAsia="Arial" w:hAnsi="Arial"/>
                <w:sz w:val="18"/>
                <w:szCs w:val="18"/>
                <w:color w:val="auto"/>
                <w:w w:val="92"/>
              </w:rPr>
              <w:t>Advisory Services Agreement, dated as of October 11, 2012, by and between Diamondback Energy, Inc. and Wexford Capital</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70"/>
        </w:trPr>
        <w:tc>
          <w:tcPr>
            <w:tcW w:w="2040" w:type="dxa"/>
            <w:vAlign w:val="bottom"/>
          </w:tcPr>
          <w:p>
            <w:pPr>
              <w:ind w:left="160"/>
              <w:spacing w:after="0"/>
              <w:rPr>
                <w:sz w:val="20"/>
                <w:szCs w:val="20"/>
                <w:color w:val="auto"/>
              </w:rPr>
            </w:pPr>
            <w:r>
              <w:rPr>
                <w:rFonts w:ascii="Arial" w:cs="Arial" w:eastAsia="Arial" w:hAnsi="Arial"/>
                <w:sz w:val="18"/>
                <w:szCs w:val="18"/>
                <w:color w:val="auto"/>
              </w:rPr>
              <w:t>10.5*</w:t>
            </w:r>
          </w:p>
        </w:tc>
        <w:tc>
          <w:tcPr>
            <w:tcW w:w="9340" w:type="dxa"/>
            <w:vAlign w:val="bottom"/>
          </w:tcPr>
          <w:p>
            <w:pPr>
              <w:ind w:left="20"/>
              <w:spacing w:after="0"/>
              <w:rPr>
                <w:sz w:val="20"/>
                <w:szCs w:val="20"/>
                <w:color w:val="auto"/>
              </w:rPr>
            </w:pPr>
            <w:r>
              <w:rPr>
                <w:rFonts w:ascii="Arial" w:cs="Arial" w:eastAsia="Arial" w:hAnsi="Arial"/>
                <w:sz w:val="18"/>
                <w:szCs w:val="18"/>
                <w:color w:val="auto"/>
              </w:rPr>
              <w:t>Merger Agreement, dated as of October 11, 2012, by and between the Company and Diamondback Energy LLC.</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10.6</w:t>
            </w:r>
          </w:p>
        </w:tc>
        <w:tc>
          <w:tcPr>
            <w:tcW w:w="9340" w:type="dxa"/>
            <w:vAlign w:val="bottom"/>
          </w:tcPr>
          <w:p>
            <w:pPr>
              <w:ind w:left="20"/>
              <w:spacing w:after="0"/>
              <w:rPr>
                <w:sz w:val="20"/>
                <w:szCs w:val="20"/>
                <w:color w:val="auto"/>
              </w:rPr>
            </w:pPr>
            <w:r>
              <w:rPr>
                <w:rFonts w:ascii="Arial" w:cs="Arial" w:eastAsia="Arial" w:hAnsi="Arial"/>
                <w:sz w:val="18"/>
                <w:szCs w:val="18"/>
                <w:color w:val="auto"/>
                <w:w w:val="96"/>
              </w:rPr>
              <w:t>Amended and Restated Employment Agreement, dated as of August 20, 2012, by and between Travis Stice and Windsor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Permian LLC (incorporated by reference to Exhibit 10.29 to Amendment No. 5 to the Registration Statement on Form S-1, File</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No. 333-179502, filed by the Company with the SEC on October 2, 2012).</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10.7</w:t>
            </w:r>
          </w:p>
        </w:tc>
        <w:tc>
          <w:tcPr>
            <w:tcW w:w="9340" w:type="dxa"/>
            <w:vAlign w:val="bottom"/>
          </w:tcPr>
          <w:p>
            <w:pPr>
              <w:ind w:left="20"/>
              <w:spacing w:after="0"/>
              <w:rPr>
                <w:sz w:val="20"/>
                <w:szCs w:val="20"/>
                <w:color w:val="auto"/>
              </w:rPr>
            </w:pPr>
            <w:r>
              <w:rPr>
                <w:rFonts w:ascii="Arial" w:cs="Arial" w:eastAsia="Arial" w:hAnsi="Arial"/>
                <w:sz w:val="18"/>
                <w:szCs w:val="18"/>
                <w:color w:val="auto"/>
                <w:w w:val="89"/>
              </w:rPr>
              <w:t>Amended and Restated Employment Agreement, dated as of January 1, 2012, by and between Teresa Dick and Windsor Permian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LLC (incorporated by reference to Exhibit 10.30 to Amendment No. 3 to the Registration Statement on Form S-1, File No. 333-</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179502, filed by the Company with the SEC on July 5, 2012).</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10.8</w:t>
            </w:r>
          </w:p>
        </w:tc>
        <w:tc>
          <w:tcPr>
            <w:tcW w:w="9340" w:type="dxa"/>
            <w:vAlign w:val="bottom"/>
          </w:tcPr>
          <w:p>
            <w:pPr>
              <w:ind w:left="20"/>
              <w:spacing w:after="0"/>
              <w:rPr>
                <w:sz w:val="20"/>
                <w:szCs w:val="20"/>
                <w:color w:val="auto"/>
              </w:rPr>
            </w:pPr>
            <w:r>
              <w:rPr>
                <w:rFonts w:ascii="Arial" w:cs="Arial" w:eastAsia="Arial" w:hAnsi="Arial"/>
                <w:sz w:val="18"/>
                <w:szCs w:val="18"/>
                <w:color w:val="auto"/>
                <w:w w:val="91"/>
              </w:rPr>
              <w:t>Amended and Restated Employment Agreement, dated as of January 1, 2012, by and between Jeff White and Windsor Permian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LLC (incorporated by reference to Exhibit 10.31 to Amendment No. 4 to the Registration Statement on Form S-1, File No. 333-</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179502, filed by the Company with the SEC on August 20, 2012).</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10.9</w:t>
            </w:r>
          </w:p>
        </w:tc>
        <w:tc>
          <w:tcPr>
            <w:tcW w:w="9340" w:type="dxa"/>
            <w:vAlign w:val="bottom"/>
          </w:tcPr>
          <w:p>
            <w:pPr>
              <w:ind w:left="20"/>
              <w:spacing w:after="0"/>
              <w:rPr>
                <w:sz w:val="20"/>
                <w:szCs w:val="20"/>
                <w:color w:val="auto"/>
              </w:rPr>
            </w:pPr>
            <w:r>
              <w:rPr>
                <w:rFonts w:ascii="Arial" w:cs="Arial" w:eastAsia="Arial" w:hAnsi="Arial"/>
                <w:sz w:val="18"/>
                <w:szCs w:val="18"/>
                <w:color w:val="auto"/>
                <w:w w:val="92"/>
              </w:rPr>
              <w:t>Amended and Restated Credit Agreement, dated July 24, 2012, by and among Diamondback Energy LLC, as borrower, Wells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Fargo Bank, N.A., as administrative agent, and the lenders party thereto (incorporated by reference to Exhibit 10.33 to</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August 20, 2012).</w:t>
            </w:r>
          </w:p>
        </w:tc>
        <w:tc>
          <w:tcPr>
            <w:tcW w:w="0" w:type="dxa"/>
            <w:vAlign w:val="bottom"/>
          </w:tcPr>
          <w:p>
            <w:pPr>
              <w:spacing w:after="0"/>
              <w:rPr>
                <w:sz w:val="1"/>
                <w:szCs w:val="1"/>
                <w:color w:val="auto"/>
              </w:rPr>
            </w:pPr>
          </w:p>
        </w:tc>
      </w:tr>
      <w:tr>
        <w:trPr>
          <w:trHeight w:val="472"/>
        </w:trPr>
        <w:tc>
          <w:tcPr>
            <w:tcW w:w="2040" w:type="dxa"/>
            <w:vAlign w:val="bottom"/>
          </w:tcPr>
          <w:p>
            <w:pPr>
              <w:ind w:left="160"/>
              <w:spacing w:after="0"/>
              <w:rPr>
                <w:sz w:val="20"/>
                <w:szCs w:val="20"/>
                <w:color w:val="auto"/>
              </w:rPr>
            </w:pPr>
            <w:r>
              <w:rPr>
                <w:rFonts w:ascii="Arial" w:cs="Arial" w:eastAsia="Arial" w:hAnsi="Arial"/>
                <w:sz w:val="18"/>
                <w:szCs w:val="18"/>
                <w:color w:val="auto"/>
              </w:rPr>
              <w:t>10.10</w:t>
            </w:r>
          </w:p>
        </w:tc>
        <w:tc>
          <w:tcPr>
            <w:tcW w:w="9340" w:type="dxa"/>
            <w:vAlign w:val="bottom"/>
          </w:tcPr>
          <w:p>
            <w:pPr>
              <w:ind w:left="20"/>
              <w:spacing w:after="0"/>
              <w:rPr>
                <w:sz w:val="20"/>
                <w:szCs w:val="20"/>
                <w:color w:val="auto"/>
              </w:rPr>
            </w:pPr>
            <w:r>
              <w:rPr>
                <w:rFonts w:ascii="Arial" w:cs="Arial" w:eastAsia="Arial" w:hAnsi="Arial"/>
                <w:sz w:val="18"/>
                <w:szCs w:val="18"/>
                <w:color w:val="auto"/>
                <w:w w:val="96"/>
              </w:rPr>
              <w:t>First Amendment to Credit Agreement, dated July 31, 2012, by and among Diamondback Energy LLC, as borrower, Wells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Fargo Bank, N.A., as administrative agent, and the lenders party thereto (incorporated by reference to Exhibit 10.34 to</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August 20, 2012).</w:t>
            </w:r>
          </w:p>
        </w:tc>
        <w:tc>
          <w:tcPr>
            <w:tcW w:w="0" w:type="dxa"/>
            <w:vAlign w:val="bottom"/>
          </w:tcPr>
          <w:p>
            <w:pPr>
              <w:spacing w:after="0"/>
              <w:rPr>
                <w:sz w:val="1"/>
                <w:szCs w:val="1"/>
                <w:color w:val="auto"/>
              </w:rPr>
            </w:pPr>
          </w:p>
        </w:tc>
      </w:tr>
      <w:tr>
        <w:trPr>
          <w:trHeight w:val="256"/>
        </w:trPr>
        <w:tc>
          <w:tcPr>
            <w:tcW w:w="2040" w:type="dxa"/>
            <w:vAlign w:val="bottom"/>
          </w:tcPr>
          <w:p>
            <w:pPr>
              <w:ind w:left="160"/>
              <w:spacing w:after="0"/>
              <w:rPr>
                <w:sz w:val="20"/>
                <w:szCs w:val="20"/>
                <w:color w:val="auto"/>
              </w:rPr>
            </w:pPr>
            <w:r>
              <w:rPr>
                <w:rFonts w:ascii="Arial" w:cs="Arial" w:eastAsia="Arial" w:hAnsi="Arial"/>
                <w:sz w:val="18"/>
                <w:szCs w:val="18"/>
                <w:color w:val="auto"/>
              </w:rPr>
              <w:t>10.11</w:t>
            </w:r>
          </w:p>
        </w:tc>
        <w:tc>
          <w:tcPr>
            <w:tcW w:w="9340" w:type="dxa"/>
            <w:vAlign w:val="bottom"/>
          </w:tcPr>
          <w:p>
            <w:pPr>
              <w:ind w:left="20"/>
              <w:spacing w:after="0"/>
              <w:rPr>
                <w:sz w:val="20"/>
                <w:szCs w:val="20"/>
                <w:color w:val="auto"/>
              </w:rPr>
            </w:pPr>
            <w:r>
              <w:rPr>
                <w:rFonts w:ascii="Arial" w:cs="Arial" w:eastAsia="Arial" w:hAnsi="Arial"/>
                <w:sz w:val="18"/>
                <w:szCs w:val="18"/>
                <w:color w:val="auto"/>
              </w:rPr>
              <w:t>Lease Amendment No. 5 to Lease Agreement, dated as of July 25, 2012, by and between Fasken Midland, LLC and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6"/>
              </w:rPr>
              <w:t>Diamondback E&amp;P LLC (incorporated by reference to Exhibit 10.36 to Amendment No. 5 to the Registration Statement on</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Form S-1, File No. 333-179502, filed by the Company with the SEC on October 2, 2012).</w:t>
            </w:r>
          </w:p>
        </w:tc>
        <w:tc>
          <w:tcPr>
            <w:tcW w:w="0" w:type="dxa"/>
            <w:vAlign w:val="bottom"/>
          </w:tcPr>
          <w:p>
            <w:pPr>
              <w:spacing w:after="0"/>
              <w:rPr>
                <w:sz w:val="1"/>
                <w:szCs w:val="1"/>
                <w:color w:val="auto"/>
              </w:rPr>
            </w:pPr>
          </w:p>
        </w:tc>
      </w:tr>
      <w:tr>
        <w:trPr>
          <w:trHeight w:val="377"/>
        </w:trPr>
        <w:tc>
          <w:tcPr>
            <w:tcW w:w="2040" w:type="dxa"/>
            <w:vAlign w:val="bottom"/>
          </w:tcPr>
          <w:p>
            <w:pPr>
              <w:ind w:left="460"/>
              <w:spacing w:after="0"/>
              <w:rPr>
                <w:sz w:val="20"/>
                <w:szCs w:val="20"/>
                <w:color w:val="auto"/>
              </w:rPr>
            </w:pPr>
            <w:r>
              <w:rPr>
                <w:rFonts w:ascii="Arial" w:cs="Arial" w:eastAsia="Arial" w:hAnsi="Arial"/>
                <w:sz w:val="18"/>
                <w:szCs w:val="18"/>
                <w:color w:val="auto"/>
              </w:rPr>
              <w:t>31.1*</w:t>
            </w:r>
          </w:p>
        </w:tc>
        <w:tc>
          <w:tcPr>
            <w:tcW w:w="9340" w:type="dxa"/>
            <w:vAlign w:val="bottom"/>
          </w:tcPr>
          <w:p>
            <w:pPr>
              <w:ind w:left="20"/>
              <w:spacing w:after="0"/>
              <w:rPr>
                <w:sz w:val="20"/>
                <w:szCs w:val="20"/>
                <w:color w:val="auto"/>
              </w:rPr>
            </w:pPr>
            <w:r>
              <w:rPr>
                <w:rFonts w:ascii="Arial" w:cs="Arial" w:eastAsia="Arial" w:hAnsi="Arial"/>
                <w:sz w:val="18"/>
                <w:szCs w:val="18"/>
                <w:color w:val="auto"/>
                <w:w w:val="91"/>
              </w:rPr>
              <w:t>Certification of Chief Executive Officer of the Registrant pursuant to Rule 13a-14(a) promulgated under the Securities Exchange</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Act of 1934, as amended.</w:t>
            </w:r>
          </w:p>
        </w:tc>
        <w:tc>
          <w:tcPr>
            <w:tcW w:w="0" w:type="dxa"/>
            <w:vAlign w:val="bottom"/>
          </w:tcPr>
          <w:p>
            <w:pPr>
              <w:spacing w:after="0"/>
              <w:rPr>
                <w:sz w:val="1"/>
                <w:szCs w:val="1"/>
                <w:color w:val="auto"/>
              </w:rPr>
            </w:pPr>
          </w:p>
        </w:tc>
      </w:tr>
      <w:tr>
        <w:trPr>
          <w:trHeight w:val="377"/>
        </w:trPr>
        <w:tc>
          <w:tcPr>
            <w:tcW w:w="2040" w:type="dxa"/>
            <w:vAlign w:val="bottom"/>
          </w:tcPr>
          <w:p>
            <w:pPr>
              <w:ind w:left="460"/>
              <w:spacing w:after="0"/>
              <w:rPr>
                <w:sz w:val="20"/>
                <w:szCs w:val="20"/>
                <w:color w:val="auto"/>
              </w:rPr>
            </w:pPr>
            <w:r>
              <w:rPr>
                <w:rFonts w:ascii="Arial" w:cs="Arial" w:eastAsia="Arial" w:hAnsi="Arial"/>
                <w:sz w:val="18"/>
                <w:szCs w:val="18"/>
                <w:color w:val="auto"/>
              </w:rPr>
              <w:t>31.2*</w:t>
            </w: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of the Registrant pursuant to Rule 13a-14(a) promulgated under the Securities Exchange</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Act of 1934, as amended.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64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jc w:val="center"/>
              <w:ind w:left="30"/>
              <w:spacing w:after="0"/>
              <w:rPr>
                <w:sz w:val="20"/>
                <w:szCs w:val="20"/>
                <w:color w:val="auto"/>
              </w:rPr>
            </w:pPr>
            <w:r>
              <w:rPr>
                <w:rFonts w:ascii="Arial" w:cs="Arial" w:eastAsia="Arial" w:hAnsi="Arial"/>
                <w:sz w:val="18"/>
                <w:szCs w:val="18"/>
                <w:color w:val="auto"/>
                <w:w w:val="95"/>
              </w:rPr>
              <w:t>32.1*</w:t>
            </w:r>
          </w:p>
        </w:tc>
        <w:tc>
          <w:tcPr>
            <w:tcW w:w="420" w:type="dxa"/>
            <w:vAlign w:val="bottom"/>
          </w:tcPr>
          <w:p>
            <w:pPr>
              <w:spacing w:after="0"/>
              <w:rPr>
                <w:sz w:val="24"/>
                <w:szCs w:val="24"/>
                <w:color w:val="auto"/>
              </w:rPr>
            </w:pPr>
          </w:p>
        </w:tc>
        <w:tc>
          <w:tcPr>
            <w:tcW w:w="9640" w:type="dxa"/>
            <w:vAlign w:val="bottom"/>
          </w:tcPr>
          <w:p>
            <w:pPr>
              <w:ind w:left="400"/>
              <w:spacing w:after="0"/>
              <w:rPr>
                <w:sz w:val="20"/>
                <w:szCs w:val="20"/>
                <w:color w:val="auto"/>
              </w:rPr>
            </w:pPr>
            <w:r>
              <w:rPr>
                <w:rFonts w:ascii="Arial" w:cs="Arial" w:eastAsia="Arial" w:hAnsi="Arial"/>
                <w:sz w:val="18"/>
                <w:szCs w:val="18"/>
                <w:color w:val="auto"/>
                <w:w w:val="99"/>
              </w:rPr>
              <w:t>Certification of Chief Executive Officer of the Registrant pursuant to Rule 13a-14(b) promulgated under the Securities</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40" w:type="dxa"/>
            <w:vAlign w:val="bottom"/>
          </w:tcPr>
          <w:p>
            <w:pPr>
              <w:ind w:left="400"/>
              <w:spacing w:after="0"/>
              <w:rPr>
                <w:sz w:val="20"/>
                <w:szCs w:val="20"/>
                <w:color w:val="auto"/>
              </w:rPr>
            </w:pPr>
            <w:r>
              <w:rPr>
                <w:rFonts w:ascii="Arial" w:cs="Arial" w:eastAsia="Arial" w:hAnsi="Arial"/>
                <w:sz w:val="18"/>
                <w:szCs w:val="18"/>
                <w:color w:val="auto"/>
              </w:rPr>
              <w:t>Exchange Act of 1934, as amended, and Section 1350 of Chapter 63 of Title 18 of the United States Code.</w:t>
            </w:r>
          </w:p>
        </w:tc>
      </w:tr>
      <w:tr>
        <w:trPr>
          <w:trHeight w:val="377"/>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5"/>
              </w:rPr>
              <w:t>32.2*</w:t>
            </w:r>
          </w:p>
        </w:tc>
        <w:tc>
          <w:tcPr>
            <w:tcW w:w="420" w:type="dxa"/>
            <w:vAlign w:val="bottom"/>
          </w:tcPr>
          <w:p>
            <w:pPr>
              <w:spacing w:after="0"/>
              <w:rPr>
                <w:sz w:val="24"/>
                <w:szCs w:val="24"/>
                <w:color w:val="auto"/>
              </w:rPr>
            </w:pPr>
          </w:p>
        </w:tc>
        <w:tc>
          <w:tcPr>
            <w:tcW w:w="9640" w:type="dxa"/>
            <w:vAlign w:val="bottom"/>
          </w:tcPr>
          <w:p>
            <w:pPr>
              <w:ind w:left="400"/>
              <w:spacing w:after="0"/>
              <w:rPr>
                <w:sz w:val="20"/>
                <w:szCs w:val="20"/>
                <w:color w:val="auto"/>
              </w:rPr>
            </w:pPr>
            <w:r>
              <w:rPr>
                <w:rFonts w:ascii="Arial" w:cs="Arial" w:eastAsia="Arial" w:hAnsi="Arial"/>
                <w:sz w:val="18"/>
                <w:szCs w:val="18"/>
                <w:color w:val="auto"/>
                <w:w w:val="91"/>
              </w:rPr>
              <w:t>Certification of Chief Financial Officer of the Registrant pursuant to Rule 13a-14(b) promulgated under the Securities Exchange</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40" w:type="dxa"/>
            <w:vAlign w:val="bottom"/>
          </w:tcPr>
          <w:p>
            <w:pPr>
              <w:ind w:left="400"/>
              <w:spacing w:after="0"/>
              <w:rPr>
                <w:sz w:val="20"/>
                <w:szCs w:val="20"/>
                <w:color w:val="auto"/>
              </w:rPr>
            </w:pPr>
            <w:r>
              <w:rPr>
                <w:rFonts w:ascii="Arial" w:cs="Arial" w:eastAsia="Arial" w:hAnsi="Arial"/>
                <w:sz w:val="18"/>
                <w:szCs w:val="18"/>
                <w:color w:val="auto"/>
              </w:rPr>
              <w:t>Act of 1934, as amended, and Section 1350 of Chapter 63 of Title 18 of the United States Code.</w:t>
            </w:r>
          </w:p>
        </w:tc>
      </w:tr>
      <w:tr>
        <w:trPr>
          <w:trHeight w:val="392"/>
        </w:trPr>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101.INS**</w:t>
            </w:r>
          </w:p>
        </w:tc>
        <w:tc>
          <w:tcPr>
            <w:tcW w:w="964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392"/>
        </w:trPr>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101.SCH**</w:t>
            </w:r>
          </w:p>
        </w:tc>
        <w:tc>
          <w:tcPr>
            <w:tcW w:w="964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rPr>
              <w:t>101.CAL**</w:t>
            </w:r>
          </w:p>
        </w:tc>
        <w:tc>
          <w:tcPr>
            <w:tcW w:w="964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101.DEF**</w:t>
            </w:r>
          </w:p>
        </w:tc>
        <w:tc>
          <w:tcPr>
            <w:tcW w:w="964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rPr>
              <w:t>101.LAB**</w:t>
            </w:r>
          </w:p>
        </w:tc>
        <w:tc>
          <w:tcPr>
            <w:tcW w:w="9640" w:type="dxa"/>
            <w:vAlign w:val="bottom"/>
          </w:tcPr>
          <w:p>
            <w:pPr>
              <w:ind w:left="4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101.PRE**</w:t>
            </w:r>
          </w:p>
        </w:tc>
        <w:tc>
          <w:tcPr>
            <w:tcW w:w="964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66"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ind w:left="500" w:hanging="465"/>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filed by amendment during the 30-day grace period provided by Rule 405(a)(2) of Regulation S-T. Pursuant to Rule 406T of Regulation S-T, these interactive data files will be furnished and will not be deemed filed or part of a registration statement or prospectus for purposes of Sections 11 or 12 of the Securities Act of 1933, as amended, will not be deemed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08"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DIAMONDBACK ENERGY, INC.</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16, 2012</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190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190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25"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3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ARTICLE I</w:t>
      </w:r>
    </w:p>
    <w:p>
      <w:pPr>
        <w:spacing w:after="0" w:line="5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Diamondback Energy,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right"/>
        <w:ind w:right="53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street address of the registered office of the Corporation in the State of Delaware is 2711 Centerville Road, Suite 400, County of New Castle, City of Wilmington, Delaware 19808 and the name of the Corporation’s registered agent at such address is Corporation Service Company.</w:t>
      </w:r>
    </w:p>
    <w:p>
      <w:pPr>
        <w:spacing w:after="0" w:line="14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capital stock that the Corporation is authorized to issue is 110,000,000 shares, divided into two classes consisting of 100,000,000 shares of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10,000,000 shares of preferred stock, par value $0.01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Preferred Stock</w:t>
      </w:r>
    </w:p>
    <w:p>
      <w:pPr>
        <w:spacing w:after="0" w:line="225" w:lineRule="exact"/>
        <w:rPr>
          <w:sz w:val="20"/>
          <w:szCs w:val="20"/>
          <w:color w:val="auto"/>
        </w:rPr>
      </w:pPr>
    </w:p>
    <w:p>
      <w:pPr>
        <w:jc w:val="both"/>
        <w:ind w:firstLine="656"/>
        <w:spacing w:after="0" w:line="255" w:lineRule="auto"/>
        <w:tabs>
          <w:tab w:leader="none" w:pos="10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included in a certificate of designations (a “</w:t>
      </w:r>
      <w:r>
        <w:rPr>
          <w:rFonts w:ascii="Arial" w:cs="Arial" w:eastAsia="Arial" w:hAnsi="Arial"/>
          <w:sz w:val="18"/>
          <w:szCs w:val="18"/>
          <w:b w:val="1"/>
          <w:bCs w:val="1"/>
          <w:i w:val="1"/>
          <w:iCs w:val="1"/>
          <w:color w:val="auto"/>
        </w:rPr>
        <w:t>Preferred Stock Designation</w:t>
      </w:r>
      <w:r>
        <w:rPr>
          <w:rFonts w:ascii="Arial" w:cs="Arial" w:eastAsia="Arial" w:hAnsi="Arial"/>
          <w:sz w:val="18"/>
          <w:szCs w:val="18"/>
          <w:color w:val="auto"/>
        </w:rPr>
        <w:t>”) filed pursuant to the DGCL, and the Board is hereby expressly vested with the authority, to the full extent now or hereafter provided by law, to adopt any such resolution or resolutions.</w:t>
      </w:r>
    </w:p>
    <w:p>
      <w:pPr>
        <w:spacing w:after="0" w:line="193" w:lineRule="exact"/>
        <w:rPr>
          <w:rFonts w:ascii="Arial" w:cs="Arial" w:eastAsia="Arial" w:hAnsi="Arial"/>
          <w:sz w:val="18"/>
          <w:szCs w:val="18"/>
          <w:color w:val="auto"/>
        </w:rPr>
      </w:pPr>
    </w:p>
    <w:p>
      <w:pPr>
        <w:jc w:val="both"/>
        <w:ind w:firstLine="656"/>
        <w:spacing w:after="0" w:line="297" w:lineRule="auto"/>
        <w:tabs>
          <w:tab w:leader="none" w:pos="11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 to the rights of the holders of any series of Preferred Stock pursuant to the terms of this Amended and Restated Certificate of Incorporation (this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(including any Preferred Stock Designation),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any series thereof, irrespective of the provisions of Section 242(b)(2) of the DGCL, unless a vote of any such holders of Preferred Stock is required pursuant to another provision of this Certificate (including any Preferred Stock Designation).</w:t>
      </w:r>
    </w:p>
    <w:p>
      <w:pPr>
        <w:spacing w:after="0" w:line="15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p>
    <w:p>
      <w:pPr>
        <w:spacing w:after="0" w:line="225" w:lineRule="exact"/>
        <w:rPr>
          <w:sz w:val="20"/>
          <w:szCs w:val="20"/>
          <w:color w:val="auto"/>
        </w:rPr>
      </w:pPr>
    </w:p>
    <w:p>
      <w:pPr>
        <w:ind w:firstLine="656"/>
        <w:spacing w:after="0" w:line="277" w:lineRule="auto"/>
        <w:tabs>
          <w:tab w:leader="none" w:pos="10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holder of shares of Common Stock, as such, shall be entitled to one vote for each share of Common Stock held of record by such holder on all matters on which stockholders generally are entitled to vote. Except</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1" w:right="2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165" w:lineRule="exact"/>
        <w:rPr>
          <w:sz w:val="20"/>
          <w:szCs w:val="20"/>
          <w:color w:val="auto"/>
        </w:rPr>
      </w:pPr>
    </w:p>
    <w:p>
      <w:pPr>
        <w:jc w:val="both"/>
        <w:ind w:firstLine="656"/>
        <w:spacing w:after="0" w:line="286" w:lineRule="auto"/>
        <w:tabs>
          <w:tab w:leader="none" w:pos="10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18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are inserted for the management of the business and for the conduct of the affairs of the Corporation, and the same are in furtherance of and not in limitation of the powers conferred by law:</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No contract or other transaction of the Corporation with any other person, firm, corporation or other entity in which the Corporation has an interest, shall be affected or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 Each person who may become a director or officer of the Corporation is hereby relieved from any liability that might otherwise arise by reason of his or her contracting with the Corporation for the benefit of himself or herself or any firm or corporation in which he or she may be in any way interested.</w:t>
      </w:r>
    </w:p>
    <w:p>
      <w:pPr>
        <w:spacing w:after="0" w:line="19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Corporate Opportunities.</w:t>
      </w:r>
    </w:p>
    <w:p>
      <w:pPr>
        <w:spacing w:after="0" w:line="225" w:lineRule="exact"/>
        <w:rPr>
          <w:sz w:val="20"/>
          <w:szCs w:val="20"/>
          <w:color w:val="auto"/>
        </w:rPr>
      </w:pPr>
    </w:p>
    <w:p>
      <w:pPr>
        <w:jc w:val="both"/>
        <w:ind w:firstLine="656"/>
        <w:spacing w:after="0" w:line="269" w:lineRule="auto"/>
        <w:tabs>
          <w:tab w:leader="none" w:pos="10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principals, officers, employees and/or other representatives of DB Energy Holdings LLC and Gulfport Energy Corporation (together, the “</w:t>
      </w:r>
      <w:r>
        <w:rPr>
          <w:rFonts w:ascii="Arial" w:cs="Arial" w:eastAsia="Arial" w:hAnsi="Arial"/>
          <w:sz w:val="17"/>
          <w:szCs w:val="17"/>
          <w:b w:val="1"/>
          <w:bCs w:val="1"/>
          <w:i w:val="1"/>
          <w:iCs w:val="1"/>
          <w:color w:val="auto"/>
        </w:rPr>
        <w:t>Original Stockholders</w:t>
      </w:r>
      <w:r>
        <w:rPr>
          <w:rFonts w:ascii="Arial" w:cs="Arial" w:eastAsia="Arial" w:hAnsi="Arial"/>
          <w:sz w:val="17"/>
          <w:szCs w:val="17"/>
          <w:color w:val="auto"/>
        </w:rPr>
        <w:t>”) and their respective Affiliates (as defined below) may serve as directors or officers of the Corporation, (ii) the Original Stockholders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of the Corporation (“</w:t>
      </w:r>
      <w:r>
        <w:rPr>
          <w:rFonts w:ascii="Arial" w:cs="Arial" w:eastAsia="Arial" w:hAnsi="Arial"/>
          <w:sz w:val="17"/>
          <w:szCs w:val="17"/>
          <w:b w:val="1"/>
          <w:bCs w:val="1"/>
          <w:i w:val="1"/>
          <w:iCs w:val="1"/>
          <w:color w:val="auto"/>
        </w:rPr>
        <w:t>Non-Employee Directors</w:t>
      </w:r>
      <w:r>
        <w:rPr>
          <w:rFonts w:ascii="Arial" w:cs="Arial" w:eastAsia="Arial" w:hAnsi="Arial"/>
          <w:sz w:val="17"/>
          <w:szCs w:val="17"/>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Section 5.2 are set forth to regulate and define the conduct of certain affairs of the Corporation with respect to certain classes or categories of business opportunities as they may involve the Original Stockholders, the Non-Employee Directors or their respective Affiliates and the powers, rights, duties and liabilities of the Corporation and its directors, officers and stockholders in connection therewith.</w:t>
      </w:r>
    </w:p>
    <w:p>
      <w:pPr>
        <w:spacing w:after="0" w:line="182" w:lineRule="exact"/>
        <w:rPr>
          <w:rFonts w:ascii="Arial" w:cs="Arial" w:eastAsia="Arial" w:hAnsi="Arial"/>
          <w:sz w:val="17"/>
          <w:szCs w:val="17"/>
          <w:color w:val="auto"/>
        </w:rPr>
      </w:pPr>
    </w:p>
    <w:p>
      <w:pPr>
        <w:ind w:firstLine="656"/>
        <w:spacing w:after="0" w:line="277" w:lineRule="auto"/>
        <w:tabs>
          <w:tab w:leader="none" w:pos="10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(i) any Original Stockholder or any of its Affiliates or (ii) any Non-Employee Director or his or her Affiliates (the Persons (as defined below) identified in (i) and (ii) above being referred to, collectively, 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Identified Persons</w:t>
      </w:r>
      <w:r>
        <w:rPr>
          <w:rFonts w:ascii="Arial" w:cs="Arial" w:eastAsia="Arial" w:hAnsi="Arial"/>
          <w:sz w:val="16"/>
          <w:szCs w:val="16"/>
          <w:color w:val="auto"/>
        </w:rPr>
        <w:t>” and, individually, as an “</w:t>
      </w:r>
      <w:r>
        <w:rPr>
          <w:rFonts w:ascii="Arial" w:cs="Arial" w:eastAsia="Arial" w:hAnsi="Arial"/>
          <w:sz w:val="16"/>
          <w:szCs w:val="16"/>
          <w:b w:val="1"/>
          <w:bCs w:val="1"/>
          <w:i w:val="1"/>
          <w:iCs w:val="1"/>
          <w:color w:val="auto"/>
        </w:rPr>
        <w:t>Identified Person</w:t>
      </w:r>
      <w:r>
        <w:rPr>
          <w:rFonts w:ascii="Arial" w:cs="Arial" w:eastAsia="Arial" w:hAnsi="Arial"/>
          <w:sz w:val="16"/>
          <w:szCs w:val="16"/>
          <w:color w:val="auto"/>
        </w:rPr>
        <w:t>”) shall have any duty to refrain from directly or indirectly (x) engaging in a corporate opportunity in the same or similar business activities or lines of business in which the Corporation or any of its Affiliates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 Person and the Corporation or any of its Affiliates, except as provided in paragraph (c) of this Section 5.2. In the event that any Identified Person acquires knowledge of a potential transaction or other business opportunity which may be a corporate opportunity for itself or himself and the Corporation or any of its Affiliates, such Identified Person shall have no duty to communicate or offer such transaction or other business opportunity to the Corporation or any of its Affiliates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172" w:lineRule="exact"/>
        <w:rPr>
          <w:sz w:val="20"/>
          <w:szCs w:val="20"/>
          <w:color w:val="auto"/>
        </w:rPr>
      </w:pPr>
    </w:p>
    <w:p>
      <w:pPr>
        <w:jc w:val="both"/>
        <w:ind w:firstLine="656"/>
        <w:spacing w:after="0" w:line="264"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5.2(b) shall not apply to any such corporate opportunity.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Section 5.2,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86" w:lineRule="exact"/>
        <w:rPr>
          <w:rFonts w:ascii="Arial" w:cs="Arial" w:eastAsia="Arial" w:hAnsi="Arial"/>
          <w:sz w:val="18"/>
          <w:szCs w:val="18"/>
          <w:color w:val="auto"/>
        </w:rPr>
      </w:pPr>
    </w:p>
    <w:p>
      <w:pPr>
        <w:jc w:val="both"/>
        <w:ind w:firstLine="656"/>
        <w:spacing w:after="0" w:line="272" w:lineRule="auto"/>
        <w:tabs>
          <w:tab w:leader="none" w:pos="10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purposes of this Section 5.2, (i) “Affiliate” shall mean (A) in respect of an Original Stockholder, any Person that, directly or indirectly, is controlled by such Original Stockholder, controls such Original Stockholder or is under common control with such Original Stockholder and shall include any principal, member, director, partner, shareholder,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77" w:lineRule="exact"/>
        <w:rPr>
          <w:rFonts w:ascii="Arial" w:cs="Arial" w:eastAsia="Arial" w:hAnsi="Arial"/>
          <w:sz w:val="17"/>
          <w:szCs w:val="17"/>
          <w:color w:val="auto"/>
        </w:rPr>
      </w:pPr>
    </w:p>
    <w:p>
      <w:pPr>
        <w:ind w:firstLine="656"/>
        <w:spacing w:after="0" w:line="277"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Section 5.2.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The business and affairs of the Corporation shall be managed by, or under the direction of, the Board. In addition to the powers and authority expressly conferred upon the Board by statute, this Certificate or the Bylaws of the Corporation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Bylaws hereafter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adopted by the stockholders shall invalidate any prior act of the Board that would have been valid if such Bylaws had not been adopted.</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0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directors constituting the Board shall be not fewer than five (5) nor more than thirteen (13).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directors the Corporation would have if there were no vacancies.</w:t>
      </w:r>
    </w:p>
    <w:p>
      <w:pPr>
        <w:spacing w:after="0" w:line="171" w:lineRule="exact"/>
        <w:rPr>
          <w:rFonts w:ascii="Arial" w:cs="Arial" w:eastAsia="Arial" w:hAnsi="Arial"/>
          <w:sz w:val="17"/>
          <w:szCs w:val="17"/>
          <w:color w:val="auto"/>
        </w:rPr>
      </w:pPr>
    </w:p>
    <w:p>
      <w:pPr>
        <w:ind w:right="20" w:firstLine="656"/>
        <w:spacing w:after="0" w:line="308" w:lineRule="auto"/>
        <w:tabs>
          <w:tab w:leader="none" w:pos="10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6.5</w:t>
      </w:r>
      <w:r>
        <w:rPr>
          <w:rFonts w:ascii="Arial" w:cs="Arial" w:eastAsia="Arial" w:hAnsi="Arial"/>
          <w:sz w:val="17"/>
          <w:szCs w:val="17"/>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any or all of the directors may be removed from office at any time, but only by the affirmative vote of holders of a 66⅔% of the voting power of all then outstanding shares of capital stock of the Corporation entitled to vote generally in the election of directors, voting together as a single class.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Preferred Stock – Directors</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unless expressly provided by such terms.</w:t>
      </w:r>
    </w:p>
    <w:p>
      <w:pPr>
        <w:spacing w:after="0" w:line="18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addition to any vote of the holders of any class or series of capital stock of the Corporation required by law or by this Certificate (including any Preferred Stock Designation), the affirmative vote of the holders of at least 66⅔%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17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MEETINGS OF STOCKHOLDERS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Action by Written Consent</w:t>
      </w:r>
      <w:r>
        <w:rPr>
          <w:rFonts w:ascii="Arial" w:cs="Arial" w:eastAsia="Arial" w:hAnsi="Arial"/>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of the taking of such action by means of written consent of the stockholders.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or the terms of any one or more series of Preferred Stock, special meetings of stockholders of the Corporation may be called only by the Chairman of the Board, Chief Executive Officer, or the Board pursuant to a resolution adopted by a majority of the Whole Board, and the ability of the stockholders to call a special meeting is hereby specifically denied.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DIRECTOR LIABILITY; INDEMNIFICATION AND ADVANCEMENT OF EXPENSES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To the fullest extent that the DGCL or any other law of the State of Delaware as the same exists or is hereafter amended permits the limitation or elimination of the liability of directors, no person who is or was a director of the Corporation shall be personally liable to the Corporation or any of its stockholders for monetary damages for breach of fiduciary duty as a director. Any repeal or amendment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by the stockholders of the Corporation or by changes in law, or the adoption of any other provision of this Certificate inconsistent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spacing w:after="0" w:line="19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0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include the right to be paid by the Corporation the expenses incurred in defending or otherwise participating in any such proceeding in advance of its final disposition; provided, however, that, if the DGCL requires, an advancement of expenses shall be made only upon delivery to the Corporation of an undertaking, by or on behalf of the indemnitee, to repay all amounts so advanced if it shall ultimately be determined by final judicial decision from which there is no further right to appeal that the indemnitee is not entitled to be indemnified for the expenses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with a proceeding (or part thereof) initiated by such indemnitee only if such proceeding (or part thereof) was authorized by the Board.</w:t>
      </w:r>
    </w:p>
    <w:p>
      <w:pPr>
        <w:spacing w:after="0" w:line="225" w:lineRule="exact"/>
        <w:rPr>
          <w:sz w:val="20"/>
          <w:szCs w:val="20"/>
          <w:color w:val="auto"/>
        </w:rPr>
      </w:pPr>
    </w:p>
    <w:p>
      <w:pPr>
        <w:jc w:val="both"/>
        <w:ind w:firstLine="656"/>
        <w:spacing w:after="0" w:line="264" w:lineRule="auto"/>
        <w:tabs>
          <w:tab w:leader="none" w:pos="10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0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Any repeal or amendment of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by the stockholders of the Corporation or by changes in law, or the adoption of any other provision of this Certificate inconsistent with this </w:t>
      </w:r>
      <w:r>
        <w:rPr>
          <w:rFonts w:ascii="Arial" w:cs="Arial" w:eastAsia="Arial" w:hAnsi="Arial"/>
          <w:sz w:val="17"/>
          <w:szCs w:val="17"/>
          <w:u w:val="single" w:color="auto"/>
          <w:color w:val="auto"/>
        </w:rPr>
        <w:t>Section 9.2</w:t>
      </w:r>
      <w:r>
        <w:rPr>
          <w:rFonts w:ascii="Arial" w:cs="Arial" w:eastAsia="Arial" w:hAnsi="Arial"/>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72" w:lineRule="exact"/>
        <w:rPr>
          <w:rFonts w:ascii="Arial" w:cs="Arial" w:eastAsia="Arial" w:hAnsi="Arial"/>
          <w:sz w:val="17"/>
          <w:szCs w:val="17"/>
          <w:color w:val="auto"/>
        </w:rPr>
      </w:pPr>
    </w:p>
    <w:p>
      <w:pPr>
        <w:ind w:firstLine="656"/>
        <w:spacing w:after="0" w:line="277" w:lineRule="auto"/>
        <w:tabs>
          <w:tab w:leader="none" w:pos="10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 other provision of this Certificate, and in addition to any other vote that may be required by law or any Preferred Stock Designation, the affirmative vote of the holders of at least 66⅔% of the voting power of all then outstanding shares of capital stock of the Corporation entitled to vote generally in the election of directors, voting together as a single class, shall be required to amend, alter or repeal, or adopt any provision as part of this Certificate inconsistent with the purpose and intent of,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SECTION 203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 shall not be governed by the provisions of Section 203 of the DGCL.</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CHOICE OF FORUM</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this Certificate or Bylaws; or (iv) any action asserting a claim against the Corporation governed by the internal affairs doctrine. Any person or entity purchasing or otherwise acquiring any interest in share of capital stock of the Corporation shall be deemed to have notice of and to have consented to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7"/>
          <w:szCs w:val="17"/>
          <w:b w:val="1"/>
          <w:bCs w:val="1"/>
          <w:color w:val="auto"/>
        </w:rPr>
        <w:t>AMENDED AND RESTATED BYLAWS</w:t>
      </w:r>
    </w:p>
    <w:p>
      <w:pPr>
        <w:sectPr>
          <w:pgSz w:w="11900" w:h="16838" w:orient="portrait"/>
          <w:cols w:equalWidth="0" w:num="1">
            <w:col w:w="9019"/>
          </w:cols>
          <w:pgMar w:left="1440" w:top="6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ADOPTED AS OF OCTOBER 11, 2012</w:t>
      </w:r>
    </w:p>
    <w:p>
      <w:pPr>
        <w:sectPr>
          <w:pgSz w:w="11900" w:h="16838" w:orient="portrait"/>
          <w:cols w:equalWidth="0" w:num="1">
            <w:col w:w="9019"/>
          </w:cols>
          <w:pgMar w:left="1440" w:top="621" w:right="1440"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5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5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OFFICES</w:t>
      </w:r>
    </w:p>
    <w:p>
      <w:pPr>
        <w:spacing w:after="0" w:line="23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STOCKHOLDERS MEETINGS</w:t>
      </w:r>
    </w:p>
    <w:p>
      <w:pPr>
        <w:spacing w:after="0" w:line="207"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2.1 Annual Meetings</w:t>
      </w:r>
      <w:r>
        <w:rPr>
          <w:rFonts w:ascii="Arial" w:cs="Arial" w:eastAsia="Arial" w:hAnsi="Arial"/>
          <w:sz w:val="17"/>
          <w:szCs w:val="17"/>
          <w:color w:val="auto"/>
        </w:rPr>
        <w:t>. The annual meeting of stockholders shall be held at such place and time and on such date as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7"/>
          <w:szCs w:val="17"/>
          <w:u w:val="single" w:color="auto"/>
          <w:color w:val="auto"/>
        </w:rPr>
        <w:t>Section 9.5(a)</w:t>
      </w:r>
      <w:r>
        <w:rPr>
          <w:rFonts w:ascii="Arial" w:cs="Arial" w:eastAsia="Arial" w:hAnsi="Arial"/>
          <w:sz w:val="17"/>
          <w:szCs w:val="17"/>
          <w:color w:val="auto"/>
        </w:rPr>
        <w:t>. At each annual meeting, the stockholders shall elect directors of the Corporation and may transact any other business as may properly be brought before the meeting.</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Section 2.2 Special Meetings</w:t>
      </w:r>
      <w:r>
        <w:rPr>
          <w:rFonts w:ascii="Arial" w:cs="Arial" w:eastAsia="Arial" w:hAnsi="Arial"/>
          <w:sz w:val="17"/>
          <w:szCs w:val="17"/>
          <w:color w:val="auto"/>
        </w:rPr>
        <w:t>. Except as otherwise required by applicable law or provided in the Corporation’s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as the same may be amended or restated from time to time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xml:space="preserve">”), special meetings of stockholders, for any purpose or purposes, may be called only by the Chairman of the Board, Chief Executive Officer or the Board pursuant to a resolution adopted by a majority of the Whole Board (as defined below). Special meetings of stockholders shall be held at such place and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7"/>
          <w:szCs w:val="17"/>
          <w:u w:val="single" w:color="auto"/>
          <w:color w:val="auto"/>
        </w:rPr>
        <w:t>Section 9.5(a)</w:t>
      </w:r>
      <w:r>
        <w:rPr>
          <w:rFonts w:ascii="Arial" w:cs="Arial" w:eastAsia="Arial" w:hAnsi="Arial"/>
          <w:sz w:val="17"/>
          <w:szCs w:val="17"/>
          <w:color w:val="auto"/>
        </w:rPr>
        <w:t>.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directors the Corporation would have if there were no vacancies.</w:t>
      </w:r>
    </w:p>
    <w:p>
      <w:pPr>
        <w:spacing w:after="0" w:line="17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2.3 Notices</w:t>
      </w:r>
      <w:r>
        <w:rPr>
          <w:rFonts w:ascii="Arial" w:cs="Arial" w:eastAsia="Arial" w:hAnsi="Arial"/>
          <w:sz w:val="16"/>
          <w:szCs w:val="16"/>
          <w:color w:val="auto"/>
        </w:rPr>
        <w:t>. Notice of each stockholders meeting stating the place, if any, date, and time of the meeting, and the means of remote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Such notice shall be given by the Corporation not less than 10 nor more than 60 days before the date of the meeting.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Arial" w:cs="Arial" w:eastAsia="Arial" w:hAnsi="Arial"/>
          <w:sz w:val="16"/>
          <w:szCs w:val="16"/>
          <w:u w:val="single" w:color="auto"/>
          <w:color w:val="auto"/>
        </w:rPr>
        <w:t>Section 2.7(c)</w:t>
      </w:r>
      <w:r>
        <w:rPr>
          <w:rFonts w:ascii="Arial" w:cs="Arial" w:eastAsia="Arial" w:hAnsi="Arial"/>
          <w:sz w:val="16"/>
          <w:szCs w:val="16"/>
          <w:color w:val="auto"/>
        </w:rPr>
        <w:t>) given before the date previously scheduled for such meeting.</w:t>
      </w:r>
    </w:p>
    <w:p>
      <w:pPr>
        <w:spacing w:after="0" w:line="1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Section 2.4 Quorum</w:t>
      </w:r>
      <w:r>
        <w:rPr>
          <w:rFonts w:ascii="Arial" w:cs="Arial" w:eastAsia="Arial" w:hAnsi="Arial"/>
          <w:sz w:val="17"/>
          <w:szCs w:val="17"/>
          <w:color w:val="auto"/>
        </w:rPr>
        <w:t>. Except as otherwise provided by applicable law, the Certificate of Incorporation or these Bylaws, the presence, in</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1" w:right="239" w:bottom="1440" w:gutter="0" w:footer="0" w:header="0"/>
        </w:sectPr>
      </w:pPr>
    </w:p>
    <w:bookmarkStart w:id="47" w:name="page48"/>
    <w:bookmarkEnd w:id="47"/>
    <w:p>
      <w:pPr>
        <w:jc w:val="both"/>
        <w:spacing w:after="0" w:line="290" w:lineRule="auto"/>
        <w:rPr>
          <w:sz w:val="20"/>
          <w:szCs w:val="20"/>
          <w:color w:val="auto"/>
        </w:rPr>
      </w:pPr>
      <w:r>
        <w:rPr>
          <w:rFonts w:ascii="Arial" w:cs="Arial" w:eastAsia="Arial" w:hAnsi="Arial"/>
          <w:sz w:val="16"/>
          <w:szCs w:val="16"/>
          <w:color w:val="auto"/>
        </w:rPr>
        <w:t xml:space="preserve">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62"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Voting of Shares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6" w:lineRule="auto"/>
        <w:tabs>
          <w:tab w:leader="none" w:pos="170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If the meeting is to be held at a place, then the list of stockholders entitled to vote at the meeting shall be produced and kept at the time and place of the meeting during the whole time thereof, and may be examined by any stockholder who is present. If a meeting of stockholders is to be held solely by means of remote communication as permitted by </w:t>
      </w:r>
      <w:r>
        <w:rPr>
          <w:rFonts w:ascii="Arial" w:cs="Arial" w:eastAsia="Arial" w:hAnsi="Arial"/>
          <w:sz w:val="16"/>
          <w:szCs w:val="16"/>
          <w:u w:val="single" w:color="auto"/>
          <w:color w:val="auto"/>
        </w:rPr>
        <w:t>Section 9.5(a)</w:t>
      </w:r>
      <w:r>
        <w:rPr>
          <w:rFonts w:ascii="Arial" w:cs="Arial" w:eastAsia="Arial" w:hAnsi="Arial"/>
          <w:sz w:val="16"/>
          <w:szCs w:val="16"/>
          <w:color w:val="auto"/>
        </w:rPr>
        <w:t xml:space="preserve">, then such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to vote in person or by proxy at any meeting of stockholders.</w:t>
      </w:r>
    </w:p>
    <w:p>
      <w:pPr>
        <w:spacing w:after="0" w:line="168" w:lineRule="exact"/>
        <w:rPr>
          <w:rFonts w:ascii="Arial" w:cs="Arial" w:eastAsia="Arial" w:hAnsi="Arial"/>
          <w:sz w:val="16"/>
          <w:szCs w:val="16"/>
          <w:color w:val="auto"/>
        </w:rPr>
      </w:pPr>
    </w:p>
    <w:p>
      <w:pPr>
        <w:jc w:val="both"/>
        <w:ind w:firstLine="1305"/>
        <w:spacing w:after="0" w:line="297" w:lineRule="auto"/>
        <w:tabs>
          <w:tab w:leader="none" w:pos="172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spacing w:after="0" w:line="158" w:lineRule="exact"/>
        <w:rPr>
          <w:rFonts w:ascii="Arial" w:cs="Arial" w:eastAsia="Arial" w:hAnsi="Arial"/>
          <w:sz w:val="16"/>
          <w:szCs w:val="16"/>
          <w:color w:val="auto"/>
        </w:rPr>
      </w:pPr>
    </w:p>
    <w:p>
      <w:pPr>
        <w:jc w:val="both"/>
        <w:ind w:firstLine="1305"/>
        <w:spacing w:after="0" w:line="297" w:lineRule="auto"/>
        <w:tabs>
          <w:tab w:leader="none" w:pos="170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158" w:lineRule="exact"/>
        <w:rPr>
          <w:rFonts w:ascii="Arial" w:cs="Arial" w:eastAsia="Arial" w:hAnsi="Arial"/>
          <w:sz w:val="16"/>
          <w:szCs w:val="16"/>
          <w:color w:val="auto"/>
        </w:rPr>
      </w:pPr>
    </w:p>
    <w:p>
      <w:pPr>
        <w:ind w:left="660" w:firstLine="1293"/>
        <w:spacing w:after="0" w:line="277" w:lineRule="auto"/>
        <w:tabs>
          <w:tab w:leader="none" w:pos="23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such stockholder as proxy. Execution may be accomplished by the stockholder or such stockholder’s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48" w:name="page49"/>
    <w:bookmarkEnd w:id="48"/>
    <w:p>
      <w:pPr>
        <w:ind w:left="660"/>
        <w:spacing w:after="0" w:line="277" w:lineRule="auto"/>
        <w:rPr>
          <w:sz w:val="20"/>
          <w:szCs w:val="20"/>
          <w:color w:val="auto"/>
        </w:rPr>
      </w:pPr>
      <w:r>
        <w:rPr>
          <w:rFonts w:ascii="Arial" w:cs="Arial" w:eastAsia="Arial" w:hAnsi="Arial"/>
          <w:sz w:val="18"/>
          <w:szCs w:val="18"/>
          <w:color w:val="auto"/>
        </w:rPr>
        <w:t>authorized officer, director, employee or agent signing such writing or causing such person’s signature to be affixed to such writing by any reasonable means, including, but not limited to, by facsimile signature.</w:t>
      </w:r>
    </w:p>
    <w:p>
      <w:pPr>
        <w:spacing w:after="0" w:line="170" w:lineRule="exact"/>
        <w:rPr>
          <w:sz w:val="20"/>
          <w:szCs w:val="20"/>
          <w:color w:val="auto"/>
        </w:rPr>
      </w:pPr>
    </w:p>
    <w:p>
      <w:pPr>
        <w:jc w:val="both"/>
        <w:ind w:left="660" w:firstLine="1293"/>
        <w:spacing w:after="0" w:line="257" w:lineRule="auto"/>
        <w:tabs>
          <w:tab w:leader="none" w:pos="23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87" w:lineRule="exact"/>
        <w:rPr>
          <w:sz w:val="20"/>
          <w:szCs w:val="20"/>
          <w:color w:val="auto"/>
        </w:rPr>
      </w:pPr>
    </w:p>
    <w:p>
      <w:pPr>
        <w:jc w:val="both"/>
        <w:ind w:firstLine="1305"/>
        <w:spacing w:after="0" w:line="273" w:lineRule="auto"/>
        <w:tabs>
          <w:tab w:leader="none" w:pos="172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of the Corporation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7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time, whether or not there is a quorum, to reconvene at the same or some other place. Notice need not be given of any such adjourned meeting if the date, time and place, if any, thereof, and the means of remote communication, if any, by which stockholders and proxyholders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5" w:right="239" w:bottom="1440" w:gutter="0" w:footer="0" w:header="0"/>
        </w:sectPr>
      </w:pPr>
    </w:p>
    <w:bookmarkStart w:id="49" w:name="page50"/>
    <w:bookmarkEnd w:id="49"/>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b w:val="1"/>
          <w:bCs w:val="1"/>
          <w:color w:val="auto"/>
        </w:rPr>
        <w:t>Advance Notice for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90" w:lineRule="auto"/>
        <w:tabs>
          <w:tab w:leader="none" w:pos="173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on the date of the giving of the notice provided for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who is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Except for proposals properly made in accordance with Rule 14a-8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included in the notice of meeting given by or at the direction of the Board, the foregoing clause (iii) shall be the exclusive means for a stockholder to propose business to be brought before an annual meeting of stockholders. Stockholders seeking to nominate persons for election to the Board must comply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not be applicable to nominations.</w:t>
      </w:r>
    </w:p>
    <w:p>
      <w:pPr>
        <w:spacing w:after="0" w:line="166" w:lineRule="exact"/>
        <w:rPr>
          <w:rFonts w:ascii="Arial" w:cs="Arial" w:eastAsia="Arial" w:hAnsi="Arial"/>
          <w:sz w:val="16"/>
          <w:szCs w:val="16"/>
          <w:color w:val="auto"/>
        </w:rPr>
      </w:pPr>
    </w:p>
    <w:p>
      <w:pPr>
        <w:jc w:val="both"/>
        <w:ind w:left="660" w:firstLine="1293"/>
        <w:spacing w:after="0" w:line="285" w:lineRule="auto"/>
        <w:tabs>
          <w:tab w:leader="none" w:pos="2481"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Arial" w:cs="Arial" w:eastAsia="Arial" w:hAnsi="Arial"/>
          <w:sz w:val="16"/>
          <w:szCs w:val="16"/>
          <w:u w:val="single" w:color="auto"/>
          <w:color w:val="auto"/>
        </w:rPr>
        <w:t>Section 2.7(a)(iv)</w:t>
      </w:r>
      <w:r>
        <w:rPr>
          <w:rFonts w:ascii="Arial" w:cs="Arial" w:eastAsia="Arial" w:hAnsi="Arial"/>
          <w:sz w:val="16"/>
          <w:szCs w:val="16"/>
          <w:color w:val="auto"/>
        </w:rPr>
        <w:t xml:space="preserve">, a stockholder’s notice to the Secretary with respect to such business, to be timely, must (x) comply with the provisions of this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be timely updated by the times and in the manner required by the provisions of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Notwithstanding the previous sentence, for purposes of determining whether a stockholder’s notice shall have been received in a timely manner for the annual meeting of stockholders in 2013, to be timely, a stockholder’s notice must have been received not later than the close of business on March 4, 2013 nor earlier than the opening of business on February 1, 2013,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2013 annual meeting is held more than 30 days earlier or more than 60 days later than June 1, 2013,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stockholder’s notice as described in this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660" w:firstLine="1293"/>
        <w:spacing w:after="0" w:line="269" w:lineRule="auto"/>
        <w:tabs>
          <w:tab w:leader="none" w:pos="2436"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be in proper written form, a stockholder’s notice to the Secretary with respect to any business (other than nominations) must set forth (A) as to each such matter such stockholder proposes to bring before the annual meeting (1) a brief description of the business desired to be brought before the annual meeting and any material interest in such business of such stockholder and any Stockholder Associated Person (as defined below), individually or in the aggregate, (2) the text of the proposal or business (including the text of any resolutions proposed for consideration and if such business includes a proposal to amend these Bylaws, the text of the proposed amendment) and (3) the reasons for conducting such business at the annual meeting, (B) the name and address of the stockholder proposing such business, as they appear on the Corporation’s books, and the name and address of any Stockholder Associated Person, (C) the class or series and number of shares of capital stock of the Corporation that are owned of record or are directly or indirectly owned beneficially by such stockholder and by any Stockholder Associated Person, (D)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1" w:right="239" w:bottom="1440" w:gutter="0" w:footer="0" w:header="0"/>
        </w:sectPr>
      </w:pPr>
    </w:p>
    <w:bookmarkStart w:id="50" w:name="page51"/>
    <w:bookmarkEnd w:id="50"/>
    <w:p>
      <w:pPr>
        <w:jc w:val="both"/>
        <w:spacing w:after="0" w:line="284" w:lineRule="auto"/>
        <w:rPr>
          <w:sz w:val="20"/>
          <w:szCs w:val="20"/>
          <w:color w:val="auto"/>
        </w:rPr>
      </w:pPr>
      <w:r>
        <w:rPr>
          <w:rFonts w:ascii="Arial" w:cs="Arial" w:eastAsia="Arial" w:hAnsi="Arial"/>
          <w:sz w:val="16"/>
          <w:szCs w:val="16"/>
          <w:color w:val="auto"/>
        </w:rPr>
        <w:t>the Corporation or otherwise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xml:space="preserve">”)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 (E)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(F) any short interest in any security of the Corporation held by such stockholder or any Stockholder Associated Person (for purposes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(G) any rights owned beneficially by such stockholder or Stockholder Associated Person to dividends on the shares of the Corporation that are separated or separable from the underlying shares of the Corporation, (H)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(I)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(J) a description of all agreements, arrangements or understandings (written or oral) between or among such stockholder, any Stockholder Associated Person or any other person or persons (including their names) in connection with the proposal of such business by such stockholder, (K) 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 (L) a representation that such stockholder intends to appear in person or by proxy at the annual meeting to bring such business before the meeting, and (M) a statement of whether such stockholder or any Stockholder Associated Person intends, or is part of a group that intends, to solicit proxies in connection with the proposal.</w:t>
      </w:r>
    </w:p>
    <w:p>
      <w:pPr>
        <w:spacing w:after="0" w:line="180" w:lineRule="exact"/>
        <w:rPr>
          <w:sz w:val="20"/>
          <w:szCs w:val="20"/>
          <w:color w:val="auto"/>
        </w:rPr>
      </w:pPr>
    </w:p>
    <w:p>
      <w:pPr>
        <w:jc w:val="both"/>
        <w:ind w:firstLine="1293"/>
        <w:spacing w:after="0" w:line="270" w:lineRule="auto"/>
        <w:tabs>
          <w:tab w:leader="none" w:pos="180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spacing w:after="0" w:line="181" w:lineRule="exact"/>
        <w:rPr>
          <w:rFonts w:ascii="Arial" w:cs="Arial" w:eastAsia="Arial" w:hAnsi="Arial"/>
          <w:sz w:val="17"/>
          <w:szCs w:val="17"/>
          <w:color w:val="auto"/>
        </w:rPr>
      </w:pPr>
    </w:p>
    <w:p>
      <w:pPr>
        <w:jc w:val="both"/>
        <w:ind w:firstLine="1293"/>
        <w:spacing w:after="0" w:line="271" w:lineRule="auto"/>
        <w:tabs>
          <w:tab w:leader="none" w:pos="17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foregoing notice requirements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stockholder’s proposal has been included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provided, however, that once business has been properly brought before the annual meeting in accordance with such procedures, nothing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to preclude discussion by any stockholder of any such business. If the Board or the chairman of the annual meeting determines that any stockholder proposal was not made in accordance with</w:t>
      </w: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900" w:top="625" w:right="239" w:bottom="1440" w:gutter="0" w:footer="0" w:header="0"/>
        </w:sectPr>
      </w:pPr>
    </w:p>
    <w:bookmarkStart w:id="51" w:name="page52"/>
    <w:bookmarkEnd w:id="51"/>
    <w:p>
      <w:pPr>
        <w:jc w:val="both"/>
        <w:ind w:left="660"/>
        <w:spacing w:after="0" w:line="25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or that the information provided in a stockholder’s notice does not satisfy the information requirements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such proposal shall not be presented for action at the annual meeting. Notwithstanding the foregoing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88" w:lineRule="exact"/>
        <w:rPr>
          <w:sz w:val="20"/>
          <w:szCs w:val="20"/>
          <w:color w:val="auto"/>
        </w:rPr>
      </w:pPr>
    </w:p>
    <w:p>
      <w:pPr>
        <w:jc w:val="both"/>
        <w:ind w:left="660" w:firstLine="1293"/>
        <w:spacing w:after="0" w:line="259" w:lineRule="auto"/>
        <w:tabs>
          <w:tab w:leader="none" w:pos="2481"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76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5"/>
        <w:spacing w:after="0" w:line="255" w:lineRule="auto"/>
        <w:tabs>
          <w:tab w:leader="none" w:pos="167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Bylaws,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w:t>
      </w:r>
      <w:r>
        <w:rPr>
          <w:rFonts w:ascii="Arial" w:cs="Arial" w:eastAsia="Arial" w:hAnsi="Arial"/>
          <w:sz w:val="18"/>
          <w:szCs w:val="18"/>
          <w:b w:val="1"/>
          <w:bCs w:val="1"/>
          <w:i w:val="1"/>
          <w:iCs w:val="1"/>
          <w:color w:val="auto"/>
        </w:rPr>
        <w:t>Stockholder Associated Person</w:t>
      </w:r>
      <w:r>
        <w:rPr>
          <w:rFonts w:ascii="Arial" w:cs="Arial" w:eastAsia="Arial" w:hAnsi="Arial"/>
          <w:sz w:val="18"/>
          <w:szCs w:val="18"/>
          <w:color w:val="auto"/>
        </w:rPr>
        <w:t>” shall mean for any stockholder (i) any person controlling, directly or indirectly, or acting in concert with, such stockholder, (ii) any beneficial owner of shares of stock of the Corporation owned of record or beneficially by such stockholder, or (iii) any person controlling, controlled by or under common control with such person referred to in the preceding clauses (i) and (ii).</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7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2.9 Consents in Lieu of Meeting</w:t>
      </w:r>
      <w:r>
        <w:rPr>
          <w:rFonts w:ascii="Arial" w:cs="Arial" w:eastAsia="Arial" w:hAnsi="Arial"/>
          <w:sz w:val="18"/>
          <w:szCs w:val="18"/>
          <w:color w:val="auto"/>
        </w:rPr>
        <w:t>. Except as otherwise expressly provided by the terms of any series of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permitting the 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5" w:right="239" w:bottom="1440" w:gutter="0" w:footer="0" w:header="0"/>
        </w:sectPr>
      </w:pPr>
    </w:p>
    <w:bookmarkStart w:id="52" w:name="page53"/>
    <w:bookmarkEnd w:id="52"/>
    <w:p>
      <w:pPr>
        <w:jc w:val="both"/>
        <w:spacing w:after="0" w:line="284" w:lineRule="auto"/>
        <w:rPr>
          <w:sz w:val="20"/>
          <w:szCs w:val="20"/>
          <w:color w:val="auto"/>
        </w:rPr>
      </w:pPr>
      <w:r>
        <w:rPr>
          <w:rFonts w:ascii="Arial" w:cs="Arial" w:eastAsia="Arial" w:hAnsi="Arial"/>
          <w:sz w:val="16"/>
          <w:szCs w:val="16"/>
          <w:color w:val="auto"/>
        </w:rPr>
        <w:t xml:space="preserve">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 Delivery made to the Corporation’s registered office shall be made by hand or by certified or registered mail, return receipt requested. Notwithstanding the limitations on delivery in the previous sentence, consents given by electronic transmission 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17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Section 3.1 Powers</w:t>
      </w:r>
      <w:r>
        <w:rPr>
          <w:rFonts w:ascii="Arial" w:cs="Arial" w:eastAsia="Arial" w:hAnsi="Arial"/>
          <w:sz w:val="17"/>
          <w:szCs w:val="17"/>
          <w:color w:val="auto"/>
        </w:rPr>
        <w:t>. The business and affairs of the Corporation shall be managed by or under the direction of the Board,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158"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Advance Notice for Nomination of Directors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Only persons who are nominated in accordance with the following procedures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on the date of the giving of the notice provided for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who is entitled to vote in the election of directors at such meeting and (y) who complies with the notice procedures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1305"/>
        <w:spacing w:after="0" w:line="277" w:lineRule="auto"/>
        <w:tabs>
          <w:tab w:leader="none" w:pos="17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25" w:right="239" w:bottom="1440" w:gutter="0" w:footer="0" w:header="0"/>
        </w:sectPr>
      </w:pPr>
    </w:p>
    <w:bookmarkStart w:id="53" w:name="page54"/>
    <w:bookmarkEnd w:id="53"/>
    <w:p>
      <w:pPr>
        <w:jc w:val="both"/>
        <w:spacing w:after="0" w:line="285" w:lineRule="auto"/>
        <w:rPr>
          <w:sz w:val="20"/>
          <w:szCs w:val="20"/>
          <w:color w:val="auto"/>
        </w:rPr>
      </w:pPr>
      <w:r>
        <w:rPr>
          <w:rFonts w:ascii="Arial" w:cs="Arial" w:eastAsia="Arial" w:hAnsi="Arial"/>
          <w:sz w:val="16"/>
          <w:szCs w:val="16"/>
          <w:color w:val="auto"/>
        </w:rPr>
        <w:t xml:space="preserve">Corporation. To be timely, a stockholder’s notice to the Secretary must (x) comply with the provisions of this Section 3.2(b) and (y) be timely updated by the times and in the manner required by the provisions of Section 3.2(e).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Notwithstanding the previous sentence, for purposes of determining whether a stockholder’s notice shall have been received in a timely manner for the annual meeting of stockholders in 2013, to be timely, a stockholder’s notice must have been received not later than the close of business on March 4, 2013 nor earlier than the opening of business on February 1, 2013, provided, further, that if the 2013 annual meeting is held more than 30 days earlier or more than 60 days later than June 1, 2013,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or special meeting shall not commence a new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5" w:lineRule="exact"/>
        <w:rPr>
          <w:sz w:val="20"/>
          <w:szCs w:val="20"/>
          <w:color w:val="auto"/>
        </w:rPr>
      </w:pPr>
    </w:p>
    <w:p>
      <w:pPr>
        <w:jc w:val="both"/>
        <w:ind w:firstLine="1305"/>
        <w:spacing w:after="0" w:line="272" w:lineRule="auto"/>
        <w:tabs>
          <w:tab w:leader="none" w:pos="16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Notwithstanding anything in paragraph (b) to the contrary, if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77" w:lineRule="exact"/>
        <w:rPr>
          <w:rFonts w:ascii="Arial" w:cs="Arial" w:eastAsia="Arial" w:hAnsi="Arial"/>
          <w:sz w:val="17"/>
          <w:szCs w:val="17"/>
          <w:color w:val="auto"/>
        </w:rPr>
      </w:pPr>
    </w:p>
    <w:p>
      <w:pPr>
        <w:jc w:val="both"/>
        <w:ind w:firstLine="1305"/>
        <w:spacing w:after="0" w:line="268" w:lineRule="auto"/>
        <w:tabs>
          <w:tab w:leader="none" w:pos="17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of record or are directly or indirectly owned beneficially by the person, (D) any Derivative Instrument directly or indirectly owned beneficially by such nominee and any other direct or indirect opportunity to profit or share in any profit derived from any increase or decrease in the value of shares of the Corporation and (E)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address of such stockholder as they appear on the Corporation’s books, and the name and address of any Stockholder Associated Person, (B) the class or series and number of shares of capital stock of the Corporation that are owned of record or directly or indirectly owned beneficially by such Stockholder and any Stockholder Associated Person, (C) 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 (D)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(E) any short interest in any security of the Corporation held by such stockholder or any Stockholder Associated Person (for purposes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 person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25" w:right="239" w:bottom="1440" w:gutter="0" w:footer="0" w:header="0"/>
        </w:sectPr>
      </w:pPr>
    </w:p>
    <w:bookmarkStart w:id="54" w:name="page55"/>
    <w:bookmarkEnd w:id="54"/>
    <w:p>
      <w:pPr>
        <w:jc w:val="both"/>
        <w:spacing w:after="0" w:line="285" w:lineRule="auto"/>
        <w:rPr>
          <w:sz w:val="20"/>
          <w:szCs w:val="20"/>
          <w:color w:val="auto"/>
        </w:rPr>
      </w:pPr>
      <w:r>
        <w:rPr>
          <w:rFonts w:ascii="Arial" w:cs="Arial" w:eastAsia="Arial" w:hAnsi="Arial"/>
          <w:sz w:val="16"/>
          <w:szCs w:val="16"/>
          <w:color w:val="auto"/>
        </w:rPr>
        <w:t>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beneficially owned, directly or indirectly, by such stockholder or Stockholder Associated Person to dividends on the shares of the Corporation that are separated or separable from the underlying shares of the Corporation, (G)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(H)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(I) a description of all agreements, arrangements or understandings (written or oral) between or among such stockholder, any Stockholder Associated Person, any proposed nominee or any other person or persons (including their names) pursuant to which the nomination or nominations are to be made by such stockholder, (J) a representation that such stockholder intends to appear in person or by proxy at the meeting to nominate the persons named in its notice, (K) 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 (L) a description of all direct and indirect compensation and other material monetary agreements, arrangements and understandings during the past three years, and any other material relationships, between or among such stockholder or any Stockholder Associated Person, or others acting in concert therewith, on the one hand, and each proposed nominee, and his or her respective affiliates and associates, or others acting in concert therewith, on the other hand and (M) a statement of whether such stockholder or any Stockholder Associated Person intends, or is part of a group that intends, to solicit proxies for the election of the proposed nominee. Such notice must be accompanied by a written consent of each proposed nominee to being named as a nominee and to serve as a director if elected.</w:t>
      </w:r>
    </w:p>
    <w:p>
      <w:pPr>
        <w:spacing w:after="0" w:line="171" w:lineRule="exact"/>
        <w:rPr>
          <w:sz w:val="20"/>
          <w:szCs w:val="20"/>
          <w:color w:val="auto"/>
        </w:rPr>
      </w:pPr>
    </w:p>
    <w:p>
      <w:pPr>
        <w:jc w:val="both"/>
        <w:ind w:firstLine="1305"/>
        <w:spacing w:after="0" w:line="287" w:lineRule="auto"/>
        <w:tabs>
          <w:tab w:leader="none" w:pos="17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 stockholder providing notice of a director nomination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and if such information is not furnished within such time period, the notice of such director’s nomination shall not be considered to have been timely given for purposes of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305"/>
        <w:spacing w:after="0" w:line="255" w:lineRule="auto"/>
        <w:tabs>
          <w:tab w:leader="none" w:pos="16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procedures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If the Board or the chairman of the meeting of stockholders determines that any nomination was not made in accordance with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then such nomination shall not be considered at the meeting in question. Notwithstanding the foregoing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25" w:right="239" w:bottom="1440" w:gutter="0" w:footer="0" w:header="0"/>
        </w:sectPr>
      </w:pPr>
    </w:p>
    <w:bookmarkStart w:id="55" w:name="page56"/>
    <w:bookmarkEnd w:id="55"/>
    <w:p>
      <w:pPr>
        <w:jc w:val="both"/>
        <w:ind w:firstLine="1305"/>
        <w:spacing w:after="0" w:line="259" w:lineRule="auto"/>
        <w:tabs>
          <w:tab w:leader="none" w:pos="17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spacing w:after="0" w:line="18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3.3 Compensation</w:t>
      </w:r>
      <w:r>
        <w:rPr>
          <w:rFonts w:ascii="Arial" w:cs="Arial" w:eastAsia="Arial" w:hAnsi="Arial"/>
          <w:sz w:val="18"/>
          <w:szCs w:val="18"/>
          <w:color w:val="auto"/>
        </w:rPr>
        <w:t>. Unless otherwise restricted by the Certificate of Incorporation or these Bylaws,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fix the compensation of directors. The directors may be reimbursed their expenses, if any, of attendance at each meeting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BOARD MEETINGS</w:t>
      </w:r>
    </w:p>
    <w:p>
      <w:pPr>
        <w:spacing w:after="0" w:line="20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shall from time to time be determined by the Board.</w:t>
      </w:r>
    </w:p>
    <w:p>
      <w:pPr>
        <w:spacing w:after="0" w:line="16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 shall be called by the Chairman of the Board, Chief Executive Officer or Secretary on the written request of at least a majority of directors then in office, or the sole director, as the case may be, and shall be held at such time, date and place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4.4 Quorum; Required Vote</w:t>
      </w:r>
      <w:r>
        <w:rPr>
          <w:rFonts w:ascii="Arial" w:cs="Arial" w:eastAsia="Arial" w:hAnsi="Arial"/>
          <w:sz w:val="18"/>
          <w:szCs w:val="18"/>
          <w:color w:val="auto"/>
        </w:rPr>
        <w:t>. A majority of the Whole Board shall constitute a quorum for the transaction of business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8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 paper form if the minutes are maintained in paper form and shall be in electronic form if the minutes are maintained in electronic form.</w:t>
      </w:r>
    </w:p>
    <w:p>
      <w:pPr>
        <w:spacing w:after="0" w:line="22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Section 4.6 Organization</w:t>
      </w:r>
      <w:r>
        <w:rPr>
          <w:rFonts w:ascii="Arial" w:cs="Arial" w:eastAsia="Arial" w:hAnsi="Arial"/>
          <w:sz w:val="17"/>
          <w:szCs w:val="17"/>
          <w:color w:val="auto"/>
        </w:rPr>
        <w:t>. The Board shall elect a Chairman of the Board from among the directors. The chairman of each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COMMITTEES OF DIRECTORS</w:t>
      </w:r>
    </w:p>
    <w:p>
      <w:pPr>
        <w:spacing w:after="0" w:line="20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Section 5.1 Establishment</w:t>
      </w:r>
      <w:r>
        <w:rPr>
          <w:rFonts w:ascii="Arial" w:cs="Arial" w:eastAsia="Arial" w:hAnsi="Arial"/>
          <w:sz w:val="16"/>
          <w:szCs w:val="16"/>
          <w:color w:val="auto"/>
        </w:rPr>
        <w:t>. The Board may by resolution passed by a majority of the Whole Board designate one or more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4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5.3 Alternate Members</w:t>
      </w:r>
      <w:r>
        <w:rPr>
          <w:rFonts w:ascii="Arial" w:cs="Arial" w:eastAsia="Arial" w:hAnsi="Arial"/>
          <w:sz w:val="18"/>
          <w:szCs w:val="18"/>
          <w:color w:val="auto"/>
        </w:rPr>
        <w:t>. The Board may designate one or more directors as alternate members of any committee, who may</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any absent or disqualified member at any meeting of such committee.</w:t>
      </w:r>
    </w:p>
    <w:p>
      <w:pPr>
        <w:spacing w:after="0" w:line="16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160"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Section 6.1 Officers</w:t>
      </w:r>
      <w:r>
        <w:rPr>
          <w:rFonts w:ascii="Arial" w:cs="Arial" w:eastAsia="Arial" w:hAnsi="Arial"/>
          <w:sz w:val="18"/>
          <w:szCs w:val="18"/>
          <w:color w:val="auto"/>
        </w:rPr>
        <w:t>. The officers of the Corporation elected by the Board may include a Chief Executive Officer, a President,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Treasurer, a 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25" w:right="2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hold their offices for such terms as may be provided in these Bylaws or as may be prescribed by the Board or, if such officer has been appointed by the Chief Executive Officer or President, as may be prescribed by the appointing officer.</w:t>
      </w:r>
    </w:p>
    <w:p>
      <w:pPr>
        <w:spacing w:after="0" w:line="170" w:lineRule="exact"/>
        <w:rPr>
          <w:sz w:val="20"/>
          <w:szCs w:val="20"/>
          <w:color w:val="auto"/>
        </w:rPr>
      </w:pPr>
    </w:p>
    <w:p>
      <w:pPr>
        <w:jc w:val="both"/>
        <w:ind w:firstLine="1305"/>
        <w:spacing w:after="0" w:line="259" w:lineRule="auto"/>
        <w:tabs>
          <w:tab w:leader="none" w:pos="176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when present at all meetings of the stockholders and (if he or she shall be a director) of the Board.</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172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President</w:t>
      </w:r>
      <w:r>
        <w:rPr>
          <w:rFonts w:ascii="Arial" w:cs="Arial" w:eastAsia="Arial" w:hAnsi="Arial"/>
          <w:sz w:val="16"/>
          <w:szCs w:val="16"/>
          <w:color w:val="auto"/>
        </w:rPr>
        <w:t>. The President, if any, shall be subject to the direction and control of the Chief Executive Officer and the Board and shall have such powers and duties as the board of directors, or the Chief Executive Officer may assign to the President. If the absence (or inability or refusal to act) of the Chief Executive Officer, the President shall preside when present at all meetings of the stockholders and (if he or she shall be a director) of the Board.</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1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Specifically, Vice Presidents may include Executive Vice Presidents and Senior Vice Presidents.</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5" w:lineRule="auto"/>
        <w:tabs>
          <w:tab w:leader="none" w:pos="23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9" w:lineRule="exact"/>
        <w:rPr>
          <w:rFonts w:ascii="Arial" w:cs="Arial" w:eastAsia="Arial" w:hAnsi="Arial"/>
          <w:sz w:val="18"/>
          <w:szCs w:val="18"/>
          <w:color w:val="auto"/>
        </w:rPr>
      </w:pPr>
    </w:p>
    <w:p>
      <w:pPr>
        <w:jc w:val="both"/>
        <w:ind w:left="660" w:firstLine="1293"/>
        <w:spacing w:after="0" w:line="259" w:lineRule="auto"/>
        <w:tabs>
          <w:tab w:leader="none" w:pos="24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20" w:firstLine="1305"/>
        <w:spacing w:after="0" w:line="308" w:lineRule="auto"/>
        <w:tabs>
          <w:tab w:leader="none" w:pos="168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perform all duties commonly incident to that office (including, without limitation, the care and custody of the funds and securities of the Corporation which from time to time may come into the Treasurer’s hands and the deposit of the funds of the Corporation in such banks or trust companies as the Board, the Chief Executive Officer or the President may authorize).</w:t>
      </w:r>
    </w:p>
    <w:p>
      <w:pPr>
        <w:spacing w:after="0" w:line="181" w:lineRule="exact"/>
        <w:rPr>
          <w:rFonts w:ascii="Arial" w:cs="Arial" w:eastAsia="Arial" w:hAnsi="Arial"/>
          <w:sz w:val="18"/>
          <w:szCs w:val="18"/>
          <w:color w:val="auto"/>
        </w:rPr>
      </w:pPr>
    </w:p>
    <w:p>
      <w:pPr>
        <w:ind w:firstLine="1305"/>
        <w:spacing w:after="0" w:line="342" w:lineRule="auto"/>
        <w:tabs>
          <w:tab w:leader="none" w:pos="164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Assistant Treasurers</w:t>
      </w:r>
      <w:r>
        <w:rPr>
          <w:rFonts w:ascii="Arial" w:cs="Arial" w:eastAsia="Arial" w:hAnsi="Arial"/>
          <w:sz w:val="16"/>
          <w:szCs w:val="16"/>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20"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Section 6.2 Term of Office; Removal; Vacancies</w:t>
      </w:r>
      <w:r>
        <w:rPr>
          <w:rFonts w:ascii="Arial" w:cs="Arial" w:eastAsia="Arial" w:hAnsi="Arial"/>
          <w:sz w:val="18"/>
          <w:szCs w:val="18"/>
          <w:color w:val="auto"/>
        </w:rPr>
        <w:t>. The elected officers of the Corporation shall be elected annually by the Board at its</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meeting held after each annual meeting of stockholders. All officers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25" w:right="239" w:bottom="1440" w:gutter="0" w:footer="0" w:header="0"/>
        </w:sectPr>
      </w:pPr>
    </w:p>
    <w:bookmarkStart w:id="58" w:name="page59"/>
    <w:bookmarkEnd w:id="58"/>
    <w:p>
      <w:pPr>
        <w:jc w:val="both"/>
        <w:spacing w:after="0" w:line="293" w:lineRule="auto"/>
        <w:rPr>
          <w:sz w:val="20"/>
          <w:szCs w:val="20"/>
          <w:color w:val="auto"/>
        </w:rPr>
      </w:pPr>
      <w:r>
        <w:rPr>
          <w:rFonts w:ascii="Arial" w:cs="Arial" w:eastAsia="Arial" w:hAnsi="Arial"/>
          <w:sz w:val="16"/>
          <w:szCs w:val="16"/>
          <w:color w:val="auto"/>
        </w:rPr>
        <w:t>elected by the Board shall hold office until the next annual meeting of the Board and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6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agents or delegate the power to remove same, as it shall from time to time deem necessary or desirable.</w:t>
      </w:r>
    </w:p>
    <w:p>
      <w:pPr>
        <w:spacing w:after="0" w:line="162"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b w:val="1"/>
          <w:bCs w:val="1"/>
          <w:color w:val="auto"/>
        </w:rPr>
        <w:t>Section 6.4 Multiple Officeholders; Stockholder and Director Officers</w:t>
      </w:r>
      <w:r>
        <w:rPr>
          <w:rFonts w:ascii="Arial" w:cs="Arial" w:eastAsia="Arial" w:hAnsi="Arial"/>
          <w:sz w:val="17"/>
          <w:szCs w:val="17"/>
          <w:color w:val="auto"/>
        </w:rPr>
        <w:t>. Any number of offices may be held by the same person,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or these Bylaws otherwise provide. Officers need not be stockholders or residents of the State of Delaware.</w:t>
      </w:r>
    </w:p>
    <w:p>
      <w:pPr>
        <w:spacing w:after="0" w:line="13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SHARES</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shall be represented by certificates,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representing the number of shares registered in certificate form. The Corporation shall not have power to issue a certificate representing shares in bearer form.</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of any class, the Corporation shall (a) 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(a) the Chief Executive Officer</w:t>
      </w:r>
      <w:r>
        <w:rPr>
          <w:rFonts w:ascii="Arial" w:cs="Arial" w:eastAsia="Arial" w:hAnsi="Arial"/>
          <w:sz w:val="16"/>
          <w:szCs w:val="16"/>
          <w:b w:val="1"/>
          <w:bCs w:val="1"/>
          <w:color w:val="auto"/>
        </w:rPr>
        <w:t>,</w:t>
      </w:r>
      <w:r>
        <w:rPr>
          <w:rFonts w:ascii="Arial" w:cs="Arial" w:eastAsia="Arial" w:hAnsi="Arial"/>
          <w:sz w:val="16"/>
          <w:szCs w:val="16"/>
          <w:color w:val="auto"/>
        </w:rPr>
        <w:t xml:space="preserve">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5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Consideration and Payment for Shares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property or benefit to the Corporation including cash, promissory notes, services performed, contracts for services to be performed or other securities.</w:t>
      </w:r>
    </w:p>
    <w:p>
      <w:pPr>
        <w:spacing w:after="0" w:line="237" w:lineRule="exact"/>
        <w:rPr>
          <w:sz w:val="20"/>
          <w:szCs w:val="20"/>
          <w:color w:val="auto"/>
        </w:rPr>
      </w:pPr>
    </w:p>
    <w:p>
      <w:pPr>
        <w:jc w:val="both"/>
        <w:ind w:firstLine="1305"/>
        <w:spacing w:after="0" w:line="302" w:lineRule="auto"/>
        <w:tabs>
          <w:tab w:leader="none" w:pos="17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6"/>
          <w:szCs w:val="16"/>
          <w:b w:val="1"/>
          <w:bCs w:val="1"/>
          <w:color w:val="auto"/>
        </w:rPr>
        <w:t>Lost, Destroyed or Wrongfully Taken Certificates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3" w:lineRule="exact"/>
        <w:rPr>
          <w:rFonts w:ascii="Arial" w:cs="Arial" w:eastAsia="Arial" w:hAnsi="Arial"/>
          <w:sz w:val="18"/>
          <w:szCs w:val="18"/>
          <w:color w:val="auto"/>
        </w:rPr>
      </w:pPr>
    </w:p>
    <w:p>
      <w:pPr>
        <w:jc w:val="both"/>
        <w:ind w:firstLine="1305"/>
        <w:spacing w:after="0" w:line="279" w:lineRule="auto"/>
        <w:tabs>
          <w:tab w:leader="none" w:pos="18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Transfer of Stock</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9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1" w:lineRule="exact"/>
        <w:rPr>
          <w:rFonts w:ascii="Arial" w:cs="Arial" w:eastAsia="Arial" w:hAnsi="Arial"/>
          <w:sz w:val="18"/>
          <w:szCs w:val="18"/>
          <w:color w:val="auto"/>
        </w:rPr>
      </w:pPr>
    </w:p>
    <w:p>
      <w:pPr>
        <w:ind w:left="2300" w:hanging="347"/>
        <w:spacing w:after="0"/>
        <w:tabs>
          <w:tab w:leader="none" w:pos="2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4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with respect to certificated shares, the indorsement is made by the person specified by the certificate as entitled to such shares; (B) 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w:t>
      </w:r>
    </w:p>
    <w:p>
      <w:pPr>
        <w:spacing w:after="0" w:line="186" w:lineRule="exact"/>
        <w:rPr>
          <w:rFonts w:ascii="Arial" w:cs="Arial" w:eastAsia="Arial" w:hAnsi="Arial"/>
          <w:sz w:val="18"/>
          <w:szCs w:val="18"/>
          <w:color w:val="auto"/>
        </w:rPr>
      </w:pPr>
    </w:p>
    <w:p>
      <w:pPr>
        <w:ind w:left="660" w:right="20" w:firstLine="1293"/>
        <w:spacing w:after="0" w:line="277" w:lineRule="auto"/>
        <w:tabs>
          <w:tab w:leader="none" w:pos="246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indorsement or instruction or such other reasonable assurance that the indorsement or instruction is genuine and authorized as the Corporation may request;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transfer does not violate any restriction on transfer imposed by the Corporation that is enforceable in accordance with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2340" w:hanging="387"/>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ind w:firstLine="1305"/>
        <w:spacing w:after="0" w:line="277"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Whenever any transfer of shares shall be made for collateral security and not absolutely, the Corporation shall so record such fact in the entry of transfer if, when the certificate for such shares is presented 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5" w:right="2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Corporation for transfer or, if such shares are uncertificated, when the instruction for registration of transfer thereof is presented to the Corporation, both the transferor and transferee request the Corporation to do so.</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color w:val="auto"/>
        </w:rPr>
        <w:t>Effect of the Corporation’s Restriction on Transfer</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6" w:lineRule="auto"/>
        <w:tabs>
          <w:tab w:leader="none" w:pos="17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72" w:lineRule="exact"/>
        <w:rPr>
          <w:rFonts w:ascii="Arial" w:cs="Arial" w:eastAsia="Arial" w:hAnsi="Arial"/>
          <w:sz w:val="17"/>
          <w:szCs w:val="17"/>
          <w:color w:val="auto"/>
        </w:rPr>
      </w:pPr>
    </w:p>
    <w:p>
      <w:pPr>
        <w:jc w:val="both"/>
        <w:ind w:firstLine="1305"/>
        <w:spacing w:after="0" w:line="257" w:lineRule="auto"/>
        <w:tabs>
          <w:tab w:leader="none" w:pos="16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Section 8.1 Right to Indemnification</w:t>
      </w:r>
      <w:r>
        <w:rPr>
          <w:rFonts w:ascii="Arial" w:cs="Arial" w:eastAsia="Arial" w:hAnsi="Arial"/>
          <w:sz w:val="17"/>
          <w:szCs w:val="17"/>
          <w:color w:val="auto"/>
        </w:rPr>
        <w:t>. Each person who was or is made a party or is threatened to be made a party to or is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involved in any threatened, pending or completed action, suit or proceeding, whether civil, criminal, administrative or investigative (hereinafter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 “</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xml:space="preserv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permitted by applicable law, as the same exists or may hereafter be amended, against all expenses, liability and loss (including, without limitation, attorneys’ fees, judgments, fines, ERISA excise taxes and penalties and amounts paid in settlement) reasonably incurred or suffered by such Covered Person in connection with such proceeding; provided, however, that, except as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with respect to proceedings to enforce rights to indemnification and advancement of expenses, the Corporation shall indemnify a Covered Person in connection with a proceeding (or part thereof) initiated by such Covered Person only if such proceeding (or part thereof) was authorized by the Board.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5" w:right="239" w:bottom="1440" w:gutter="0" w:footer="0" w:header="0"/>
        </w:sectPr>
      </w:pPr>
    </w:p>
    <w:bookmarkStart w:id="61" w:name="page62"/>
    <w:bookmarkEnd w:id="61"/>
    <w:p>
      <w:pPr>
        <w:jc w:val="both"/>
        <w:ind w:firstLine="1297"/>
        <w:spacing w:after="0" w:line="291" w:lineRule="auto"/>
        <w:rPr>
          <w:sz w:val="20"/>
          <w:szCs w:val="20"/>
          <w:color w:val="auto"/>
        </w:rPr>
      </w:pPr>
      <w:r>
        <w:rPr>
          <w:rFonts w:ascii="Arial" w:cs="Arial" w:eastAsia="Arial" w:hAnsi="Arial"/>
          <w:sz w:val="16"/>
          <w:szCs w:val="16"/>
          <w:b w:val="1"/>
          <w:bCs w:val="1"/>
          <w:color w:val="auto"/>
        </w:rPr>
        <w:t>Section 8.2 Right to Advancement of Expenses</w:t>
      </w:r>
      <w:r>
        <w:rPr>
          <w:rFonts w:ascii="Arial" w:cs="Arial" w:eastAsia="Arial" w:hAnsi="Arial"/>
          <w:sz w:val="16"/>
          <w:szCs w:val="16"/>
          <w:color w:val="auto"/>
        </w:rPr>
        <w:t>. In addition to the right to indemnification conferred in Section 8.1, a Covered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also have the right to be paid by the Corporation the expenses (including, without limitation, attorneys’ fees) incurred in defending, testifying, or otherwise participating in any such proceeding in advance of its final disposition (hereinafter an “</w:t>
      </w:r>
      <w:r>
        <w:rPr>
          <w:rFonts w:ascii="Arial" w:cs="Arial" w:eastAsia="Arial" w:hAnsi="Arial"/>
          <w:sz w:val="16"/>
          <w:szCs w:val="16"/>
          <w:b w:val="1"/>
          <w:bCs w:val="1"/>
          <w:i w:val="1"/>
          <w:iCs w:val="1"/>
          <w:color w:val="auto"/>
        </w:rPr>
        <w:t>advancement of expenses</w:t>
      </w:r>
      <w:r>
        <w:rPr>
          <w:rFonts w:ascii="Arial" w:cs="Arial" w:eastAsia="Arial" w:hAnsi="Arial"/>
          <w:sz w:val="16"/>
          <w:szCs w:val="16"/>
          <w:color w:val="auto"/>
        </w:rPr>
        <w:t>”); provided, however, that, if the Delaware General Corporation Law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Covered Person,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xml:space="preserve">”) that such Covered Person is not entitled to be indemnified for such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w:t>
      </w:r>
    </w:p>
    <w:p>
      <w:pPr>
        <w:spacing w:after="0" w:line="16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Covered Persons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 that any Covered Person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w:t>
      </w:r>
      <w:r>
        <w:rPr>
          <w:rFonts w:ascii="Arial" w:cs="Arial" w:eastAsia="Arial" w:hAnsi="Arial"/>
          <w:sz w:val="17"/>
          <w:szCs w:val="17"/>
          <w:b w:val="1"/>
          <w:bCs w:val="1"/>
          <w:color w:val="auto"/>
        </w:rPr>
        <w:t xml:space="preserve"> </w:t>
      </w:r>
      <w:r>
        <w:rPr>
          <w:rFonts w:ascii="Arial" w:cs="Arial" w:eastAsia="Arial" w:hAnsi="Arial"/>
          <w:sz w:val="17"/>
          <w:szCs w:val="17"/>
          <w:color w:val="auto"/>
        </w:rPr>
        <w:t>agent of the Corporation or another corporation, partnership, joint venture, trust, other enterprise or nonprofit entity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permitted by law to indemnify and to advance expenses to persons other than Covered Persons.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Covered Persons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1" w:right="239" w:bottom="1440" w:gutter="0" w:footer="0" w:header="0"/>
        </w:sectPr>
      </w:pPr>
    </w:p>
    <w:bookmarkStart w:id="62" w:name="page63"/>
    <w:bookmarkEnd w:id="62"/>
    <w:p>
      <w:pPr>
        <w:jc w:val="both"/>
        <w:ind w:firstLine="1297"/>
        <w:spacing w:after="0" w:line="298" w:lineRule="auto"/>
        <w:rPr>
          <w:sz w:val="20"/>
          <w:szCs w:val="20"/>
          <w:color w:val="auto"/>
        </w:rPr>
      </w:pPr>
      <w:r>
        <w:rPr>
          <w:rFonts w:ascii="Arial" w:cs="Arial" w:eastAsia="Arial" w:hAnsi="Arial"/>
          <w:sz w:val="16"/>
          <w:szCs w:val="16"/>
          <w:b w:val="1"/>
          <w:bCs w:val="1"/>
          <w:color w:val="auto"/>
        </w:rPr>
        <w:t>Section 8.7 Amendments</w:t>
      </w:r>
      <w:r>
        <w:rPr>
          <w:rFonts w:ascii="Arial" w:cs="Arial" w:eastAsia="Arial" w:hAnsi="Arial"/>
          <w:sz w:val="16"/>
          <w:szCs w:val="16"/>
          <w:color w:val="auto"/>
        </w:rPr>
        <w:t>. Any repeal or amendment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or the stockholders of the 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changes in applicable law, or the adoption of any other provision of these Bylaws inconsistent with this </w:t>
      </w:r>
      <w:r>
        <w:rPr>
          <w:rFonts w:ascii="Arial" w:cs="Arial" w:eastAsia="Arial" w:hAnsi="Arial"/>
          <w:sz w:val="16"/>
          <w:szCs w:val="16"/>
          <w:u w:val="single" w:color="auto"/>
          <w:color w:val="auto"/>
        </w:rPr>
        <w:t>Article VIII</w:t>
      </w:r>
      <w:r>
        <w:rPr>
          <w:rFonts w:ascii="Arial" w:cs="Arial" w:eastAsia="Arial" w:hAnsi="Arial"/>
          <w:sz w:val="16"/>
          <w:szCs w:val="16"/>
          <w:color w:val="auto"/>
        </w:rPr>
        <w:t>,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5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8.8 Certain Definitions</w:t>
      </w:r>
      <w:r>
        <w:rPr>
          <w:rFonts w:ascii="Arial" w:cs="Arial" w:eastAsia="Arial" w:hAnsi="Arial"/>
          <w:sz w:val="18"/>
          <w:szCs w:val="18"/>
          <w:color w:val="auto"/>
        </w:rPr>
        <w:t>.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(a) references to “other enterprise” shall include any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Covered Persons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(a) shall be contract rights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good and valuable consideration, pursuant to which a Covered Person may bring suit as if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Article VIII, (d) shall continue as to a Covered Person who has ceased to be a director or officer of the Corporation and (e) shall inure to the benefit of the Covered Person’s heirs, executors and administrators.</w:t>
      </w:r>
    </w:p>
    <w:p>
      <w:pPr>
        <w:spacing w:after="0" w:line="18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 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18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0" w:lineRule="auto"/>
        <w:tabs>
          <w:tab w:leader="none" w:pos="17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21"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 xml:space="preserve">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at the adjourned meeting.</w:t>
      </w:r>
    </w:p>
    <w:p>
      <w:pPr>
        <w:spacing w:after="0" w:line="181" w:lineRule="exact"/>
        <w:rPr>
          <w:sz w:val="20"/>
          <w:szCs w:val="20"/>
          <w:color w:val="auto"/>
        </w:rPr>
      </w:pPr>
    </w:p>
    <w:p>
      <w:pPr>
        <w:jc w:val="both"/>
        <w:ind w:firstLine="1305"/>
        <w:spacing w:after="0" w:line="276" w:lineRule="auto"/>
        <w:tabs>
          <w:tab w:leader="none" w:pos="17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rFonts w:ascii="Arial" w:cs="Arial" w:eastAsia="Arial" w:hAnsi="Arial"/>
          <w:sz w:val="17"/>
          <w:szCs w:val="17"/>
          <w:color w:val="auto"/>
        </w:rPr>
      </w:pPr>
    </w:p>
    <w:p>
      <w:pPr>
        <w:jc w:val="both"/>
        <w:ind w:firstLine="1305"/>
        <w:spacing w:after="0" w:line="289" w:lineRule="auto"/>
        <w:tabs>
          <w:tab w:leader="none" w:pos="170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spacing w:after="0" w:line="163"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Means of Giving Notice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9" w:lineRule="auto"/>
        <w:tabs>
          <w:tab w:leader="none" w:pos="169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 to Directors</w:t>
      </w:r>
      <w:r>
        <w:rPr>
          <w:rFonts w:ascii="Arial" w:cs="Arial" w:eastAsia="Arial" w:hAnsi="Arial"/>
          <w:sz w:val="17"/>
          <w:szCs w:val="17"/>
          <w:color w:val="auto"/>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82" w:lineRule="exact"/>
        <w:rPr>
          <w:rFonts w:ascii="Arial" w:cs="Arial" w:eastAsia="Arial" w:hAnsi="Arial"/>
          <w:sz w:val="17"/>
          <w:szCs w:val="17"/>
          <w:color w:val="auto"/>
        </w:rPr>
      </w:pPr>
    </w:p>
    <w:p>
      <w:pPr>
        <w:jc w:val="both"/>
        <w:ind w:firstLine="1305"/>
        <w:spacing w:after="0" w:line="270" w:lineRule="auto"/>
        <w:tabs>
          <w:tab w:leader="none" w:pos="168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 to Stockholders</w:t>
      </w:r>
      <w:r>
        <w:rPr>
          <w:rFonts w:ascii="Arial" w:cs="Arial" w:eastAsia="Arial" w:hAnsi="Arial"/>
          <w:sz w:val="17"/>
          <w:szCs w:val="17"/>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25" w:right="239" w:bottom="1440" w:gutter="0" w:footer="0" w:header="0"/>
        </w:sectPr>
      </w:pPr>
    </w:p>
    <w:bookmarkStart w:id="64" w:name="page65"/>
    <w:bookmarkEnd w:id="64"/>
    <w:p>
      <w:pPr>
        <w:jc w:val="both"/>
        <w:spacing w:after="0" w:line="290" w:lineRule="auto"/>
        <w:rPr>
          <w:sz w:val="20"/>
          <w:szCs w:val="20"/>
          <w:color w:val="auto"/>
        </w:rPr>
      </w:pPr>
      <w:r>
        <w:rPr>
          <w:rFonts w:ascii="Arial" w:cs="Arial" w:eastAsia="Arial" w:hAnsi="Arial"/>
          <w:sz w:val="16"/>
          <w:szCs w:val="16"/>
          <w:color w:val="auto"/>
        </w:rPr>
        <w:t>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66" w:lineRule="exact"/>
        <w:rPr>
          <w:sz w:val="20"/>
          <w:szCs w:val="20"/>
          <w:color w:val="auto"/>
        </w:rPr>
      </w:pPr>
    </w:p>
    <w:p>
      <w:pPr>
        <w:jc w:val="both"/>
        <w:ind w:firstLine="1305"/>
        <w:spacing w:after="0" w:line="259" w:lineRule="auto"/>
        <w:tabs>
          <w:tab w:leader="none" w:pos="18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65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75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Exceptions to Notice Requirements</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6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w:t>
      </w:r>
      <w:r>
        <w:rPr>
          <w:rFonts w:ascii="MS PGothic" w:cs="MS PGothic" w:eastAsia="MS PGothic" w:hAnsi="MS PGothic"/>
          <w:sz w:val="16"/>
          <w:szCs w:val="16"/>
          <w:color w:val="auto"/>
        </w:rPr>
        <w:t>‑</w:t>
      </w:r>
      <w:r>
        <w:rPr>
          <w:rFonts w:ascii="Arial" w:cs="Arial" w:eastAsia="Arial" w:hAnsi="Arial"/>
          <w:sz w:val="16"/>
          <w:szCs w:val="16"/>
          <w:color w:val="auto"/>
        </w:rPr>
        <w:t>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20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9.4 Waiver of Notice</w:t>
      </w:r>
      <w:r>
        <w:rPr>
          <w:rFonts w:ascii="Arial" w:cs="Arial" w:eastAsia="Arial" w:hAnsi="Arial"/>
          <w:sz w:val="18"/>
          <w:szCs w:val="18"/>
          <w:color w:val="auto"/>
        </w:rPr>
        <w:t>. Whenever any notice is required to be given under applicable law, the Certificate of Incorporation,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 written waiver of such notice, signed before or after the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25" w:right="2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83"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color w:val="auto"/>
        </w:rPr>
        <w:t>Meeting Attendance via Remote Communication Equipment</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08" w:lineRule="auto"/>
        <w:tabs>
          <w:tab w:leader="none" w:pos="173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Stockholder Meetings</w:t>
      </w:r>
      <w:r>
        <w:rPr>
          <w:rFonts w:ascii="Arial" w:cs="Arial" w:eastAsia="Arial" w:hAnsi="Arial"/>
          <w:sz w:val="17"/>
          <w:szCs w:val="17"/>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146" w:lineRule="exact"/>
        <w:rPr>
          <w:rFonts w:ascii="Arial" w:cs="Arial" w:eastAsia="Arial" w:hAnsi="Arial"/>
          <w:sz w:val="17"/>
          <w:szCs w:val="17"/>
          <w:color w:val="auto"/>
        </w:rPr>
      </w:pPr>
    </w:p>
    <w:p>
      <w:pPr>
        <w:ind w:left="2300" w:hanging="347"/>
        <w:spacing w:after="0"/>
        <w:tabs>
          <w:tab w:leader="none" w:pos="2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left="660" w:firstLine="1293"/>
        <w:spacing w:after="0" w:line="272" w:lineRule="auto"/>
        <w:tabs>
          <w:tab w:leader="none" w:pos="2379" w:val="left"/>
        </w:tabs>
        <w:numPr>
          <w:ilvl w:val="1"/>
          <w:numId w:val="47"/>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jc w:val="both"/>
        <w:ind w:firstLine="1305"/>
        <w:spacing w:after="0" w:line="257" w:lineRule="auto"/>
        <w:tabs>
          <w:tab w:leader="none" w:pos="176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9.6 Dividends</w:t>
      </w:r>
      <w:r>
        <w:rPr>
          <w:rFonts w:ascii="Arial" w:cs="Arial" w:eastAsia="Arial" w:hAnsi="Arial"/>
          <w:sz w:val="18"/>
          <w:szCs w:val="18"/>
          <w:color w:val="auto"/>
        </w:rPr>
        <w:t>. The Board may from time to time declare, and the Corporation may pay, dividends (payable in cash,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Corporation’s capital stock) on the Corporation’s outstanding shares of capital stock, subject to applicable law and the Certificate of Incorporation.</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proper purpose and may abolish any such reserve.</w:t>
      </w:r>
    </w:p>
    <w:p>
      <w:pPr>
        <w:spacing w:after="0" w:line="16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8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9.9</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the Board.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66" w:name="page67"/>
    <w:bookmarkEnd w:id="66"/>
    <w:p>
      <w:pPr>
        <w:jc w:val="both"/>
        <w:ind w:firstLine="1297"/>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causing it or a facsimile thereof to be impressed, affixed or otherwise reproduced.</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place or places as may from time to time be designated by the Board.</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the Chief Executive Officer,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18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Section 9.13 Surety Bonds</w:t>
      </w:r>
      <w:r>
        <w:rPr>
          <w:rFonts w:ascii="Arial" w:cs="Arial" w:eastAsia="Arial" w:hAnsi="Arial"/>
          <w:sz w:val="16"/>
          <w:szCs w:val="16"/>
          <w:color w:val="auto"/>
        </w:rPr>
        <w:t>. Such officers, employees and agents of the Corporation (if any) as the Chief Executive Officer,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 or the Board may determine. The premiums on such bonds shall be paid by the Corporation and the bonds so furnished shall be in the custody of the Secretary.</w:t>
      </w:r>
    </w:p>
    <w:p>
      <w:pPr>
        <w:spacing w:after="0" w:line="15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Section 9.14 Securities of Other Corporations</w:t>
      </w:r>
      <w:r>
        <w:rPr>
          <w:rFonts w:ascii="Arial" w:cs="Arial" w:eastAsia="Arial" w:hAnsi="Arial"/>
          <w:sz w:val="16"/>
          <w:szCs w:val="16"/>
          <w:color w:val="auto"/>
        </w:rPr>
        <w:t>. Powers of attorney, proxies, waivers of notice of meeting, consents in writing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relating to securities owned by the Corporation may be executed in the name of and on behalf of the Corporation by the Chief Executive Officer, President or any Vice President.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Bylaws. The affirmative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66⅔% of the voting power of all outstanding shares of capital stock of the Corporation entitled to vote generally in the election of directors, voting together as a single class, shall be required for the stockholders to adopt, amend, alter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color w:val="auto"/>
        </w:rPr>
        <w:t>REGISTRATION RIGHTS AGREEMENT</w:t>
      </w:r>
    </w:p>
    <w:p>
      <w:pPr>
        <w:sectPr>
          <w:pgSz w:w="11900" w:h="16838" w:orient="portrait"/>
          <w:cols w:equalWidth="0" w:num="1">
            <w:col w:w="9019"/>
          </w:cols>
          <w:pgMar w:left="1440" w:top="530" w:right="1440" w:bottom="1440" w:gutter="0" w:footer="0" w:header="0"/>
        </w:sect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October 11, 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DIAMONDBACK ENERGY,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DB ENERGY HOLDINGS LLC</w:t>
      </w:r>
    </w:p>
    <w:p>
      <w:pPr>
        <w:sectPr>
          <w:pgSz w:w="11900" w:h="16838" w:orient="portrait"/>
          <w:cols w:equalWidth="0" w:num="1">
            <w:col w:w="9019"/>
          </w:cols>
          <w:pgMar w:left="1440" w:top="530" w:right="1440"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60" w:type="dxa"/>
            <w:vAlign w:val="bottom"/>
            <w:gridSpan w:val="2"/>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10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91"/>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Definitions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Demand Registrations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Piggyback Registrations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Obligations of the Company</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5.</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Registration Expenses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6.</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Indemnification</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Rules 144 and 144A</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Underwritten Registrations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Covenants of Holders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Section 10.</w:t>
            </w:r>
          </w:p>
        </w:tc>
        <w:tc>
          <w:tcPr>
            <w:tcW w:w="3040" w:type="dxa"/>
            <w:vAlign w:val="bottom"/>
          </w:tcPr>
          <w:p>
            <w:pPr>
              <w:ind w:left="300"/>
              <w:spacing w:after="0"/>
              <w:rPr>
                <w:sz w:val="20"/>
                <w:szCs w:val="20"/>
                <w:color w:val="auto"/>
              </w:rPr>
            </w:pPr>
            <w:r>
              <w:rPr>
                <w:rFonts w:ascii="Arial" w:cs="Arial" w:eastAsia="Arial" w:hAnsi="Arial"/>
                <w:sz w:val="18"/>
                <w:szCs w:val="18"/>
                <w:b w:val="1"/>
                <w:bCs w:val="1"/>
                <w:color w:val="auto"/>
              </w:rPr>
              <w:t>Miscellaneous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80"/>
          </w:cols>
          <w:pgMar w:left="280" w:top="68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3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REGISTRATION RIGHTS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October 11, 2012, by and between Diamondback Energy,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DB Energy Holdings LLC, a Delaware limited liability company (the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w:t>
      </w:r>
    </w:p>
    <w:p>
      <w:pPr>
        <w:spacing w:after="0" w:line="12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in December 2011 in contemplation of an initial public offering of common stock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Offering</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Stockholder was issued 14,697,496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(as defined below), all of which were validly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fully paid and non-assessable, in the Merger (as defined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enter into this Agreement to govern certain of their rights, duties and obligations relating to registration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Registrable Securities (as defined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for good, valuable and binding consideration, the receipt and sufficiency of which are hereby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intending to be legally bound hereby, now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AGREEMENT</w:t>
      </w:r>
    </w:p>
    <w:p>
      <w:pPr>
        <w:spacing w:after="0" w:line="252"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meanings set forth below:</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 Person that directly or indirectly, through one or more intermediaries, Controls, is Controlled by, or is under common Control with the specified Person.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 or any other United States federal agency at the time administering the Securities Act.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Company’s common stock, par value $0.01 per share, or any other shares of capital stock or other securities of the Company into which such shares of Common Stock shall be reclassified or changed, including by reason of a merger, consolidation, reorganization or recapitalization. If the Common Stock has been so reclassified or changed, or if the Company pays a dividend or makes a distribution on the Common Stock in shares of capital stock, or subdivides (or combines) its outstanding shares of Common Stock into a greater (or smaller) number of shares of Common Stock, a share of Common Stock shall be deemed to be such number of shares of stock and amount of other securities to which a holder of a share of Common Stock outstanding immediately prior to such change, reclassification, exchange, dividend, distribution, subdivision or combination would be entitled.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Offering</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refer to the possession, directly or indirectly, of the power to direct or cause the direction of the management or policies of a Person, whether through the ownership of voting securities, any equity interest, or a membership interest in a non-stock corporation; by contract; by power granted in bylaws or similar governing documents; or otherwise. Without limiting the foregoing, any ownership interest greater than fifty percent (50%) for purposes hereof constitutes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Delay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 and the rules and regulations of the Commission thereunder.</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Gulfport Investor Rights Agreement</w:t>
      </w:r>
      <w:r>
        <w:rPr>
          <w:rFonts w:ascii="Arial" w:cs="Arial" w:eastAsia="Arial" w:hAnsi="Arial"/>
          <w:sz w:val="18"/>
          <w:szCs w:val="18"/>
          <w:color w:val="auto"/>
        </w:rPr>
        <w:t>” means that certain Investor Rights Agreement by and between the Company and Gulfport Energy Corporation dated as of the date hereof.</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means a person who owns Registrable Securities and is either (i) a Stockholder or a Permitted Transferee of a Stockholder that has agreed to be bound by the terms of this Agreement as if such Person were a Stockholder, (ii) upon the death of any Holder, the executor of the estate of such Holder or such Holder’s heirs, devisees, legatees or assigns or (iii) upon the disability of any Holder, any guardian or conservator of such Holder.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Interruption Period</w:t>
      </w:r>
      <w:r>
        <w:rPr>
          <w:rFonts w:ascii="Arial" w:cs="Arial" w:eastAsia="Arial" w:hAnsi="Arial"/>
          <w:sz w:val="18"/>
          <w:szCs w:val="18"/>
          <w:color w:val="auto"/>
        </w:rPr>
        <w:t xml:space="preserve">” has the meaning set forth in the last paragraph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means the merger contemplated by the Merger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Merger Agreement by and between the Company and Diamondback Energy LLC (“</w:t>
      </w:r>
      <w:r>
        <w:rPr>
          <w:rFonts w:ascii="Arial" w:cs="Arial" w:eastAsia="Arial" w:hAnsi="Arial"/>
          <w:sz w:val="18"/>
          <w:szCs w:val="18"/>
          <w:b w:val="1"/>
          <w:bCs w:val="1"/>
          <w:i w:val="1"/>
          <w:iCs w:val="1"/>
          <w:color w:val="auto"/>
        </w:rPr>
        <w:t>Diamondback LLC</w:t>
      </w:r>
      <w:r>
        <w:rPr>
          <w:rFonts w:ascii="Arial" w:cs="Arial" w:eastAsia="Arial" w:hAnsi="Arial"/>
          <w:sz w:val="18"/>
          <w:szCs w:val="18"/>
          <w:color w:val="auto"/>
        </w:rPr>
        <w:t>”) dated as of October 11, 2012, pursuant to which Diamondback LLC was merged with and into the Company with the Company continuing as the surviving corporation.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Misstatement/Omission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xml:space="preserve">” means any Person to whom the rights under this Agreement have been assigned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10(d)</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partnership, firm, association, trust, government, governmental agency, limited liability company or any other entity, whether acting in an individual, fiduciary or other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prospectus included in any Registration Statement,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means (i) the Shares, (ii) any other shares of Common Stock that may be acquired by a Holder prior to, in or after the closing of the Common Stock Offering and (iii) any shares of Common Stock issuable pursuant to any rights to acquire Common Stock held by a Holder prior to or after the closing of the Common Stock Offering. If as a result of any reclassification, stock dividends or stock splits or in connection with a combination of shares, recapitalization, merger, consolidation or other reorganization or other transaction or event, any capital stock, evidence of indebtedness, warrants, options, rights or other securities (collectively “</w:t>
      </w:r>
      <w:r>
        <w:rPr>
          <w:rFonts w:ascii="Arial" w:cs="Arial" w:eastAsia="Arial" w:hAnsi="Arial"/>
          <w:sz w:val="17"/>
          <w:szCs w:val="17"/>
          <w:b w:val="1"/>
          <w:bCs w:val="1"/>
          <w:i w:val="1"/>
          <w:iCs w:val="1"/>
          <w:color w:val="auto"/>
        </w:rPr>
        <w:t>Other Securities</w:t>
      </w:r>
      <w:r>
        <w:rPr>
          <w:rFonts w:ascii="Arial" w:cs="Arial" w:eastAsia="Arial" w:hAnsi="Arial"/>
          <w:sz w:val="17"/>
          <w:szCs w:val="17"/>
          <w:color w:val="auto"/>
        </w:rPr>
        <w:t>”) are issued or transferred to a Holder in respect of Registrable Securities held by the Holder, references herein to Registrable Securities shall be deemed to include such Other Securities. As to any particular Registrable Securities, such securities will cease to be Registrable Securities when (i) they have been distributed to the public pursuant to an offering registered under the Securities Act, or may legally be distributed to the public in one transaction pursuant to Rule 144 under the Securities Act, (ii) they have been distributed to the public pursuant to Rule 144 (or any successor provision) under the Securities Act, or (iii) they have been sold to any Person to whom the rights under this Agreement are not assigned in accordance with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71" w:name="page72"/>
    <w:bookmarkEnd w:id="71"/>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any registration statement under the Securities Act of the Company that covers any of the Registrable Securities, including the related Prospectus, amendments and supplements to such registration statement or Prospectus, including pre- and post-effective amendments, all exhibits, and all materials incorporated by reference or deemed to be incorporated by reference in such registration statement or Prospectus.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has the meaning set forth in the introductory paragraph of this Agreement.</w:t>
      </w:r>
    </w:p>
    <w:p>
      <w:pPr>
        <w:spacing w:after="0" w:line="22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b w:val="1"/>
          <w:bCs w:val="1"/>
          <w:color w:val="auto"/>
        </w:rPr>
        <w:t>Demand Registrations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9" w:lineRule="auto"/>
        <w:tabs>
          <w:tab w:leader="none" w:pos="1744"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Right to Demand</w:t>
      </w:r>
      <w:r>
        <w:rPr>
          <w:rFonts w:ascii="Arial" w:cs="Arial" w:eastAsia="Arial" w:hAnsi="Arial"/>
          <w:sz w:val="16"/>
          <w:szCs w:val="16"/>
          <w:color w:val="auto"/>
        </w:rPr>
        <w:t>. Upon the terms and subject to the conditions of this Agreement, Holders of at least a majority of the aggregate amount of outstanding Registrable Securities shall have the right, by written notice (the “</w:t>
      </w:r>
      <w:r>
        <w:rPr>
          <w:rFonts w:ascii="Arial" w:cs="Arial" w:eastAsia="Arial" w:hAnsi="Arial"/>
          <w:sz w:val="16"/>
          <w:szCs w:val="16"/>
          <w:b w:val="1"/>
          <w:bCs w:val="1"/>
          <w:i w:val="1"/>
          <w:iCs w:val="1"/>
          <w:color w:val="auto"/>
        </w:rPr>
        <w:t>Demand Notice</w:t>
      </w:r>
      <w:r>
        <w:rPr>
          <w:rFonts w:ascii="Arial" w:cs="Arial" w:eastAsia="Arial" w:hAnsi="Arial"/>
          <w:sz w:val="16"/>
          <w:szCs w:val="16"/>
          <w:color w:val="auto"/>
        </w:rPr>
        <w:t>”) given to the Company, to request the Company to register under and in accordance with the provisions of the Securities Act all or part of the Registrable Securities designated by such Holders (a “</w:t>
      </w:r>
      <w:r>
        <w:rPr>
          <w:rFonts w:ascii="Arial" w:cs="Arial" w:eastAsia="Arial" w:hAnsi="Arial"/>
          <w:sz w:val="16"/>
          <w:szCs w:val="16"/>
          <w:b w:val="1"/>
          <w:bCs w:val="1"/>
          <w:i w:val="1"/>
          <w:i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Upon receipt of any such Demand Notice, the Company will promptly notify all other Holders of the receipt of such Demand Notice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allow them the opportunity to include Registrable Securities in the proposed registration by giving notice to the Company within five days after the Holder receives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Holders joining in a proposed registration pursuant to this sentence shall not be deemed to have exercised a Demand Registration for purposes of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and such Holders shall be included in such registration on the basis set forth in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hereof. The Company shall not be required to register any Registrable Securities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unless the anticipated aggregate offering price to the public for any such offering of the Registrable Securities included in such Demand Notice is expected to be at least $1 million.</w:t>
      </w:r>
    </w:p>
    <w:p>
      <w:pPr>
        <w:spacing w:after="0" w:line="166" w:lineRule="exact"/>
        <w:rPr>
          <w:rFonts w:ascii="Arial" w:cs="Arial" w:eastAsia="Arial" w:hAnsi="Arial"/>
          <w:sz w:val="16"/>
          <w:szCs w:val="16"/>
          <w:color w:val="auto"/>
        </w:rPr>
      </w:pPr>
    </w:p>
    <w:p>
      <w:pPr>
        <w:jc w:val="both"/>
        <w:ind w:firstLine="1305"/>
        <w:spacing w:after="0" w:line="291" w:lineRule="auto"/>
        <w:tabs>
          <w:tab w:leader="none" w:pos="1713"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Number of Demand Registrations</w:t>
      </w:r>
      <w:r>
        <w:rPr>
          <w:rFonts w:ascii="Arial" w:cs="Arial" w:eastAsia="Arial" w:hAnsi="Arial"/>
          <w:sz w:val="16"/>
          <w:szCs w:val="16"/>
          <w:color w:val="auto"/>
        </w:rPr>
        <w:t>. Upon the terms and subject to the conditions of this Agreement, Holders shall be entitled to have three Demand Registrations effected. A Demand Registration shall not be deemed to be effected and shall not count as a Demand Registration of any Person</w:t>
      </w:r>
    </w:p>
    <w:p>
      <w:pPr>
        <w:jc w:val="both"/>
        <w:ind w:firstLine="8"/>
        <w:spacing w:after="0" w:line="267" w:lineRule="auto"/>
        <w:tabs>
          <w:tab w:leader="none" w:pos="22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if a Registration Statement with respect thereto shall not have become effective under the Securities Act and remained effective (A) for at least 180 days (excluding any Interruption Period or Delay Period) in the case of a Demand Registration that is not on a Form S-3 or other comparable form or (B) for at least two years (excluding any Interruption Period or Delay Period) in the case of a Demand Registration on Form S-3 or other comparable form, or until the completion of the distribution of the Registrable Securities thereunder, whichever is earlier (including, without limitation, because of withdrawal of such Registration Statement by the Holders pursuant to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hereunder), (ii) if, after it has become effective, such registration is interfered with for any reason by any stop order, injunction or other order or requirement of the Commission or any governmental authority, or as a result of the initiation of any proceeding for such stop order by the Commission through no fault of the Holders and the result of such interference is to prevent the Holders from disposing of such Registrable Securities proposed to be sold in accordance with the intended methods of disposition, or (iii) if the conditions to closing specified in the purchase agreement or underwriting agreement entered into in connection with any underwritten offering shall not be satisfied or waived with the consent of the Holders of a majority in number of the Registrable Securities to be included in such Demand Registration, other than as a result of any breach by the Holders or any underwriter of its obligations thereunder or hereunder.</w:t>
      </w:r>
    </w:p>
    <w:p>
      <w:pPr>
        <w:spacing w:after="0" w:line="186" w:lineRule="exact"/>
        <w:rPr>
          <w:rFonts w:ascii="Arial" w:cs="Arial" w:eastAsia="Arial" w:hAnsi="Arial"/>
          <w:sz w:val="17"/>
          <w:szCs w:val="17"/>
          <w:color w:val="auto"/>
        </w:rPr>
      </w:pPr>
    </w:p>
    <w:p>
      <w:pPr>
        <w:jc w:val="both"/>
        <w:ind w:firstLine="1305"/>
        <w:spacing w:after="0" w:line="273" w:lineRule="auto"/>
        <w:tabs>
          <w:tab w:leader="none" w:pos="167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Subject to paragraph (a) above, as soon as practicable, but in any event within 45 days of the date on which the Company first receives one or more Demand Notices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 the Company shall file with the Commission a Registration Statement on the appropriate form for the registration and sale of the total number of Registrable Securities specified in such Demand Notice, together with the number of Registrable Securities requested to be included in the Demand Registration by other Holders, in accordance with the intended method or methods of distribution specified by the Holders in such Demand Notice. The Company shall use its reasonable best efforts to cause such Registration Statement to be declared effective by the Commission as soon as reasonably practicable.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72" w:name="page73"/>
    <w:bookmarkEnd w:id="72"/>
    <w:p>
      <w:pPr>
        <w:jc w:val="both"/>
        <w:ind w:left="-8" w:firstLine="1305"/>
        <w:spacing w:after="0" w:line="285" w:lineRule="auto"/>
        <w:tabs>
          <w:tab w:leader="none" w:pos="1678"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Amendments; Supplements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4(a)</w:t>
      </w:r>
      <w:r>
        <w:rPr>
          <w:rFonts w:ascii="Arial" w:cs="Arial" w:eastAsia="Arial" w:hAnsi="Arial"/>
          <w:sz w:val="16"/>
          <w:szCs w:val="16"/>
          <w:color w:val="auto"/>
        </w:rPr>
        <w:t>, upon the occurrence of any event that would cause the Registration Statement (A) to contain a material misstatement or omission or (B) to be not effective and usable for resale of Registrable Securities during the period that such Registration Statement is required to be effective and usable, the Company shall file an amendment to the Registration Statement as soon as reasonably practicable if the Registration Statement is not on Form S-3 or another comparable form and such misstatement or omission is not corrected as soon as reasonably practicable by incorporation by reference, in the case of clause (A), correcting any such misstatement or omission and, in the case of either clause</w:t>
      </w:r>
    </w:p>
    <w:p>
      <w:pPr>
        <w:spacing w:after="0" w:line="2" w:lineRule="exact"/>
        <w:rPr>
          <w:rFonts w:ascii="Arial" w:cs="Arial" w:eastAsia="Arial" w:hAnsi="Arial"/>
          <w:sz w:val="16"/>
          <w:szCs w:val="16"/>
          <w:color w:val="auto"/>
        </w:rPr>
      </w:pPr>
    </w:p>
    <w:p>
      <w:pPr>
        <w:ind w:left="-8" w:firstLine="8"/>
        <w:spacing w:after="0" w:line="261" w:lineRule="auto"/>
        <w:tabs>
          <w:tab w:leader="none" w:pos="3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 (B), use its reasonable best efforts to cause such amendment to be declared effective and such Registration Statement to become usable as soon as reasonably practicable thereafter.</w:t>
      </w:r>
    </w:p>
    <w:p>
      <w:pPr>
        <w:spacing w:after="0" w:line="183" w:lineRule="exact"/>
        <w:rPr>
          <w:rFonts w:ascii="Arial" w:cs="Arial" w:eastAsia="Arial" w:hAnsi="Arial"/>
          <w:sz w:val="18"/>
          <w:szCs w:val="18"/>
          <w:color w:val="auto"/>
        </w:rPr>
      </w:pPr>
    </w:p>
    <w:p>
      <w:pPr>
        <w:jc w:val="both"/>
        <w:ind w:left="-8" w:firstLine="1305"/>
        <w:spacing w:after="0" w:line="273" w:lineRule="auto"/>
        <w:tabs>
          <w:tab w:leader="none" w:pos="1682"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The Company agrees to use its reasonable best efforts to keep any Registration Statement filed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continuously effective and usable for the sale of Registrable Securities until the earlier of (i) (a) in the case of a Demand Registration for delayed or continuous offerings of Registrable Securities filed on Form S-3 or another comparable form, two years after the date on which the Commission declares such Registration Statement effective (excluding any Interruption Period or Delay Period) or (b) in the case of a Demand Registration that is not on Form S-3 or another comparable form, 180 days from the date on which the Commission declares such Registration Statement effective (excluding any Interruption Period or Delay Period) and (ii) the date on which there are no longer any Registrable Securities.</w:t>
      </w:r>
    </w:p>
    <w:p>
      <w:pPr>
        <w:spacing w:after="0" w:line="178" w:lineRule="exact"/>
        <w:rPr>
          <w:rFonts w:ascii="Arial" w:cs="Arial" w:eastAsia="Arial" w:hAnsi="Arial"/>
          <w:sz w:val="17"/>
          <w:szCs w:val="17"/>
          <w:color w:val="auto"/>
        </w:rPr>
      </w:pPr>
    </w:p>
    <w:p>
      <w:pPr>
        <w:jc w:val="both"/>
        <w:ind w:left="-8" w:firstLine="1305"/>
        <w:spacing w:after="0" w:line="264" w:lineRule="auto"/>
        <w:tabs>
          <w:tab w:leader="none" w:pos="164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Holders Withdrawal</w:t>
      </w:r>
      <w:r>
        <w:rPr>
          <w:rFonts w:ascii="Arial" w:cs="Arial" w:eastAsia="Arial" w:hAnsi="Arial"/>
          <w:sz w:val="18"/>
          <w:szCs w:val="18"/>
          <w:color w:val="auto"/>
        </w:rPr>
        <w:t xml:space="preserve">. Holders of a majority in number of the Registrable Securities to be included in a Demand Registration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may, at any time prior to the effective date of the Registration Statement in respect thereof, revoke such request by providing a written notice to the Company to such effect.</w:t>
      </w:r>
    </w:p>
    <w:p>
      <w:pPr>
        <w:spacing w:after="0" w:line="181" w:lineRule="exact"/>
        <w:rPr>
          <w:rFonts w:ascii="Arial" w:cs="Arial" w:eastAsia="Arial" w:hAnsi="Arial"/>
          <w:sz w:val="18"/>
          <w:szCs w:val="18"/>
          <w:color w:val="auto"/>
        </w:rPr>
      </w:pPr>
    </w:p>
    <w:p>
      <w:pPr>
        <w:jc w:val="both"/>
        <w:ind w:left="-8" w:firstLine="1305"/>
        <w:spacing w:after="0" w:line="290" w:lineRule="auto"/>
        <w:tabs>
          <w:tab w:leader="none" w:pos="1678"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Preemption of Demand Registration</w:t>
      </w:r>
      <w:r>
        <w:rPr>
          <w:rFonts w:ascii="Arial" w:cs="Arial" w:eastAsia="Arial" w:hAnsi="Arial"/>
          <w:sz w:val="16"/>
          <w:szCs w:val="16"/>
          <w:color w:val="auto"/>
        </w:rPr>
        <w:t xml:space="preserve">. Notwithstanding anything to the contrary contained herein, after receiving a written request for a Demand Registration, the Company may elect to effect an underwritten primary registration in lieu of the Demand Registration if the Company’s Board of Directors believes that such primary registration would be in the best interests of the Company. If the Company so elects to effect a primary registration, the Company shall give prompt written notice (which shall be given not later than 20 days after the date of the Demand Notice) to all Holders of its intention to effect such a registration and shall afford the Holders the rights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Piggyback Registrations. In the event that the Company so elects to effect a primary registration after receiving a request for a Demand Registration, the Company shall use its reasonable best efforts to have the Registration Statement declared effective by the Commission as soon as reasonably practicable. In addition, the request for a Demand Registration shall be deemed to have been withdrawn and such primary registration shall not be deemed to be a Demand Registration.</w:t>
      </w:r>
    </w:p>
    <w:p>
      <w:pPr>
        <w:spacing w:after="0" w:line="166" w:lineRule="exact"/>
        <w:rPr>
          <w:rFonts w:ascii="Arial" w:cs="Arial" w:eastAsia="Arial" w:hAnsi="Arial"/>
          <w:sz w:val="16"/>
          <w:szCs w:val="16"/>
          <w:color w:val="auto"/>
        </w:rPr>
      </w:pPr>
    </w:p>
    <w:p>
      <w:pPr>
        <w:jc w:val="both"/>
        <w:ind w:left="-8" w:firstLine="1305"/>
        <w:spacing w:after="0" w:line="286" w:lineRule="auto"/>
        <w:tabs>
          <w:tab w:leader="none" w:pos="180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w:t>
      </w:r>
      <w:r>
        <w:rPr>
          <w:rFonts w:ascii="Arial" w:cs="Arial" w:eastAsia="Arial" w:hAnsi="Arial"/>
          <w:sz w:val="16"/>
          <w:szCs w:val="16"/>
          <w:color w:val="auto"/>
        </w:rPr>
        <w:t xml:space="preserve">. If a Demand Registration is an underwritten offering and includes securities for sale by the Company, and the managing underwriter (such underwriter to be chosen by Holders of a majority of the Registrable Securities included in such registration, subject to the Company’s reasonable approval) advises the Company, in writing, that, in its good faith judgment, the number of securities requested to be included in such registration exceeds the number which can be sold in such offering without materially and adversely affecting the marketability of the offering, then the Company will include in any such registration the maximum number of shares that the managing underwriter advises the Company can be sold in such offering allocated as follows: (i) first, the Registrable Securities requested to be included in such registration by the initiating Holders and securities of other Holders of Registrable Securities and holders of Registrable Securities (as defined in the Gulfport Investor Rights Agreement), with all such securities to be included on a pro rata basis (or in such other proportion mutually agreed among such Holders) based on the amount of securities requested to be included therein and (ii) second, to the extent that any other securities may be included without exceeding the limitations recommended by the underwriter as aforesaid, the securities that the Company proposes to sell together with such additional securities to be included on a pro rata basis (or in such other proportion mutually agreed upon among the Company and such other holders) based on the amount of securities requested to be included therein. If the initiating Holders are not allowed to register all of the Registrable Securities requested to be included by such Holders because of allocations required by this section, such initiating Holders shall not be deemed to have exercised a Demand Registration for purposes of </w:t>
      </w:r>
      <w:r>
        <w:rPr>
          <w:rFonts w:ascii="Arial" w:cs="Arial" w:eastAsia="Arial" w:hAnsi="Arial"/>
          <w:sz w:val="16"/>
          <w:szCs w:val="16"/>
          <w:u w:val="single" w:color="auto"/>
          <w:color w:val="auto"/>
        </w:rPr>
        <w:t>Section 2(b)</w:t>
      </w:r>
      <w:r>
        <w:rPr>
          <w:rFonts w:ascii="Arial" w:cs="Arial" w:eastAsia="Arial" w:hAnsi="Arial"/>
          <w:sz w:val="16"/>
          <w:szCs w:val="16"/>
          <w:color w:val="auto"/>
        </w:rPr>
        <w:t>.</w:t>
      </w:r>
    </w:p>
    <w:p>
      <w:pPr>
        <w:spacing w:after="0" w:line="171" w:lineRule="exact"/>
        <w:rPr>
          <w:sz w:val="20"/>
          <w:szCs w:val="20"/>
          <w:color w:val="auto"/>
        </w:rPr>
      </w:pPr>
    </w:p>
    <w:p>
      <w:pPr>
        <w:ind w:left="652"/>
        <w:spacing w:after="0"/>
        <w:tabs>
          <w:tab w:leader="none" w:pos="1532"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b w:val="1"/>
          <w:bCs w:val="1"/>
          <w:color w:val="auto"/>
        </w:rPr>
        <w:t>Piggyback Registrations</w:t>
      </w:r>
      <w:r>
        <w:rPr>
          <w:rFonts w:ascii="Arial" w:cs="Arial" w:eastAsia="Arial" w:hAnsi="Arial"/>
          <w:sz w:val="15"/>
          <w:szCs w:val="15"/>
          <w:color w:val="auto"/>
        </w:rPr>
        <w:t>.</w:t>
      </w:r>
    </w:p>
    <w:p>
      <w:pPr>
        <w:spacing w:after="0" w:line="229" w:lineRule="exact"/>
        <w:rPr>
          <w:sz w:val="20"/>
          <w:szCs w:val="20"/>
          <w:color w:val="auto"/>
        </w:rPr>
      </w:pPr>
    </w:p>
    <w:p>
      <w:pPr>
        <w:jc w:val="both"/>
        <w:ind w:left="-8" w:firstLine="1305"/>
        <w:spacing w:after="0" w:line="270" w:lineRule="auto"/>
        <w:tabs>
          <w:tab w:leader="none" w:pos="174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Right to Piggyback Registrations</w:t>
      </w:r>
      <w:r>
        <w:rPr>
          <w:rFonts w:ascii="Arial" w:cs="Arial" w:eastAsia="Arial" w:hAnsi="Arial"/>
          <w:sz w:val="17"/>
          <w:szCs w:val="17"/>
          <w:color w:val="auto"/>
        </w:rPr>
        <w:t>. Whenever the Company or another party having registration rights proposes that the Company register any of the Company’s equity securities under the Securities Act (other than a registration on Form S-4 relating solely to a transaction described in Rule 145 of the Securities Act or a registration on Form S-8 or any successor forms thereto), whether or not for sale for the Company’s own account, the Company will give prompt written notice of such proposed filing to all Holders at least 15 days before the anticipated filing date. Such notice shall offer such Holders the opportunity to register such amount of Registrable Securities as they shall request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hereof, the Company shall include in each such Piggyback Registration all Registrable Securities with respect to which the Company has received written requests for inclusion therein within 10 days after such notice has been given by the Company to the Holders. If the Registration Statement relating to the Piggyback Registration is for an underwritten offering, such Registrable Securities shall be included in the underwriting on the same terms and conditions as the securities otherwise being sold through the underwriters. Each Holder shall be permitted to withdraw all or part of the Registrable Securities from a Piggyback Registration at any time prior to the effective time of such Piggyback Registration.</w:t>
      </w:r>
    </w:p>
    <w:p>
      <w:pPr>
        <w:spacing w:after="0" w:line="177" w:lineRule="exact"/>
        <w:rPr>
          <w:rFonts w:ascii="Arial" w:cs="Arial" w:eastAsia="Arial" w:hAnsi="Arial"/>
          <w:sz w:val="17"/>
          <w:szCs w:val="17"/>
          <w:color w:val="auto"/>
        </w:rPr>
      </w:pPr>
    </w:p>
    <w:p>
      <w:pPr>
        <w:jc w:val="both"/>
        <w:ind w:left="-8" w:firstLine="1305"/>
        <w:spacing w:after="0" w:line="293" w:lineRule="auto"/>
        <w:tabs>
          <w:tab w:leader="none" w:pos="167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Priority on Piggyback Registrations</w:t>
      </w:r>
      <w:r>
        <w:rPr>
          <w:rFonts w:ascii="Arial" w:cs="Arial" w:eastAsia="Arial" w:hAnsi="Arial"/>
          <w:sz w:val="16"/>
          <w:szCs w:val="16"/>
          <w:color w:val="auto"/>
        </w:rPr>
        <w:t>. If a Piggyback Registration is an underwritten offering by or through one or more underwriters of recognized standing and the managing underwriters advise the party or parties initiating such offering in writing (a copy of which writing shall be provided to the Holders) that in their good faith judgment the number of securities requested to be included in such registration exceeds the number which can be sold in such offering without materially and adversely affecting the marketability of the offering, then any such registration shall include the maximum number of shares that such managing underwriters advise can be sold in such offering allocated as follows: (x) if the Company has initiated such offering, (i) first, the securities the Company proposes to sell, and (ii) second, to the extent that any other securities may be included without exceeding the limitations</w:t>
      </w:r>
    </w:p>
    <w:p>
      <w:pPr>
        <w:sectPr>
          <w:pgSz w:w="11900" w:h="16838" w:orient="portrait"/>
          <w:cols w:equalWidth="0" w:num="1">
            <w:col w:w="11412"/>
          </w:cols>
          <w:pgMar w:left="248" w:top="530"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12"/>
          </w:cols>
          <w:pgMar w:left="248" w:top="530" w:right="239" w:bottom="1440" w:gutter="0" w:footer="0" w:header="0"/>
          <w:type w:val="continuous"/>
        </w:sectPr>
      </w:pPr>
    </w:p>
    <w:bookmarkStart w:id="73" w:name="page74"/>
    <w:bookmarkEnd w:id="73"/>
    <w:p>
      <w:pPr>
        <w:jc w:val="both"/>
        <w:spacing w:after="0" w:line="286" w:lineRule="auto"/>
        <w:rPr>
          <w:sz w:val="20"/>
          <w:szCs w:val="20"/>
          <w:color w:val="auto"/>
        </w:rPr>
      </w:pPr>
      <w:r>
        <w:rPr>
          <w:rFonts w:ascii="Arial" w:cs="Arial" w:eastAsia="Arial" w:hAnsi="Arial"/>
          <w:sz w:val="16"/>
          <w:szCs w:val="16"/>
          <w:color w:val="auto"/>
        </w:rPr>
        <w:t>recommended by the underwriters as aforesaid, (A) the Registrable Securities to be included in such registration by the Holders and the holders of Registrable Securities (as defined in the Gulfport Investor Rights Agreement), with all such additional securities to be included on a pro rata basis (or in such other proportion mutually agreed among the Holders and such other holders), based on the amount of Registrable Securities and other securities requested to be included therein, and then, if any additional securities may be included (B) to such additional securities on a pro rata basis (or in such other proportion mutually agreed among them), (y) if a holder of Registrable Securities (as defined in the Gulfport Investor Rights Agreement) has initiated such offering (i) first, the securities the holders under the Gulfport Investor Rights Agreement propose to sell together with the securities the Holders of Registrable Securities hereunder propose to sell on a pro rata basis (or in such other proportion mutually agreed upon among such holders and the Holders), based on the amount of securities requested to be included therein and (ii) second, to the extent that any other securities may be included without exceeding the limitations recommended by the underwriters as aforesaid, all such other securities on a pro rata basis (or in such other proportion mutually agreed upon among such other holders) based on the amount of securities requested to be included therein, and (z) if a party other than the Company or a holder under the Gulfport Investor Rights Agreement initiated such offering, securities proposed to be sold by the Company, and the Registrable Securities to be included in such registration by the Holders, with such additional securities to be included on a pro rata basis (or in such other proportion mutually agreed among the Company, the Holders and such other holders), based on the amount of Registrable Securities and other securities requested to be included therein.</w:t>
      </w:r>
    </w:p>
    <w:p>
      <w:pPr>
        <w:spacing w:after="0" w:line="17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b w:val="1"/>
          <w:bCs w:val="1"/>
          <w:color w:val="auto"/>
        </w:rPr>
        <w:t>Obligations of the Company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1" w:lineRule="auto"/>
        <w:tabs>
          <w:tab w:leader="none" w:pos="175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Delay Period</w:t>
      </w:r>
      <w:r>
        <w:rPr>
          <w:rFonts w:ascii="Arial" w:cs="Arial" w:eastAsia="Arial" w:hAnsi="Arial"/>
          <w:sz w:val="17"/>
          <w:szCs w:val="17"/>
          <w:color w:val="auto"/>
        </w:rPr>
        <w:t xml:space="preserve">. Notwithstanding the foregoing, the Company shall have the right to delay the filing of any Registration Statement otherwise required to be prepared and filed by the Company pursuant to </w:t>
      </w:r>
      <w:r>
        <w:rPr>
          <w:rFonts w:ascii="Arial" w:cs="Arial" w:eastAsia="Arial" w:hAnsi="Arial"/>
          <w:sz w:val="17"/>
          <w:szCs w:val="17"/>
          <w:u w:val="single" w:color="auto"/>
          <w:color w:val="auto"/>
        </w:rPr>
        <w:t>Sections 2 or 3</w:t>
      </w:r>
      <w:r>
        <w:rPr>
          <w:rFonts w:ascii="Arial" w:cs="Arial" w:eastAsia="Arial" w:hAnsi="Arial"/>
          <w:sz w:val="17"/>
          <w:szCs w:val="17"/>
          <w:color w:val="auto"/>
        </w:rPr>
        <w:t>, or to suspend the use of any Registration Statement, for a period not in excess of 60 consecutive calendar days (a “</w:t>
      </w:r>
      <w:r>
        <w:rPr>
          <w:rFonts w:ascii="Arial" w:cs="Arial" w:eastAsia="Arial" w:hAnsi="Arial"/>
          <w:sz w:val="17"/>
          <w:szCs w:val="17"/>
          <w:b w:val="1"/>
          <w:bCs w:val="1"/>
          <w:i w:val="1"/>
          <w:iCs w:val="1"/>
          <w:color w:val="auto"/>
        </w:rPr>
        <w:t>Delay Period</w:t>
      </w:r>
      <w:r>
        <w:rPr>
          <w:rFonts w:ascii="Arial" w:cs="Arial" w:eastAsia="Arial" w:hAnsi="Arial"/>
          <w:sz w:val="17"/>
          <w:szCs w:val="17"/>
          <w:color w:val="auto"/>
        </w:rPr>
        <w:t>”) if (i) the Board of Directors of the Company by written resolution determines that filing or maintaining the effectiveness of such Registration Statement would have a material adverse effect on the Company or the holders of its capital stock in relation to any material acquisition or disposition, financing or other corporate transaction or (ii) the Board of Directors of the Company by written resolution determines in good faith that the filing of a Registration Statement or maintaining the effectiveness of a current Registration Statement would require disclosure of material information that the Company has a valid business purpose for retaining as confidential at such time. The Company shall not be entitled to exercise a Delay Period more than one time in any 12-month period.</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71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Whenever the Company is required to register Registrable Securities pursuant to </w:t>
      </w:r>
      <w:r>
        <w:rPr>
          <w:rFonts w:ascii="Arial" w:cs="Arial" w:eastAsia="Arial" w:hAnsi="Arial"/>
          <w:sz w:val="18"/>
          <w:szCs w:val="18"/>
          <w:u w:val="single" w:color="auto"/>
          <w:color w:val="auto"/>
        </w:rPr>
        <w:t>Sections 2 or 3</w:t>
      </w:r>
      <w:r>
        <w:rPr>
          <w:rFonts w:ascii="Arial" w:cs="Arial" w:eastAsia="Arial" w:hAnsi="Arial"/>
          <w:sz w:val="18"/>
          <w:szCs w:val="18"/>
          <w:color w:val="auto"/>
        </w:rPr>
        <w:t xml:space="preserve"> hereof, the Company will use its reasonable best efforts to effect the registration to permit the sale of such Registrable Securities in accordance with the intended method or methods of disposition thereof, and pursuant thereto the Company will as expeditiously as possible:</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3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prepare and file with the Commission a Registration Statement with respect to such Registrable Securities as prescribed by </w:t>
      </w:r>
      <w:r>
        <w:rPr>
          <w:rFonts w:ascii="Arial" w:cs="Arial" w:eastAsia="Arial" w:hAnsi="Arial"/>
          <w:sz w:val="18"/>
          <w:szCs w:val="18"/>
          <w:u w:val="single" w:color="auto"/>
          <w:color w:val="auto"/>
        </w:rPr>
        <w:t>Sections 2 or 3</w:t>
      </w:r>
      <w:r>
        <w:rPr>
          <w:rFonts w:ascii="Arial" w:cs="Arial" w:eastAsia="Arial" w:hAnsi="Arial"/>
          <w:sz w:val="18"/>
          <w:szCs w:val="18"/>
          <w:color w:val="auto"/>
        </w:rPr>
        <w:t xml:space="preserve"> on a form available for the sale of the Registrable Securities by the holders thereof in accordance with the intended method or methods of distribution thereof and use its reasonable best efforts to cause each such Registration Statement to become and remain effective within the time periods and otherwise as provided herein;</w:t>
      </w:r>
    </w:p>
    <w:p>
      <w:pPr>
        <w:spacing w:after="0" w:line="186" w:lineRule="exact"/>
        <w:rPr>
          <w:rFonts w:ascii="Arial" w:cs="Arial" w:eastAsia="Arial" w:hAnsi="Arial"/>
          <w:sz w:val="18"/>
          <w:szCs w:val="18"/>
          <w:color w:val="auto"/>
        </w:rPr>
      </w:pPr>
    </w:p>
    <w:p>
      <w:pPr>
        <w:jc w:val="both"/>
        <w:ind w:firstLine="1953"/>
        <w:spacing w:after="0" w:line="276" w:lineRule="auto"/>
        <w:tabs>
          <w:tab w:leader="none" w:pos="2347" w:val="left"/>
        </w:tabs>
        <w:numPr>
          <w:ilvl w:val="1"/>
          <w:numId w:val="53"/>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(including post-effective amendments) to the Registration Statement and such supplements to the Prospectus as may be necessary to keep such Registration Statement effective within the time periods and otherwise as provided herein and to comply with the provisions of the Securities Act with respect to the disposition of all securities covered by such Registration Statement until such time as all of such securities have been disposed of in accordance with the intended methods of disposition by the seller or sellers thereof set forth in such Registration Statement, except as otherwise expressly provided herein;</w:t>
      </w:r>
    </w:p>
    <w:p>
      <w:pPr>
        <w:spacing w:after="0" w:line="172" w:lineRule="exact"/>
        <w:rPr>
          <w:rFonts w:ascii="Arial" w:cs="Arial" w:eastAsia="Arial" w:hAnsi="Arial"/>
          <w:sz w:val="17"/>
          <w:szCs w:val="17"/>
          <w:color w:val="auto"/>
        </w:rPr>
      </w:pPr>
    </w:p>
    <w:p>
      <w:pPr>
        <w:jc w:val="both"/>
        <w:ind w:firstLine="1953"/>
        <w:spacing w:after="0" w:line="279" w:lineRule="auto"/>
        <w:tabs>
          <w:tab w:leader="none" w:pos="2369" w:val="left"/>
        </w:tabs>
        <w:numPr>
          <w:ilvl w:val="1"/>
          <w:numId w:val="53"/>
        </w:numPr>
        <w:rPr>
          <w:rFonts w:ascii="Arial" w:cs="Arial" w:eastAsia="Arial" w:hAnsi="Arial"/>
          <w:sz w:val="17"/>
          <w:szCs w:val="17"/>
          <w:color w:val="auto"/>
        </w:rPr>
      </w:pPr>
      <w:r>
        <w:rPr>
          <w:rFonts w:ascii="Arial" w:cs="Arial" w:eastAsia="Arial" w:hAnsi="Arial"/>
          <w:sz w:val="17"/>
          <w:szCs w:val="17"/>
          <w:color w:val="auto"/>
        </w:rPr>
        <w:t>furnish to each selling Holder of Registrable Securities covered by a Registration Statement and to each underwriter, if any, such number of copies of such Registration Statement, each amendment and post-effective amendment thereto, the Prospectus included in such Registration Statement (including each preliminary prospectus and any supplement to such Prospectus and any other prospectus filed under Rule 424 of the Securities Act), in each case including all exhibits, and such other documents as such Holder may reasonably request in order to facilitate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the disposition of the Registrable Securities owned by such Holder or to be disposed of by such underwriter (the Company hereby consenting to the use in accordance with all applicable law of each such Registration Statement (or amendment or post-effective amendment thereto) and each such Prospectus (or preliminary prospectus or supplement thereto) by each such Holder and the underwriters, if any, in connection with the offering and sale of the Registrable Securities covered by such Registration Statement or Prospectus);</w:t>
      </w:r>
    </w:p>
    <w:p>
      <w:pPr>
        <w:spacing w:after="0" w:line="187" w:lineRule="exact"/>
        <w:rPr>
          <w:sz w:val="20"/>
          <w:szCs w:val="20"/>
          <w:color w:val="auto"/>
        </w:rPr>
      </w:pPr>
    </w:p>
    <w:p>
      <w:pPr>
        <w:jc w:val="both"/>
        <w:ind w:firstLine="1953"/>
        <w:spacing w:after="0" w:line="271" w:lineRule="auto"/>
        <w:tabs>
          <w:tab w:leader="none" w:pos="23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use its reasonable best efforts to register or qualify and, if applicable, to cooperate with the selling Holders, the underwriters, if any, and their respective counsel in connection with the registration or qualification (or exemption from such registration or qualification) of, the Registrable Securities for offer and sale under the securities or blue sky laws of such jurisdictions as any selling Holder or managing underwriters (if any) shall reasonably request, to keep each such registration or qualification (or exemption therefrom) effective during the period such Registration Statement is required to be kept effective as provided herein and to do any and all other acts or things necessary or advisable to enable the disposition in such jurisdictions of the securities covered by the applicable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not be required to (i) qualify generally to do business in any jurisdiction where it would not otherwise be required to qualify but for this paragraph or (ii) consent to general service of process or taxation in any such jurisdiction where it is not so subject;</w:t>
      </w:r>
    </w:p>
    <w:p>
      <w:pPr>
        <w:spacing w:after="0" w:line="178" w:lineRule="exact"/>
        <w:rPr>
          <w:rFonts w:ascii="Arial" w:cs="Arial" w:eastAsia="Arial" w:hAnsi="Arial"/>
          <w:sz w:val="17"/>
          <w:szCs w:val="17"/>
          <w:color w:val="auto"/>
        </w:rPr>
      </w:pPr>
    </w:p>
    <w:p>
      <w:pPr>
        <w:ind w:right="20" w:firstLine="1953"/>
        <w:spacing w:after="0" w:line="277" w:lineRule="auto"/>
        <w:tabs>
          <w:tab w:leader="none" w:pos="23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or quoted (as the case may be) on each national securities exchange or other securities market on which securities of the same class as the Registrable Securities are then listed or quoted;</w:t>
      </w:r>
    </w:p>
    <w:p>
      <w:pPr>
        <w:spacing w:after="0" w:line="170" w:lineRule="exact"/>
        <w:rPr>
          <w:rFonts w:ascii="Arial" w:cs="Arial" w:eastAsia="Arial" w:hAnsi="Arial"/>
          <w:sz w:val="18"/>
          <w:szCs w:val="18"/>
          <w:color w:val="auto"/>
        </w:rPr>
      </w:pPr>
    </w:p>
    <w:p>
      <w:pPr>
        <w:ind w:firstLine="1953"/>
        <w:spacing w:after="0" w:line="277" w:lineRule="auto"/>
        <w:tabs>
          <w:tab w:leader="none" w:pos="24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a transfer agent and registrar for all such Registrable Securities and a CUSIP number for all such Registrable Securities not later than the effective date of such Registration Statement;</w:t>
      </w:r>
    </w:p>
    <w:p>
      <w:pPr>
        <w:spacing w:after="0" w:line="170" w:lineRule="exact"/>
        <w:rPr>
          <w:rFonts w:ascii="Arial" w:cs="Arial" w:eastAsia="Arial" w:hAnsi="Arial"/>
          <w:sz w:val="18"/>
          <w:szCs w:val="18"/>
          <w:color w:val="auto"/>
        </w:rPr>
      </w:pPr>
    </w:p>
    <w:p>
      <w:pPr>
        <w:jc w:val="both"/>
        <w:ind w:firstLine="1953"/>
        <w:spacing w:after="0" w:line="293" w:lineRule="auto"/>
        <w:tabs>
          <w:tab w:leader="none" w:pos="2381"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Commission, and make available to its security holders an earnings statement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(or in each case within such extended period of time as may be permitted by the Commission for filing the applicable report with the Commission) (i) commencing at the end of any fiscal quarter in which Registrable Securities are sold to underwriters in an underwritten offering or (ii) if not sold to underwriters in such an offering, commencing on the first day of the first fiscal quarter of the Company after the effective date of a Registration Statement;</w:t>
      </w:r>
    </w:p>
    <w:p>
      <w:pPr>
        <w:spacing w:after="0" w:line="164" w:lineRule="exact"/>
        <w:rPr>
          <w:rFonts w:ascii="Arial" w:cs="Arial" w:eastAsia="Arial" w:hAnsi="Arial"/>
          <w:sz w:val="16"/>
          <w:szCs w:val="16"/>
          <w:color w:val="auto"/>
        </w:rPr>
      </w:pPr>
    </w:p>
    <w:p>
      <w:pPr>
        <w:jc w:val="both"/>
        <w:ind w:firstLine="1953"/>
        <w:spacing w:after="0" w:line="257" w:lineRule="auto"/>
        <w:tabs>
          <w:tab w:leader="none" w:pos="23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use its reasonable best efforts to prevent the issuance of any order suspending the effectiveness of a Registration Statement or suspending the qualification (or exemption from qualification) of any of the Registrable Securities included therein for sale in any jurisdiction, and, in the event of the issuance of any stop order suspending the effectiveness of a Registration Statement, or of any order suspending the qualification of any Registrable Securities included in such Registration Statement for sale in any jurisdiction, the Company will use its reasonable best efforts promptly to obtain the withdrawal of such order at the earliest possible moment;</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4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 “cold comfort” letters and updates thereof (which letters and updates (in form, scope and substance) shall be reasonably satisfactory to the managing underwriters, if any, and the Holders)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Registration Statement), addressed to each of the underwriters, if any, and each selling Holder of Registrable Securities, such letters to be in customary form and covering matters of the type customarily covered in “cold comfort” letters in connection with underwritten offerings and such other matters as the underwriters, if any, or the Holders of a majority of the Registrable Securities being included in the registration may reasonably request;</w:t>
      </w:r>
    </w:p>
    <w:p>
      <w:pPr>
        <w:spacing w:after="0" w:line="189" w:lineRule="exact"/>
        <w:rPr>
          <w:rFonts w:ascii="Arial" w:cs="Arial" w:eastAsia="Arial" w:hAnsi="Arial"/>
          <w:sz w:val="18"/>
          <w:szCs w:val="18"/>
          <w:color w:val="auto"/>
        </w:rPr>
      </w:pPr>
    </w:p>
    <w:p>
      <w:pPr>
        <w:jc w:val="both"/>
        <w:ind w:firstLine="1953"/>
        <w:spacing w:after="0" w:line="312" w:lineRule="auto"/>
        <w:tabs>
          <w:tab w:leader="none" w:pos="24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obtain opinions of independent counsel to the Company and updates thereof (which counsel and opinions (in form, scope and substance) shall be reasonably satisfactory to the managing underwriters, if any, and the Holders of a majority of the Registrable Securities being included in the registration), addressed to each selling Holder and each of the underwriters, if any, covering the matters customarily covered in opinions of issuer’s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color w:val="auto"/>
        </w:rPr>
        <w:t>counsel requested in underwritten offerings, such as the effectiveness of the Registration Statement and such other matters as may be requested by such counsel and underwriters, if any;</w:t>
      </w:r>
    </w:p>
    <w:p>
      <w:pPr>
        <w:spacing w:after="0" w:line="170" w:lineRule="exact"/>
        <w:rPr>
          <w:sz w:val="20"/>
          <w:szCs w:val="20"/>
          <w:color w:val="auto"/>
        </w:rPr>
      </w:pPr>
    </w:p>
    <w:p>
      <w:pPr>
        <w:jc w:val="both"/>
        <w:ind w:firstLine="1953"/>
        <w:spacing w:after="0" w:line="268" w:lineRule="auto"/>
        <w:tabs>
          <w:tab w:leader="none" w:pos="2509"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promptly notify the selling Holders and the managing underwriters, if any, and confirm such notice in writing, when a Prospectus or any supplement or post-effective amendment to such Prospectus has been filed, and, with respect to a Registration Statement or any post-effective amendment thereto, when the same has become effective, (i) of any request by the Commission or any other federal or state governmental authority for amendments or supplements to a Registration Statement or related Prospectus or for additional information, (ii) of the issuance by the Commission of any stop order suspending the effectiveness of a Registration Statement or of any order preventing or suspending the use of any Prospectus or the initiation of any proceedings by any Person for that purpose, (iii) of the receipt by the Company of any notification with respect to the suspension of the qualification or exemption from qualification of a Registration Statement or any of the Registrable Securities for offer or sale under the securities or blue sky laws of any jurisdiction, or the contemplation, initiation or threatening, of any proceeding for such purpose, and (iv) of the happening of any event or the existence of any facts that make any statement made in such Registration Statement or Prospectus untrue in any material respect or that require the making of any changes in such Registration Statement or Prospectus so that it will not contain any untrue statement of a material fact or omit to state any material fact required to be stated therein or necessary to make the statements therein, in light of the circumstances under which they were made (in the case of any Prospectus), not misleading (which notice shall be accompanied by an instruction to the selling Holders and the managing underwriters, if any, to suspend the use of the Prospectus until the requisite changes have been made);</w:t>
      </w:r>
    </w:p>
    <w:p>
      <w:pPr>
        <w:spacing w:after="0" w:line="187" w:lineRule="exact"/>
        <w:rPr>
          <w:rFonts w:ascii="Arial" w:cs="Arial" w:eastAsia="Arial" w:hAnsi="Arial"/>
          <w:sz w:val="17"/>
          <w:szCs w:val="17"/>
          <w:color w:val="auto"/>
        </w:rPr>
      </w:pPr>
    </w:p>
    <w:p>
      <w:pPr>
        <w:jc w:val="both"/>
        <w:ind w:firstLine="1953"/>
        <w:spacing w:after="0" w:line="255" w:lineRule="auto"/>
        <w:tabs>
          <w:tab w:leader="none" w:pos="24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requested by the managing underwriters, if any, or a Holder of Registrable Securities being sold, promptly incorporate in a prospectus, supplement or post-effective amendment such information as the managing underwriters, if any, and the Holders of a majority of the Registrable Securities being sold reasonably request to be included therein relating to the sale of the Registrable Securities, including, without limitation, information with respect to the number of shares of Registrable Securities being sold to underwriters, the purchase price being paid therefor by such underwriters and with respect to any other terms of the underwritten offering of the Registrable Securities to be sold in such offering, and make all required filings of such prospectus, supplement or post-effective amendment promptly following notification of the matters to be incorporated in such supplement or post-effective amendment;</w:t>
      </w:r>
    </w:p>
    <w:p>
      <w:pPr>
        <w:spacing w:after="0" w:line="189" w:lineRule="exact"/>
        <w:rPr>
          <w:rFonts w:ascii="Arial" w:cs="Arial" w:eastAsia="Arial" w:hAnsi="Arial"/>
          <w:sz w:val="18"/>
          <w:szCs w:val="18"/>
          <w:color w:val="auto"/>
        </w:rPr>
      </w:pPr>
    </w:p>
    <w:p>
      <w:pPr>
        <w:ind w:firstLine="1953"/>
        <w:spacing w:after="0" w:line="277" w:lineRule="auto"/>
        <w:tabs>
          <w:tab w:leader="none" w:pos="24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requested, furnish to each selling Holder of Registrable Securities and the managing underwriter, without charge, at least one signed copy of the Registration Statement;</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566"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as promptly as practicable upon the occurrence of any event contemplated by </w:t>
      </w:r>
      <w:r>
        <w:rPr>
          <w:rFonts w:ascii="Arial" w:cs="Arial" w:eastAsia="Arial" w:hAnsi="Arial"/>
          <w:sz w:val="17"/>
          <w:szCs w:val="17"/>
          <w:u w:val="single" w:color="auto"/>
          <w:color w:val="auto"/>
        </w:rPr>
        <w:t>Section 4(b)(11)(iv)</w:t>
      </w:r>
      <w:r>
        <w:rPr>
          <w:rFonts w:ascii="Arial" w:cs="Arial" w:eastAsia="Arial" w:hAnsi="Arial"/>
          <w:sz w:val="17"/>
          <w:szCs w:val="17"/>
          <w:color w:val="auto"/>
        </w:rPr>
        <w:t xml:space="preserve"> above, prepare a supplement or post-effective amendment to the Registration Statement or the Prospectus, or any document incorporated therein by reference, or file any other required document so that, as thereafter delivered to the purchasers of the Registrable Securities being sold hereunder, the Prospectus will not contain an untrue statement of a material fact or an omission to state a material fact required to be stated in a Registration Statement or Prospectus or necessary to make the statements therein, in light of the circumstances under which they were made, not misleading; and</w:t>
      </w:r>
    </w:p>
    <w:p>
      <w:pPr>
        <w:spacing w:after="0" w:line="172" w:lineRule="exact"/>
        <w:rPr>
          <w:rFonts w:ascii="Arial" w:cs="Arial" w:eastAsia="Arial" w:hAnsi="Arial"/>
          <w:sz w:val="17"/>
          <w:szCs w:val="17"/>
          <w:color w:val="auto"/>
        </w:rPr>
      </w:pPr>
    </w:p>
    <w:p>
      <w:pPr>
        <w:jc w:val="both"/>
        <w:ind w:firstLine="1953"/>
        <w:spacing w:after="0" w:line="272" w:lineRule="auto"/>
        <w:tabs>
          <w:tab w:leader="none" w:pos="24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if such offering is an underwritten offering, enter into such agreements (including an underwriting agreement in form, scope and substance as is customary in underwritten offerings) and take all such other appropriate and reasonable actions requested by the Holders owning a majority of the Registrable Securities being sold in connection therewith or by the managing underwriters (including cooperating in reasonable marketing efforts, including in connection with any Demand Registration, participation by senior executives of the Company in any “roadshow” or similar meeting with potential investors) in order to expedite or facilitate the disposition of such Registrable Securities, and in such connection, provide indemnification provisions and procedures substantially to the effect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with respect to all parties to be indemnified pursuant to said Section. The above shall be done at each closing under such underwriting or similar agreement, or as and to the extent required thereunder.</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Each Holder agrees by acquisition of such Registrable Securities that, upon receipt of written notice from the Company of the happening of any event of the kind described in </w:t>
      </w:r>
      <w:r>
        <w:rPr>
          <w:rFonts w:ascii="Arial" w:cs="Arial" w:eastAsia="Arial" w:hAnsi="Arial"/>
          <w:sz w:val="18"/>
          <w:szCs w:val="18"/>
          <w:u w:val="single" w:color="auto"/>
          <w:color w:val="auto"/>
        </w:rPr>
        <w:t>Section 4(b)(11)</w:t>
      </w:r>
      <w:r>
        <w:rPr>
          <w:rFonts w:ascii="Arial" w:cs="Arial" w:eastAsia="Arial" w:hAnsi="Arial"/>
          <w:sz w:val="18"/>
          <w:szCs w:val="18"/>
          <w:color w:val="auto"/>
        </w:rPr>
        <w:t>, such Holder will forthwith discontinue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6" w:name="page77"/>
    <w:bookmarkEnd w:id="76"/>
    <w:p>
      <w:pPr>
        <w:jc w:val="both"/>
        <w:spacing w:after="0" w:line="276" w:lineRule="auto"/>
        <w:rPr>
          <w:sz w:val="20"/>
          <w:szCs w:val="20"/>
          <w:color w:val="auto"/>
        </w:rPr>
      </w:pPr>
      <w:r>
        <w:rPr>
          <w:rFonts w:ascii="Arial" w:cs="Arial" w:eastAsia="Arial" w:hAnsi="Arial"/>
          <w:sz w:val="17"/>
          <w:szCs w:val="17"/>
          <w:color w:val="auto"/>
        </w:rPr>
        <w:t xml:space="preserve">disposition of such Registrable Securities covered by such Registration Statement until such Holder’s receipt of the copies of the supplemented or amended Registration Statement contemplated by </w:t>
      </w:r>
      <w:r>
        <w:rPr>
          <w:rFonts w:ascii="Arial" w:cs="Arial" w:eastAsia="Arial" w:hAnsi="Arial"/>
          <w:sz w:val="17"/>
          <w:szCs w:val="17"/>
          <w:u w:val="single" w:color="auto"/>
          <w:color w:val="auto"/>
        </w:rPr>
        <w:t>Section 4(b)(14)</w:t>
      </w:r>
      <w:r>
        <w:rPr>
          <w:rFonts w:ascii="Arial" w:cs="Arial" w:eastAsia="Arial" w:hAnsi="Arial"/>
          <w:sz w:val="17"/>
          <w:szCs w:val="17"/>
          <w:color w:val="auto"/>
        </w:rPr>
        <w:t>, or until it is advised in writing by the Company that the use of the applicable Prospectus may be resumed, and has received copies of any additional or supplemental filings that are incorporated or deemed to be incorporated by reference in such prospectus (such period during which disposition is discontinued being an “</w:t>
      </w:r>
      <w:r>
        <w:rPr>
          <w:rFonts w:ascii="Arial" w:cs="Arial" w:eastAsia="Arial" w:hAnsi="Arial"/>
          <w:sz w:val="17"/>
          <w:szCs w:val="17"/>
          <w:b w:val="1"/>
          <w:bCs w:val="1"/>
          <w:i w:val="1"/>
          <w:iCs w:val="1"/>
          <w:color w:val="auto"/>
        </w:rPr>
        <w:t>Interruption Period</w:t>
      </w:r>
      <w:r>
        <w:rPr>
          <w:rFonts w:ascii="Arial" w:cs="Arial" w:eastAsia="Arial" w:hAnsi="Arial"/>
          <w:sz w:val="17"/>
          <w:szCs w:val="17"/>
          <w:color w:val="auto"/>
        </w:rPr>
        <w:t>”), and, if so directed by the Company, such Holder will deliver to the Company all copies of the Prospectus covering such Registrable Securities current at the time of receipt of such notice.</w:t>
      </w:r>
    </w:p>
    <w:p>
      <w:pPr>
        <w:spacing w:after="0" w:line="16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b w:val="1"/>
          <w:bCs w:val="1"/>
          <w:color w:val="auto"/>
        </w:rPr>
        <w:t>Registration Expenses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5" w:lineRule="auto"/>
        <w:tabs>
          <w:tab w:leader="none" w:pos="178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Expenses Payable by the Company</w:t>
      </w:r>
      <w:r>
        <w:rPr>
          <w:rFonts w:ascii="Arial" w:cs="Arial" w:eastAsia="Arial" w:hAnsi="Arial"/>
          <w:sz w:val="16"/>
          <w:szCs w:val="16"/>
          <w:color w:val="auto"/>
        </w:rPr>
        <w:t xml:space="preserve">. The Company shall bear all expenses incurred with respect to the registration or attempted registration of the Registrable Securities pursuant to </w:t>
      </w:r>
      <w:r>
        <w:rPr>
          <w:rFonts w:ascii="Arial" w:cs="Arial" w:eastAsia="Arial" w:hAnsi="Arial"/>
          <w:sz w:val="16"/>
          <w:szCs w:val="16"/>
          <w:u w:val="single" w:color="auto"/>
          <w:color w:val="auto"/>
        </w:rPr>
        <w:t>Sections 2 or 3</w:t>
      </w:r>
      <w:r>
        <w:rPr>
          <w:rFonts w:ascii="Arial" w:cs="Arial" w:eastAsia="Arial" w:hAnsi="Arial"/>
          <w:sz w:val="16"/>
          <w:szCs w:val="16"/>
          <w:color w:val="auto"/>
        </w:rPr>
        <w:t xml:space="preserve"> of this Agreement as provided herein. Such expenses shall include, without limitation, (i) all registration, qualification and filing fees (including, without limitation, (A) fees with respect to compliance with the rules and regulation of the Commission, (B) fees with respect to filings required to be made with the national securities exchange or national market system on which the Common Stock is then traded or quoted and (C) fees and expenses of compliance with state securities or blue sky laws (including, without limitation, fees and disbursements of counsel for the Company or the underwriters, or both, in connection with blue sky qualifications of Registrable Securities)), (ii) messenger and delivery expenses, word processing, duplicating and printing expenses (including without limitation, expenses of printing certificates for Registrable Securities in a form eligible for deposit with The Depository Trust Company, printing preliminary prospectuses, prospectuses, prospectus supplements, including those delivered to or for the account of the Holders and provided in this Agreement, and blue sky memoranda), (iii) fees and disbursements of counsel for the Company, (iv) fees and disbursements of all independent certificated public accountants for the Company (including, without limitation, the expense of any “comfort letters” required by or incident to such performance), (v) all out-of-pocket expenses of the Company (including without limitation, expenses incurred by the Company, its officers, directors, and employees performing legal or accounting duties or preparing or participating in “roadshow” presentations or of any public relations, investor relations or other consultants or advisors retained by the Company in connection with any roadshow, including travel and lodging expenses of such roadshows), (vi) fees and expenses incurred in connection with the quotation or listing of shares of Common Stock on any national securities exchange or other securities market, and (vii) reasonable fees and expenses of one firm of counsel for all selling Holders (which shall be chosen by the Holders of a majority of Registrable Securities to be included in such offering).</w:t>
      </w:r>
    </w:p>
    <w:p>
      <w:pPr>
        <w:spacing w:after="0" w:line="177" w:lineRule="exact"/>
        <w:rPr>
          <w:rFonts w:ascii="Arial" w:cs="Arial" w:eastAsia="Arial" w:hAnsi="Arial"/>
          <w:sz w:val="16"/>
          <w:szCs w:val="16"/>
          <w:color w:val="auto"/>
        </w:rPr>
      </w:pPr>
    </w:p>
    <w:p>
      <w:pPr>
        <w:jc w:val="both"/>
        <w:ind w:right="20" w:firstLine="1305"/>
        <w:spacing w:after="0" w:line="264" w:lineRule="auto"/>
        <w:tabs>
          <w:tab w:leader="none" w:pos="184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Expenses Payable by the Holders</w:t>
      </w:r>
      <w:r>
        <w:rPr>
          <w:rFonts w:ascii="Arial" w:cs="Arial" w:eastAsia="Arial" w:hAnsi="Arial"/>
          <w:sz w:val="18"/>
          <w:szCs w:val="18"/>
          <w:color w:val="auto"/>
        </w:rPr>
        <w:t>. Each Holder shall pay all underwriting discounts and commissions or placement fees of underwriters or broker’s commissions incurred in connection with the sale or other disposition of Registrable Securities for or on behalf of such Holder’s account.</w:t>
      </w:r>
    </w:p>
    <w:p>
      <w:pPr>
        <w:spacing w:after="0" w:line="17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7" w:lineRule="auto"/>
        <w:tabs>
          <w:tab w:leader="none" w:pos="167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to the fullest extent permitted by law, each Holder, each Affiliate of a Holder and each director, officer, employee, manager, stockholder, partner, member, counsel, agent or representative of such Holder and its Affiliates and each Person who controls any such Person (within the meaning of either Section 15 of the Securities Act or Section 20 of the Exchange Act) (collectively, “</w:t>
      </w:r>
      <w:r>
        <w:rPr>
          <w:rFonts w:ascii="Arial" w:cs="Arial" w:eastAsia="Arial" w:hAnsi="Arial"/>
          <w:sz w:val="16"/>
          <w:szCs w:val="16"/>
          <w:b w:val="1"/>
          <w:bCs w:val="1"/>
          <w:i w:val="1"/>
          <w:iCs w:val="1"/>
          <w:color w:val="auto"/>
        </w:rPr>
        <w:t>Holder Indemnified Parties</w:t>
      </w:r>
      <w:r>
        <w:rPr>
          <w:rFonts w:ascii="Arial" w:cs="Arial" w:eastAsia="Arial" w:hAnsi="Arial"/>
          <w:sz w:val="16"/>
          <w:szCs w:val="16"/>
          <w:color w:val="auto"/>
        </w:rPr>
        <w:t>”) against, and hold it and them harmless from, all losses, claims, damages, liabilities, actions, proceedings, costs (including, without limitation, costs of preparation and attorneys’ fees and disbursements) and expenses, including expenses of investigation and amounts paid in settlement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arising out of, caused by or based upon any untrue or alleged untrue statement of material fact contained in any Registration Statement, or any omission or alleged omission of a material fact required to be stated therein or necessary to make the statements therein not misleading (a “</w:t>
      </w:r>
      <w:r>
        <w:rPr>
          <w:rFonts w:ascii="Arial" w:cs="Arial" w:eastAsia="Arial" w:hAnsi="Arial"/>
          <w:sz w:val="16"/>
          <w:szCs w:val="16"/>
          <w:b w:val="1"/>
          <w:bCs w:val="1"/>
          <w:i w:val="1"/>
          <w:iCs w:val="1"/>
          <w:color w:val="auto"/>
        </w:rPr>
        <w:t>Misstatement/Omission</w:t>
      </w:r>
      <w:r>
        <w:rPr>
          <w:rFonts w:ascii="Arial" w:cs="Arial" w:eastAsia="Arial" w:hAnsi="Arial"/>
          <w:sz w:val="16"/>
          <w:szCs w:val="16"/>
          <w:color w:val="auto"/>
        </w:rPr>
        <w:t>”), or any violation or alleged violation by the Company of the Securities Act, the Exchange Act, any state securities law, or any rule or regulation promulgated under the Securities Act, the Exchange Act or any state securities law, except that the Company shall not be liable insofar as such Misstatement/Omission or violation is made in reliance upon and in conformity with information furnished in writing to the Company by such Holder expressly for use therein; provided, further, that the Company shall not be liable for a Holder’s failure to deliver or cause to be delivered (to the extent such delivery is required under the Securities Act) the Prospectus contained in the Registration Statement, furnished to it by the Company on a timely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77" w:name="page78"/>
    <w:bookmarkEnd w:id="77"/>
    <w:p>
      <w:pPr>
        <w:jc w:val="both"/>
        <w:spacing w:after="0" w:line="297" w:lineRule="auto"/>
        <w:rPr>
          <w:sz w:val="20"/>
          <w:szCs w:val="20"/>
          <w:color w:val="auto"/>
        </w:rPr>
      </w:pPr>
      <w:r>
        <w:rPr>
          <w:rFonts w:ascii="Arial" w:cs="Arial" w:eastAsia="Arial" w:hAnsi="Arial"/>
          <w:sz w:val="16"/>
          <w:szCs w:val="16"/>
          <w:color w:val="auto"/>
        </w:rPr>
        <w:t>basis at or prior to the time such action is required by the Securities Act to the person claiming a Misstatement/Omission if such Misstatement/Omission was corrected in such Prospectus. In connection with an underwritten offering, the Company will indemnify such underwriters, selling brokers, dealer managers and similar securities industry professionals participating in the distribution, their officers and directors and each Person who controls such underwriters (within the meaning of either Section 15 of the Securities Act or Section 20 of the Exchange Act) to the same extent as provided above with respect to the indemnification of the Holders. This indemnity shall be in addition to any other indemnification arrangements to which the Company may otherwise be party.</w:t>
      </w:r>
    </w:p>
    <w:p>
      <w:pPr>
        <w:spacing w:after="0" w:line="158" w:lineRule="exact"/>
        <w:rPr>
          <w:sz w:val="20"/>
          <w:szCs w:val="20"/>
          <w:color w:val="auto"/>
        </w:rPr>
      </w:pPr>
    </w:p>
    <w:p>
      <w:pPr>
        <w:jc w:val="both"/>
        <w:ind w:firstLine="1305"/>
        <w:spacing w:after="0" w:line="288" w:lineRule="auto"/>
        <w:tabs>
          <w:tab w:leader="none" w:pos="172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In connection with any Registration Statement in which a Holder is participating, each such Holder agrees to indemnify, to the fullest extent permitted by law, the Company and each director and officer of the Company and each Person who controls the Company (within the meaning of either Section 15 of the Securities Act or Section 20 of the Exchange Act) against, and hold it harmless from, any Losses arising out of or based upon (i) any Misstatement/Omission contained in the Registration Statement, if and to the extent that such Misstatement/Omission was made in reliance upon and in conformity with information furnished in writing by such Holder for use therein, or (ii) the failure by such Holder to deliver or cause to be delivered (to the extent such delivery is required under the Securities Act) the Prospectus contained in the Registration Statement, furnished to it by the Company on a timely basis at or prior to the time such action is required by the Securities Act to the person claiming a Misstatement/Omission if such Misstatement/Omission was corrected in such Prospectus. Notwithstanding the foregoing, the obligation to indemnify will be individual (several and not joint) to each Holder and will be limited to the net amount of proceeds (net of payment of all expenses) received by such Holder from the sale of Registrable Securities pursuant to such Registration Statement giving rise to such indemnification obligation.</w:t>
      </w:r>
    </w:p>
    <w:p>
      <w:pPr>
        <w:spacing w:after="0" w:line="169" w:lineRule="exact"/>
        <w:rPr>
          <w:rFonts w:ascii="Arial" w:cs="Arial" w:eastAsia="Arial" w:hAnsi="Arial"/>
          <w:sz w:val="16"/>
          <w:szCs w:val="16"/>
          <w:color w:val="auto"/>
        </w:rPr>
      </w:pPr>
    </w:p>
    <w:p>
      <w:pPr>
        <w:jc w:val="both"/>
        <w:ind w:firstLine="1305"/>
        <w:spacing w:after="0" w:line="285" w:lineRule="auto"/>
        <w:tabs>
          <w:tab w:leader="none" w:pos="177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In case any action, claim or proceeding shall be brought against any Person entitled to indemnification hereunder, such indemnified party shall promptly notify each indemnifying party in writing, and such indemnifying party shall assume the defense thereof, including the employment of one counsel reasonably satisfactory to such indemnified party and payment of all fees and expenses incurred in connection with the defense thereof. The failure to so notify such indemnifying party shall relieve such indemnifying party of its indemnification obligations to such indemnified party to the extent that such failure to notify materially prejudiced such indemnifying party but not from any liability that it or they may have to the indemnified party for contribution or otherwise. Each indemnified party shall have the right to employ separate counsel in such action, claim or proceeding and participate in the defense thereof, but the fees and expenses of such counsel shall be at the expense of each indemnified party unless: (i) such indemnifying party has agreed to pay such expenses; (ii) such indemnifying party has failed promptly to assume the defense and employ counsel reasonably satisfactory to such indemnified party; or (iii) the named parties to any such action, claim or proceeding (including any impleaded parties) include both such indemnified party and such indemnifying party or an Affiliate or Controlling person of such indemnifying party, and such indemnified party shall have been advised in writing by counsel that either (x) there may be one or more legal defenses available to it which are different from or in addition to those available to such indemnifying party or such Affiliate or Controlling person or (y) a conflict of interest may exist if such counsel represents such indemnified party and such indemnifying party or its Affiliate or Controlling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indemnifying party shall not, in connection with any one such action or proceeding or separate but substantially similar or related actions or proceedings in the same jurisdiction arising out of the same general allegations or circumstances, be responsible hereunder for the fees and expenses of more than one separate firm of attorneys (in addition to any local counsel), which counsel shall be designated by such indemnified party or, in the event that such indemnified party is a Holder Indemnified Party, by the Holders of a majority of the Registrable Securities included in the subject Registration Statement.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of which indemnification or contribution may be sought hereunder unless the foregoing contains an unconditional release, in form and substance reasonably satisfactory to the indemnified parties, of the indemnified parties from all liability and obligation arising therefrom. The indemnifying party’s liability to any such indemnified party hereunder shall not be extinguished solely because any other indemnified party is not entitled to indemnity 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78" w:name="page79"/>
    <w:bookmarkEnd w:id="78"/>
    <w:p>
      <w:pPr>
        <w:jc w:val="both"/>
        <w:ind w:firstLine="1305"/>
        <w:spacing w:after="0" w:line="291" w:lineRule="auto"/>
        <w:tabs>
          <w:tab w:leader="none" w:pos="1686"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indemnification provided for under this Agreement will (i) remain in full force and effect regardless of any investigation made by or on behalf of the indemnified party or any officer, director or controlling Person of such indemnified party, (ii) survive the transfer of securities and</w:t>
      </w: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survive the termination of this Agreement.</w:t>
      </w:r>
    </w:p>
    <w:p>
      <w:pPr>
        <w:spacing w:after="0" w:line="210" w:lineRule="exact"/>
        <w:rPr>
          <w:rFonts w:ascii="Arial" w:cs="Arial" w:eastAsia="Arial" w:hAnsi="Arial"/>
          <w:sz w:val="18"/>
          <w:szCs w:val="18"/>
          <w:color w:val="auto"/>
        </w:rPr>
      </w:pPr>
    </w:p>
    <w:p>
      <w:pPr>
        <w:jc w:val="both"/>
        <w:ind w:firstLine="1305"/>
        <w:spacing w:after="0" w:line="272" w:lineRule="auto"/>
        <w:tabs>
          <w:tab w:leader="none" w:pos="175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Right to 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unavailable to, or insufficient to hold harmless, an indemnified party under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above in respect of any Losses referred to in such Sections, then each applicable indemnifying party shall have an obligation to contribute to the amount paid or payable by such indemnified party as a result of such Losses in such proportion as is appropriate to reflect the relative fault of the Company, on the one hand, and of the Holder, on the other, in connection with the Misstatement/Omission or violation which resulted in such Losses, taking into account any other relevant equitable considerations. The amount paid or payable by a party as a result of the Losses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above, any legal or other fees or expenses reasonably incurred by such party in connection with any investigation, lawsuit or legal or administrative action or proceeding.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relative fault of the Company, on the one hand, and of the Holder, on the other, shall be determined by reference to, among other things, whether the relevant Misstatement/Omission or violation relates to information supplied by the Company or by the Holder and the parties’ relative intent, knowledge, access to information and opportunity to correct or prevent such Misstatement/Omission or violation.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Company and each Holder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above. 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a Holder shall not be required to contribute any amount in excess of the amount by which (i) the amount (net of payment of all expenses) at which the securities that were sold by such Holder and distributed to the public were offered to the public exceeds (ii) the amount of any damages which such Holder has otherwise been required to pay by reason of such Misstatement/Omission or violation.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7. Rules 144 and 144A</w:t>
      </w:r>
      <w:r>
        <w:rPr>
          <w:rFonts w:ascii="Arial" w:cs="Arial" w:eastAsia="Arial" w:hAnsi="Arial"/>
          <w:sz w:val="18"/>
          <w:szCs w:val="18"/>
          <w:color w:val="auto"/>
        </w:rPr>
        <w:t>. The Company shall timely file the reports required to be filed by it under the Securities Act and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reports under Sections 13 and 15(d) of the Exchange Act referred to in subparagraph (c) of Rule 144 adopted by the Commission under the Securities Act) and the rules and regulations adopted by the Commission thereunder (or, if the Company is not required to file such reports, it will, upon the request of any Holder, make publicly available other information) and will take such further action as any Holder may reasonably request, all to the extent required from time to time to enable such Holder to sell Registrable Securities without registration under the Securities Act within the limitation of the exemptions provided by (a) Rule 144 and Rule 144A under the Securities Act, as such Rules may be amended from time to time, or (b) any similar rule or regulation hereafter adopted by the Commission.</w:t>
      </w:r>
    </w:p>
    <w:p>
      <w:pPr>
        <w:spacing w:after="0" w:line="18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b w:val="1"/>
          <w:bCs w:val="1"/>
          <w:color w:val="auto"/>
        </w:rPr>
        <w:t>Underwritten Registrations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 may participate in any registration hereunder which is underwritten unless such Person (i) agrees to sell such Person’s securities on the basis provided in any underwriting arrangements approved by the Person or Persons entitled hereunder to approve such arrangements and (ii) completes and executes all questionnaires, powers of attorney, customary indemnities, underwriting agreements and other documents required under the terms of such underwriting arrangements; provided, that, no Holder included in any underwritten registration shall be required to make any representations or warranties to the Company or the underwriters other than representations and warranties regarding such Holder and such Holder’s intended method of distribution.</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of the Registrable Securities covered by any Registration Statement are to be sold in an underwritten offering, the investment banker or investment bankers and manager or managers that will manage the offering will be selected by, and the underwriting arrangements with respect thereto will be approved by,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 bankers and managers and underwriting arrangements must be reasonably satisfactory to the Holders of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Registrable Securities to be included in such offering.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 Covenants of Holders</w:t>
      </w:r>
      <w:r>
        <w:rPr>
          <w:rFonts w:ascii="Arial" w:cs="Arial" w:eastAsia="Arial" w:hAnsi="Arial"/>
          <w:sz w:val="18"/>
          <w:szCs w:val="18"/>
          <w:color w:val="auto"/>
        </w:rPr>
        <w:t>. Each of the Holders hereby agrees (a) to cooperate with the Company and to furnish to the Company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such Holder, its ownership of Registrable Securities and the disposition of such securities in connection with the preparation of the Registration Statement and any filings with any state securities commissions as the Company may reasonably request, (b) to the extent required by the Securities Act, to deliver or cause delivery of the Prospectus contained in the Registration Statement, any amendment or supplement thereto, to any purchaser of the Registrable Securities covered by the Registration Statement from the Holder and (c) if requested by the Company, to notify the Company of any sale of Registrable Securities by such Holder.</w:t>
      </w:r>
    </w:p>
    <w:p>
      <w:pPr>
        <w:spacing w:after="0" w:line="18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b w:val="1"/>
          <w:bCs w:val="1"/>
          <w:color w:val="auto"/>
        </w:rPr>
        <w:t>Miscellaneous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167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will not hereafter enter into any agreement with respect to its securities that is inconsistent with, adversely effects or violates the rights granted to the Holders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this Agreement; it being understood that the granting of additional demand or piggyback registration rights with respect to capital stock of the Company shall not be deemed adverse to the rights granted to Holders hereunder so long as they do not (x) reduce, except as set forth in this Agreement, the amount of Registrable Securities that any Holder may include in any registration contemplated in this Agreement or (y) restrict or otherwise limit the exercise by any Holder of its rights hereunder.</w:t>
      </w:r>
    </w:p>
    <w:p>
      <w:pPr>
        <w:spacing w:after="0" w:line="187" w:lineRule="exact"/>
        <w:rPr>
          <w:sz w:val="20"/>
          <w:szCs w:val="20"/>
          <w:color w:val="auto"/>
        </w:rPr>
      </w:pPr>
    </w:p>
    <w:p>
      <w:pPr>
        <w:jc w:val="both"/>
        <w:ind w:firstLine="1305"/>
        <w:spacing w:after="0" w:line="273" w:lineRule="auto"/>
        <w:tabs>
          <w:tab w:leader="none" w:pos="176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Any Person having rights under any provision of this Agreement will be entitled to enforce such rights specifically to recover damages caused by reason of any breach of any provision of this Agreement and to exercise all other rights granted by law. The parties hereto agree and acknowledge that money damages may not be an adequate remedy for any breach of the provisions of this Agreement and hereby agree to waive the defense in any action for specific performance or injunctive relief that a remedy at law would be adequate. Accordingly, any party may in its sole discretion apply to any court of law or equity of competent jurisdiction (without posting any bond or other security) for specific performance and for other injunctive relief in order to enforce or prevent violation of the provisions of this Agreement.</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75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contains the entire understanding of the parties with respect to its subject matter and supersedes any and all prior agreements, and neither it nor any part of it may in any way be altered, amended, extended, waived, discharged or terminated except by a written agreement that specifically references this Agreement and the provisions to be so altered, amended, extended, waived, discharged or terminated is signed by each of the parties hereto and specifically states that it is intended to alter, amend, extend, waive, discharge or terminate this agreement or a provision hereof.</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76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and assigns. The Holders may assign all rights under this Agreement; provided, however, that no Holder may transfer or assign its rights hereunder unless such transferring Holder shall, prior to any such transfer, obtain from the transferee a joinder agreement in a form reasonably satisfactory to the Company and deliver a copy of such joinder agreement to the Company and to the Holders. Only persons (other than the Stockholder hereto) that execute a joinder agreement shall be deemed to be Holders. The Company shall be given written notice by the transferring Holder at the time of the transfer stating the name and address of the transferee and identifying the Registrable Securities transferred, provided, that, failure to give such notice shall not affect the validity of such transfer or assignment.</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70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it being intended that the rights and privileges of the parties hereto shall be enforceable to the fullest extent permitted by law.</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9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any one of which need not contain the signatures of more than one party, but each of which when so executed shall be deemed to be an original and all such counterparts taken together shall constitute one and the same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2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of reference only and shall not limit or otherwise affect the meaning hereof. The use of the word “including” in this Agreement shall be by way of example rather than by limitation.</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8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provided for or permitted to be given under this Agreement must be in writing and shall be given by personal delivery, by certified or registered United States mail (postage prepaid, return receipt requested), by a nationally recognized overnight delivery service for next day delivery, or by facsimile transmission, as follows (or to such other address as any party may give in a notice given in accordance with the provisions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81" w:name="page82"/>
    <w:bookmarkEnd w:id="81"/>
    <w:p>
      <w:pPr>
        <w:ind w:left="130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14301 Caliber Drive,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Oklahoma City, OK 73134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(405) 286-5920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Stockholder: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DB Energy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Wexford Capital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411 West Putnam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Arthur Amron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(203) 862-7312</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notices, requests or other communications will be effective and deemed given only as follows: (i) if given by personal delivery, upon such personal delivery, (ii) if sent by certified or registered mail, on the fifth business day after being deposited in the United States mail, (iii) if sent for next day delivery by overnight delivery service, on the date of delivery as confirmed by written confirmation of delivery, (iv) if sent by facsimile, upon the transmitter’s confirmation of receipt of such facsimile transmission, except that if such confirmation is received after 5:00 p.m. (in the recipient’s time zone) on a business day, or is received on a day that is not a business day, then such notice, request or communication will not be deemed effective or given until the next succeeding business day. Notices, requests and other communications sent in any other manner, including by electronic mail, will not be effective.</w:t>
      </w:r>
    </w:p>
    <w:p>
      <w:pPr>
        <w:spacing w:after="0" w:line="165" w:lineRule="exact"/>
        <w:rPr>
          <w:sz w:val="20"/>
          <w:szCs w:val="20"/>
          <w:color w:val="auto"/>
        </w:rPr>
      </w:pPr>
    </w:p>
    <w:p>
      <w:pPr>
        <w:jc w:val="both"/>
        <w:ind w:firstLine="1305"/>
        <w:spacing w:after="0" w:line="269" w:lineRule="auto"/>
        <w:tabs>
          <w:tab w:leader="none" w:pos="167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AGREEMENT SHALL BE DEEMED TO BE MADE IN AND IN ALL RESPECTS SHALL BE INTERPRETED, CONSTRUED AND GOVERNED BY AND IN ACCORDANCE WITH THE LAW OF THE STATE OF DELAWARE WITHOUT REGARD TO THE CONFLICT OF LAW PRINCIPLES THEREOF. The parties hereby irrevocably submit to the jurisdiction of any federal court located in the State of Delaware or any Delaware state court solely in respect of the interpretation and enforcement of the provisions of this Agreement, and in respect of the transactions contemplated hereby, and hereby waive, and agree not to assert, as a defense in any action, suit or proceeding for the interpretation or enforcement 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the Section on notices above or in such other manner as may be permitted by law shall be valid and sufficient service thereof.</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w:t>
      </w:r>
    </w:p>
    <w:p>
      <w:pPr>
        <w:spacing w:after="0" w:line="5" w:lineRule="exact"/>
        <w:rPr>
          <w:sz w:val="20"/>
          <w:szCs w:val="20"/>
          <w:color w:val="auto"/>
        </w:rPr>
      </w:pPr>
    </w:p>
    <w:p>
      <w:pPr>
        <w:ind w:firstLine="8"/>
        <w:spacing w:after="0" w:line="261" w:lineRule="auto"/>
        <w:tabs>
          <w:tab w:leader="none" w:pos="3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PARTY MAKES THIS WAIVER VOLUNTARILY, AND (IV) EACH PARTY HAS BEEN INDUCED TO ENTER INTO THIS AGREEMENT BY, AMONG OTHER THINGS, THE MUTUAL WAIVERS AND CERTIFICATIONS IN THIS SECTION.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82" w:name="page83"/>
    <w:bookmarkEnd w:id="82"/>
    <w:p>
      <w:pPr>
        <w:jc w:val="both"/>
        <w:ind w:left="-20" w:firstLine="1305"/>
        <w:spacing w:after="0" w:line="264" w:lineRule="auto"/>
        <w:tabs>
          <w:tab w:leader="none" w:pos="162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530"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or have caused this Registration Rights Agreement to be duly executed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425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Randall J. Holder</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STOCKHOLDER: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DB ENERGY HOLDINGS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Jay Maymudes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31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Jay Maymudes</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ectPr>
          <w:pgSz w:w="11900" w:h="16838" w:orient="portrait"/>
          <w:cols w:equalWidth="0" w:num="1">
            <w:col w:w="11420"/>
          </w:cols>
          <w:pgMar w:left="240" w:top="526"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INVESTOR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11, 2012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DIAMONDBACK ENERGY,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GULFPORT ENERGY CORPORATION</w:t>
      </w:r>
    </w:p>
    <w:p>
      <w:pPr>
        <w:sectPr>
          <w:pgSz w:w="11900" w:h="16838" w:orient="portrait"/>
          <w:cols w:equalWidth="0" w:num="1">
            <w:col w:w="10220"/>
          </w:cols>
          <w:pgMar w:left="14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620" w:type="dxa"/>
            <w:vAlign w:val="bottom"/>
            <w:gridSpan w:val="2"/>
          </w:tcPr>
          <w:p>
            <w:pPr>
              <w:jc w:val="right"/>
              <w:ind w:right="423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1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Definitions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Demand Registrations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Piggyback Registrations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4.</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Obligations of the Company</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Registration Expenses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Indemnification</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Rules 144 and 144A</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8.</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Underwritten Registrations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9.</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Covenants of Holders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10.</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Board and Information Rights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Miscellaneous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0640"/>
          </w:cols>
          <w:pgMar w:left="920" w:top="79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INVESTOR RIGHTS AGREEMENT</w:t>
      </w:r>
    </w:p>
    <w:p>
      <w:pPr>
        <w:spacing w:after="0" w:line="3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INVESTOR RIGHTS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October 11, 2012, by and between Diamondback Energy,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Gulfport Energy Corporation, a Delaware corporation (the “</w:t>
      </w:r>
      <w:r>
        <w:rPr>
          <w:rFonts w:ascii="Arial" w:cs="Arial" w:eastAsia="Arial" w:hAnsi="Arial"/>
          <w:sz w:val="17"/>
          <w:szCs w:val="17"/>
          <w:b w:val="1"/>
          <w:bCs w:val="1"/>
          <w:i w:val="1"/>
          <w:iCs w:val="1"/>
          <w:color w:val="auto"/>
        </w:rPr>
        <w:t>Stockholder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Gulfport</w:t>
      </w:r>
      <w:r>
        <w:rPr>
          <w:rFonts w:ascii="Arial" w:cs="Arial" w:eastAsia="Arial" w:hAnsi="Arial"/>
          <w:sz w:val="17"/>
          <w:szCs w:val="17"/>
          <w:color w:val="auto"/>
        </w:rPr>
        <w:t>”).</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in December 2011 in contemplation of an initial public offering of common stock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Offering</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Stockholder will be issued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(as defined below), all of which were validly issued, fully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and non-assessable, pursuant to the Contribution Agreement (as defined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enter into this Agreement to govern certain of their rights, duties and obligations relating to registration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Registrable Securities (as defined below), the nomination of directors, board advisor rights and information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for good, valuable and binding consideration, the receipt and sufficiency of which are hereby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intending to be legally bound hereby, now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AGREEMENT</w:t>
      </w:r>
    </w:p>
    <w:p>
      <w:pPr>
        <w:spacing w:after="0" w:line="252"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meanings set forth below:</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 Person that, directly or indirectly, through one or more intermediaries, Controls, is Controlled by, or is under common Control with the specified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10(c)(1)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means the Amended and Restated Certificate of Incorporation of the Company,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 or any other United States federal agency at the time administering the Securities Act.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Company’s common stock, par value $0.01 per share, or any other shares of capital stock or other securities of the Company into which such shares of Common Stock shall be reclassified or changed, including by reason of a merger, consolidation, reorganization or recapitalization. If the Common Stock has been so reclassified or changed, or if the Company pays a dividend or makes a distribution on the Common Stock in shares of capital stock, or subdivides (or combines) its outstanding shares of Common Stock into a greater (or smaller) number of shares of Common Stock, a share of Common Stock shall be deemed to be such number of shares of stock and amount of other securities to which a holder of a share of Common Stock outstanding immediately prior to such change, reclassification, exchange, dividend, distribution, subdivision or combination would be entitled.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Offering</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Contribution Agreement</w:t>
      </w:r>
      <w:r>
        <w:rPr>
          <w:rFonts w:ascii="Arial" w:cs="Arial" w:eastAsia="Arial" w:hAnsi="Arial"/>
          <w:sz w:val="16"/>
          <w:szCs w:val="16"/>
          <w:color w:val="auto"/>
        </w:rPr>
        <w:t>” means that certain Contribution Agreement by and between the Company and the Stockholder dated as of May 7, 2012.</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refer to the possession, directly or indirectly, of the power to direct or cause the direction of the management or policies of a Person, whether through the ownership of voting securities, any equity interest, or a membership interest in a non-stock corporation; by contract; by power granted in bylaws or similar governing documents; or otherwise. Without limiting the foregoing, any ownership interest greater than fifty percent (50%) for purposes hereof constitutes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DB Holdings Registration Rights Agreement</w:t>
      </w:r>
      <w:r>
        <w:rPr>
          <w:rFonts w:ascii="Arial" w:cs="Arial" w:eastAsia="Arial" w:hAnsi="Arial"/>
          <w:sz w:val="18"/>
          <w:szCs w:val="18"/>
          <w:color w:val="auto"/>
        </w:rPr>
        <w:t>” means that certain Registration Rights Agreement by and between the Company and DB Energy Holdings LLC dated as of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Delay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Right</w:t>
      </w:r>
      <w:r>
        <w:rPr>
          <w:rFonts w:ascii="Arial" w:cs="Arial" w:eastAsia="Arial" w:hAnsi="Arial"/>
          <w:sz w:val="18"/>
          <w:szCs w:val="18"/>
          <w:color w:val="auto"/>
        </w:rPr>
        <w:t>” means any options, warrants, exchangeable or convertible securities, subscription rights, exchange rights, statutory pre-emptive rights, preemptive rights granted under its Charter, stock appreciation rights, phantom stock, profit participation or similar rights, or any other right or instrument pursuant to which any person may be entitled to purchase any security interest in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 and the rules and regulations of the Commission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Gulfport</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Gulfport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means a person who owns Registrable Securities and is either (i) a Stockholder or a Permitted Transferee of a Stockholder that has agreed to be bound by the terms of this Agreement as if such Person were a Stockholder, (ii) upon the death of any Holder, the executor of the estate of such Holder or such Holder’s heirs, devisees, legatees or assigns or (iii) upon the disability of any Holder, any guardian or conservator of such Holder.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natural person who is “independent” under the applicable rules and regulations of the SEC and the rules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of The NASDAQ Global Market or the then applicable exchange on which the Common Stock is then traded (“</w:t>
      </w:r>
      <w:r>
        <w:rPr>
          <w:rFonts w:ascii="Arial" w:cs="Arial" w:eastAsia="Arial" w:hAnsi="Arial"/>
          <w:sz w:val="17"/>
          <w:szCs w:val="17"/>
          <w:b w:val="1"/>
          <w:bCs w:val="1"/>
          <w:i w:val="1"/>
          <w:iCs w:val="1"/>
          <w:color w:val="auto"/>
        </w:rPr>
        <w:t>Marketplace Rules</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Interruption Period</w:t>
      </w:r>
      <w:r>
        <w:rPr>
          <w:rFonts w:ascii="Arial" w:cs="Arial" w:eastAsia="Arial" w:hAnsi="Arial"/>
          <w:sz w:val="18"/>
          <w:szCs w:val="18"/>
          <w:color w:val="auto"/>
        </w:rPr>
        <w:t xml:space="preserve">” has the meaning set forth in the last paragraph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Large Accelerated Filer</w:t>
      </w:r>
      <w:r>
        <w:rPr>
          <w:rFonts w:ascii="Arial" w:cs="Arial" w:eastAsia="Arial" w:hAnsi="Arial"/>
          <w:sz w:val="18"/>
          <w:szCs w:val="18"/>
          <w:color w:val="auto"/>
        </w:rPr>
        <w:t>” has the meaning ascribed to it in Rule 12b-2 promulgated under the Exchange 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law (statutory, common or otherwise), constitution, ordinance, rule, regulation, executive order or other similar authority enacted, adopted, promulgated or applied by any legislature, agency, bureau, branch, department, division, commission, court, tribunal or other similar recognized organization or body of any federal, state, county, municipal, local or foreign government or other similar recognized organization or body exercising similar powers or authority.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Misstatement/Omission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xml:space="preserve">” means any Person to whom the rights under this Agreement have been assigned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11(d)</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partnership, firm, association, trust, government, governmental agency, limited liability company or any other entity, whether acting in an individual, fiduciary or other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prospectus included in any Registration Statement,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means (i) the Shares, (ii) any other shares of Common Stock that may be acquired by a Holder prior to or after the closing of the Common Stock Offering and (iii) any shares of Common Stock issuable pursuant to any rights to acquire Common Stock held by a Holder prior to or after the closing of the Common Stock Offering. If as a result of any reclassification, stock dividends or stock splits or in connection with a combination of shares, recapitalization, merger, consolidation or other reorganization or other transaction or event, any capital stock, evidence of indebtedness, warrants, options, rights or other securities (collectively “</w:t>
      </w:r>
      <w:r>
        <w:rPr>
          <w:rFonts w:ascii="Arial" w:cs="Arial" w:eastAsia="Arial" w:hAnsi="Arial"/>
          <w:sz w:val="17"/>
          <w:szCs w:val="17"/>
          <w:b w:val="1"/>
          <w:bCs w:val="1"/>
          <w:i w:val="1"/>
          <w:iCs w:val="1"/>
          <w:color w:val="auto"/>
        </w:rPr>
        <w:t>Other Securities</w:t>
      </w:r>
      <w:r>
        <w:rPr>
          <w:rFonts w:ascii="Arial" w:cs="Arial" w:eastAsia="Arial" w:hAnsi="Arial"/>
          <w:sz w:val="17"/>
          <w:szCs w:val="17"/>
          <w:color w:val="auto"/>
        </w:rPr>
        <w:t>”) are issued or transferred to a Holder in respect of Registrable Securities held by the Holder, references herein to Registrable Securities shall be deemed to include such Other Securities. As to any particular Registrable Securities, such securities will cease to be Registrable Securities when (i) they have been distributed to the public pursuant to an offering registered under the Securities Act, or may legally be distributed to the public in one transaction pursuant to Rule 144 under the Securities Act, (ii) they have been distributed to the public pursuant to Rule 144 (or any successor provision) under the Securities Act, or (iii) they have been sold to any Person to whom the rights under this Agreement are not assigned in accordance with this Agreement.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any registration statement under the Securities Act of the Company that covers any of the Registrable Securities, including the related Prospectus, amendments and supplements to such registration statement or Prospectus, including pre- and post-effective amendments, all exhibits, and all materials incorporated by reference or deemed to be incorporated by reference in such registration statement or Prospectus.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has the meaning set forth in the introductory paragraph of this Agreement.</w:t>
      </w:r>
    </w:p>
    <w:p>
      <w:pPr>
        <w:spacing w:after="0" w:line="22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b w:val="1"/>
          <w:bCs w:val="1"/>
          <w:color w:val="auto"/>
        </w:rPr>
        <w:t>Demand Registrations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Right to Demand</w:t>
      </w:r>
      <w:r>
        <w:rPr>
          <w:rFonts w:ascii="Arial" w:cs="Arial" w:eastAsia="Arial" w:hAnsi="Arial"/>
          <w:sz w:val="18"/>
          <w:szCs w:val="18"/>
          <w:color w:val="auto"/>
        </w:rPr>
        <w:t>. Upon the terms and subject to the conditions of this Agreement, Holders of at least a majority of the aggregate amount of outstanding Registrable Securities shall have the right, by written notice (the “</w:t>
      </w:r>
      <w:r>
        <w:rPr>
          <w:rFonts w:ascii="Arial" w:cs="Arial" w:eastAsia="Arial" w:hAnsi="Arial"/>
          <w:sz w:val="18"/>
          <w:szCs w:val="18"/>
          <w:b w:val="1"/>
          <w:bCs w:val="1"/>
          <w:i w:val="1"/>
          <w:iCs w:val="1"/>
          <w:color w:val="auto"/>
        </w:rPr>
        <w:t>Demand Notice</w:t>
      </w:r>
      <w:r>
        <w:rPr>
          <w:rFonts w:ascii="Arial" w:cs="Arial" w:eastAsia="Arial" w:hAnsi="Arial"/>
          <w:sz w:val="18"/>
          <w:szCs w:val="18"/>
          <w:color w:val="auto"/>
        </w:rPr>
        <w:t>”) given to the Company, to request the Company to register under and in accordance with the provisions of the Securities Act all or part of the Registrable Securities designated by such Holders (a “</w:t>
      </w:r>
      <w:r>
        <w:rPr>
          <w:rFonts w:ascii="Arial" w:cs="Arial" w:eastAsia="Arial" w:hAnsi="Arial"/>
          <w:sz w:val="18"/>
          <w:szCs w:val="18"/>
          <w:b w:val="1"/>
          <w:bCs w:val="1"/>
          <w:i w:val="1"/>
          <w:iCs w:val="1"/>
          <w:color w:val="auto"/>
        </w:rPr>
        <w:t>Demand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Upon receipt of any such Demand Notice, the Company will promptly notify all other Holders of the receipt of such Demand Notice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allow them the opportunity to include Registrable Securities in the proposed registration by giving notice to the Company within five days after the Holder receives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Holders joining in a proposed registration pursuant to this sentence shall not be deemed to have exercised a Demand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89" w:name="page90"/>
    <w:bookmarkEnd w:id="89"/>
    <w:p>
      <w:pPr>
        <w:jc w:val="both"/>
        <w:spacing w:after="0" w:line="264" w:lineRule="auto"/>
        <w:rPr>
          <w:sz w:val="20"/>
          <w:szCs w:val="20"/>
          <w:color w:val="auto"/>
        </w:rPr>
      </w:pPr>
      <w:r>
        <w:rPr>
          <w:rFonts w:ascii="Arial" w:cs="Arial" w:eastAsia="Arial" w:hAnsi="Arial"/>
          <w:sz w:val="18"/>
          <w:szCs w:val="18"/>
          <w:color w:val="auto"/>
        </w:rPr>
        <w:t xml:space="preserve">Registration for purposes of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and such Holders shall be included in such registration on the basis set forth in </w:t>
      </w:r>
      <w:r>
        <w:rPr>
          <w:rFonts w:ascii="Arial" w:cs="Arial" w:eastAsia="Arial" w:hAnsi="Arial"/>
          <w:sz w:val="18"/>
          <w:szCs w:val="18"/>
          <w:u w:val="single" w:color="auto"/>
          <w:color w:val="auto"/>
        </w:rPr>
        <w:t>Section 2(h)</w:t>
      </w:r>
      <w:r>
        <w:rPr>
          <w:rFonts w:ascii="Arial" w:cs="Arial" w:eastAsia="Arial" w:hAnsi="Arial"/>
          <w:sz w:val="18"/>
          <w:szCs w:val="18"/>
          <w:color w:val="auto"/>
        </w:rPr>
        <w:t xml:space="preserve"> hereof. The Company shall not be required to register any Registrable Securities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unless the anticipated aggregate offering price to the public for any such offering of the Registrable Securities included in such Demand Notice is expected to be at least $1 million.</w:t>
      </w:r>
    </w:p>
    <w:p>
      <w:pPr>
        <w:spacing w:after="0" w:line="181" w:lineRule="exact"/>
        <w:rPr>
          <w:sz w:val="20"/>
          <w:szCs w:val="20"/>
          <w:color w:val="auto"/>
        </w:rPr>
      </w:pPr>
    </w:p>
    <w:p>
      <w:pPr>
        <w:jc w:val="both"/>
        <w:ind w:firstLine="1305"/>
        <w:spacing w:after="0" w:line="291" w:lineRule="auto"/>
        <w:tabs>
          <w:tab w:leader="none" w:pos="1713"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Number of Demand Registrations</w:t>
      </w:r>
      <w:r>
        <w:rPr>
          <w:rFonts w:ascii="Arial" w:cs="Arial" w:eastAsia="Arial" w:hAnsi="Arial"/>
          <w:sz w:val="16"/>
          <w:szCs w:val="16"/>
          <w:color w:val="auto"/>
        </w:rPr>
        <w:t>. Upon the terms and subject to the conditions of this Agreement, Holders shall be entitled to have three Demand Registrations effected. A Demand Registration shall not be deemed to be effected and shall not count as a Demand Registration of any Person</w:t>
      </w:r>
    </w:p>
    <w:p>
      <w:pPr>
        <w:jc w:val="both"/>
        <w:ind w:firstLine="8"/>
        <w:spacing w:after="0" w:line="267" w:lineRule="auto"/>
        <w:tabs>
          <w:tab w:leader="none" w:pos="2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if a Registration Statement with respect thereto shall not have become effective under the Securities Act and remained effective (A) for at least 180 days (excluding any Interruption Period or Delay Period) in the case of a Demand Registration that is not on a Form S-3 or other comparable form or (B) for at least two years (excluding any Interruption Period or Delay Period) in the case of a Demand Registration on Form S-3 or other comparable form, or until the completion of the distribution of the Registrable Securities thereunder, whichever is earlier (including, without limitation, because of withdrawal of such Registration Statement by the Holders pursuant to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hereunder), (ii) if, after it has become effective, such registration is interfered with for any reason by any stop order, injunction or other order or requirement of the Commission or any governmental authority, or as a result of the initiation of any proceeding for such stop order by the Commission through no fault of the Holders and the result of such interference is to prevent the Holders from disposing of such Registrable Securities proposed to be sold in accordance with the intended methods of disposition, or (iii) if the conditions to closing specified in the purchase agreement or underwriting agreement entered into in connection with any underwritten offering shall not be satisfied or waived with the consent of the Holders of a majority in number of the Registrable Securities to be included in such Demand Registration, other than as a result of any breach by the Holders or any underwriter of its obligations thereunder or hereunder.</w:t>
      </w:r>
    </w:p>
    <w:p>
      <w:pPr>
        <w:spacing w:after="0" w:line="186" w:lineRule="exact"/>
        <w:rPr>
          <w:rFonts w:ascii="Arial" w:cs="Arial" w:eastAsia="Arial" w:hAnsi="Arial"/>
          <w:sz w:val="17"/>
          <w:szCs w:val="17"/>
          <w:color w:val="auto"/>
        </w:rPr>
      </w:pPr>
    </w:p>
    <w:p>
      <w:pPr>
        <w:jc w:val="both"/>
        <w:ind w:firstLine="1305"/>
        <w:spacing w:after="0" w:line="273" w:lineRule="auto"/>
        <w:tabs>
          <w:tab w:leader="none" w:pos="1676"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Subject to paragraph (a) above, as soon as practicable, but in any event within 45 days of the date on which the Company first receives one or more Demand Notices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 the Company shall file with the Commission a Registration Statement on the appropriate form for the registration and sale of the total number of Registrable Securities specified in such Demand Notice, together with the number of Registrable Securities requested to be included in the Demand Registration by other Holders, in accordance with the intended method or methods of distribution specified by the Holders in such Demand Notice. The Company shall use its reasonable best efforts to cause such Registration Statement to be declared effective by the Commission as soon as reasonably practicable.</w:t>
      </w:r>
    </w:p>
    <w:p>
      <w:pPr>
        <w:spacing w:after="0" w:line="178" w:lineRule="exact"/>
        <w:rPr>
          <w:rFonts w:ascii="Arial" w:cs="Arial" w:eastAsia="Arial" w:hAnsi="Arial"/>
          <w:sz w:val="17"/>
          <w:szCs w:val="17"/>
          <w:color w:val="auto"/>
        </w:rPr>
      </w:pPr>
    </w:p>
    <w:p>
      <w:pPr>
        <w:jc w:val="both"/>
        <w:ind w:firstLine="1305"/>
        <w:spacing w:after="0" w:line="285" w:lineRule="auto"/>
        <w:tabs>
          <w:tab w:leader="none" w:pos="168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Amendments; Supplements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4(a)</w:t>
      </w:r>
      <w:r>
        <w:rPr>
          <w:rFonts w:ascii="Arial" w:cs="Arial" w:eastAsia="Arial" w:hAnsi="Arial"/>
          <w:sz w:val="16"/>
          <w:szCs w:val="16"/>
          <w:color w:val="auto"/>
        </w:rPr>
        <w:t>, upon the occurrence of any event that would cause the Registration Statement (A) to contain a material misstatement or omission or (B) to be not effective and usable for resale of Registrable Securities during the period that such Registration Statement is required to be effective and usable, the Company shall file an amendment to the Registration Statement as soon as reasonably practicable if the Registration Statement is not on Form S-3 or another comparable form and such misstatement or omission is not corrected as soon as reasonably practicable by incorporation by reference, in the case of clause (A), correcting any such misstatement or omission and, in the case of either clause</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 or (B), use its reasonable best efforts to cause such amendment to be declared effective and such Registration Statement to become usable as soon as reasonably practicable thereafter.</w:t>
      </w:r>
    </w:p>
    <w:p>
      <w:pPr>
        <w:spacing w:after="0" w:line="183" w:lineRule="exact"/>
        <w:rPr>
          <w:rFonts w:ascii="Arial" w:cs="Arial" w:eastAsia="Arial" w:hAnsi="Arial"/>
          <w:sz w:val="16"/>
          <w:szCs w:val="16"/>
          <w:color w:val="auto"/>
        </w:rPr>
      </w:pPr>
    </w:p>
    <w:p>
      <w:pPr>
        <w:jc w:val="both"/>
        <w:ind w:firstLine="1305"/>
        <w:spacing w:after="0" w:line="273" w:lineRule="auto"/>
        <w:tabs>
          <w:tab w:leader="none" w:pos="1690"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The Company agrees to use its reasonable best efforts to keep any Registration Statement filed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continuously effective and usable for the sale of Registrable Securities until the earlier of (i) (a) in the case of a Demand Registration for delayed or continuous offerings of Registrable Securities filed on Form S-3 or another comparable form, two years after the date on which the Commission declares such Registration Statement effective (excluding any Interruption Period or Delay Period) or (b) in the case of a Demand Registration that is not on Form S-3 or another comparable form, 180 days from the date on which the Commission declares such Registration Statement effective (excluding any Interruption Period or Delay Period) and (ii) the date on which there are no longer any Registrable Securities.</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65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Holders Withdrawal</w:t>
      </w:r>
      <w:r>
        <w:rPr>
          <w:rFonts w:ascii="Arial" w:cs="Arial" w:eastAsia="Arial" w:hAnsi="Arial"/>
          <w:sz w:val="18"/>
          <w:szCs w:val="18"/>
          <w:color w:val="auto"/>
        </w:rPr>
        <w:t xml:space="preserve">. Holders of a majority in number of the Registrable Securities to be included in a Demand Registration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may, at any time prior to the effective date of the Registration Statement in respect thereof, revoke such request by providing a written notice to the Company to such effect.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90" w:name="page91"/>
    <w:bookmarkEnd w:id="90"/>
    <w:p>
      <w:pPr>
        <w:jc w:val="both"/>
        <w:ind w:firstLine="1305"/>
        <w:spacing w:after="0" w:line="290" w:lineRule="auto"/>
        <w:tabs>
          <w:tab w:leader="none" w:pos="168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Preemption of Demand Registration</w:t>
      </w:r>
      <w:r>
        <w:rPr>
          <w:rFonts w:ascii="Arial" w:cs="Arial" w:eastAsia="Arial" w:hAnsi="Arial"/>
          <w:sz w:val="16"/>
          <w:szCs w:val="16"/>
          <w:color w:val="auto"/>
        </w:rPr>
        <w:t xml:space="preserve">. Notwithstanding anything to the contrary contained herein, after receiving a written request for a Demand Registration, the Company may elect to effect an underwritten primary registration in lieu of the Demand Registration if the Company’s Board of Directors believes that such primary registration would be in the best interests of the Company. If the Company so elects to effect a primary registration, the Company shall give prompt written notice (which shall be given not later than 20 days after the date of the Demand Notice) to all Holders of its intention to effect such a registration and shall afford the Holders the rights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Piggyback Registrations. In the event that the Company so elects to effect a primary registration after receiving a request for a Demand Registration, the Company shall use its reasonable best efforts to have the Registration Statement declared effective by the Commission as soon as reasonably practicable. In addition, the request for a Demand Registration shall be deemed to have been withdrawn and such primary registration shall not be deemed to be a Demand Registration.</w:t>
      </w:r>
    </w:p>
    <w:p>
      <w:pPr>
        <w:spacing w:after="0" w:line="166" w:lineRule="exact"/>
        <w:rPr>
          <w:rFonts w:ascii="Arial" w:cs="Arial" w:eastAsia="Arial" w:hAnsi="Arial"/>
          <w:sz w:val="16"/>
          <w:szCs w:val="16"/>
          <w:color w:val="auto"/>
        </w:rPr>
      </w:pPr>
    </w:p>
    <w:p>
      <w:pPr>
        <w:jc w:val="both"/>
        <w:ind w:firstLine="1305"/>
        <w:spacing w:after="0" w:line="286" w:lineRule="auto"/>
        <w:tabs>
          <w:tab w:leader="none" w:pos="180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w:t>
      </w:r>
      <w:r>
        <w:rPr>
          <w:rFonts w:ascii="Arial" w:cs="Arial" w:eastAsia="Arial" w:hAnsi="Arial"/>
          <w:sz w:val="16"/>
          <w:szCs w:val="16"/>
          <w:color w:val="auto"/>
        </w:rPr>
        <w:t xml:space="preserve">. If a Demand Registration is an underwritten offering and includes securities for sale by the Company, and the managing underwriter (such underwriter to be chosen by Holders of a majority of the Registrable Securities included in such registration, subject to the Company’s reasonable approval) advises the Company, in writing, that, in its good faith judgment, the number of securities requested to be included in such registration exceeds the number which can be sold in such offering without materially and adversely affecting the marketability of the offering, then the Company will include in any such registration the maximum number of shares that the managing underwriter advises the Company can be sold in such offering allocated as follows: (i) first, the Registrable Securities requested to be included in such registration by the initiating Holders and securities of other Holders of Registrable Securities and holders of Registrable Securities (as defined in the DB Holdings Registration Rights Agreement), with all such securities to be included on a pro rata basis (or in such other proportion mutually agreed among such Holders) based on the amount of securities requested to be included therein and (ii) second, to the extent that any other securities may be included without exceeding the limitations recommended by the underwriter as aforesaid, the securities that the Company proposes to sell together with such additional securities to be included on a pro rata basis (or in such other proportion mutually agreed upon among the Company and such other holders) based on the amount of securities requested to be included therein. If the initiating Holders are not allowed to register all of the Registrable Securities requested to be included by such Holders because of allocations required by this section, such initiating Holders shall not be deemed to have exercised a Demand Registration for purposes of </w:t>
      </w:r>
      <w:r>
        <w:rPr>
          <w:rFonts w:ascii="Arial" w:cs="Arial" w:eastAsia="Arial" w:hAnsi="Arial"/>
          <w:sz w:val="16"/>
          <w:szCs w:val="16"/>
          <w:u w:val="single" w:color="auto"/>
          <w:color w:val="auto"/>
        </w:rPr>
        <w:t>Section 2(b)</w:t>
      </w:r>
      <w:r>
        <w:rPr>
          <w:rFonts w:ascii="Arial" w:cs="Arial" w:eastAsia="Arial" w:hAnsi="Arial"/>
          <w:sz w:val="16"/>
          <w:szCs w:val="16"/>
          <w:color w:val="auto"/>
        </w:rPr>
        <w:t>.</w:t>
      </w:r>
    </w:p>
    <w:p>
      <w:pPr>
        <w:spacing w:after="0" w:line="17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b w:val="1"/>
          <w:bCs w:val="1"/>
          <w:color w:val="auto"/>
        </w:rPr>
        <w:t>Piggyback Registrations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0" w:lineRule="auto"/>
        <w:tabs>
          <w:tab w:leader="none" w:pos="1757"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Right to Piggyback Registrations</w:t>
      </w:r>
      <w:r>
        <w:rPr>
          <w:rFonts w:ascii="Arial" w:cs="Arial" w:eastAsia="Arial" w:hAnsi="Arial"/>
          <w:sz w:val="17"/>
          <w:szCs w:val="17"/>
          <w:color w:val="auto"/>
        </w:rPr>
        <w:t>. Whenever the Company or another party having registration rights proposes that the Company register any of the Company’s equity securities under the Securities Act (other than a registration on Form S-4 relating solely to a transaction described in Rule 145 of the Securities Act or a registration on Form S-8 or any successor forms thereto), whether or not for sale for the Company’s own account, the Company will give prompt written notice of such proposed filing to all Holders at least 15 days before the anticipated filing date. Such notice shall offer such Holders the opportunity to register such amount of Registrable Securities as they shall request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hereof, the Company shall include in each such Piggyback Registration all Registrable Securities with respect to which the Company has received written requests for inclusion therein within 10 days after such notice has been given by the Company to the Holders. If the Registration Statement relating to the Piggyback Registration is for an underwritten offering, such Registrable Securities shall be included in the underwriting on the same terms and conditions as the securities otherwise being sold through the underwriters. Each Holder shall be permitted to withdraw all or part of the Registrable Securities from a Piggyback Registration at any time prior to the effective time of such Piggyback Registration.</w:t>
      </w:r>
    </w:p>
    <w:p>
      <w:pPr>
        <w:spacing w:after="0" w:line="177" w:lineRule="exact"/>
        <w:rPr>
          <w:rFonts w:ascii="Arial" w:cs="Arial" w:eastAsia="Arial" w:hAnsi="Arial"/>
          <w:sz w:val="17"/>
          <w:szCs w:val="17"/>
          <w:color w:val="auto"/>
        </w:rPr>
      </w:pPr>
    </w:p>
    <w:p>
      <w:pPr>
        <w:jc w:val="both"/>
        <w:ind w:firstLine="1305"/>
        <w:spacing w:after="0" w:line="293" w:lineRule="auto"/>
        <w:tabs>
          <w:tab w:leader="none" w:pos="168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Priority on Piggyback Registrations</w:t>
      </w:r>
      <w:r>
        <w:rPr>
          <w:rFonts w:ascii="Arial" w:cs="Arial" w:eastAsia="Arial" w:hAnsi="Arial"/>
          <w:sz w:val="16"/>
          <w:szCs w:val="16"/>
          <w:color w:val="auto"/>
        </w:rPr>
        <w:t>. If a Piggyback Registration is an underwritten offering by or through one or more underwriters of recognized standing and the managing underwriters advise the party or parties initiating such offering in writing (a copy of which writing shall be provided to the Holders) that in their good faith judgment the number of securities requested to be included in such registration exceeds the number which can be sold in such offering without materially and adversely affecting the marketability of the offering, then any such registration shall include the maximum number of shares that such managing underwriters advise can be sold in such offering allocated as follows: (x) if the Company has initiated such offering, (i) first, the securities the Company proposes to sell, and (ii) second, to the extent that any other securities may be included without exceeding the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t>recommended by the underwriters as aforesaid, (A) the Registrable Securities to be included in such registration by the Holders and the holders of Registrable Securities (as defined in the DB Registration Rights Agreement), with all such additional securities to be included on a pro rata basis (or in such other proportion mutually agreed among the Holders and such other holders), based on the amount of Registrable Securities and other securities requested to be included therein, and then, if additional securities may be included (B) to such additional securities on a pro rata basis (or in such other proportion mutually agreed among them), (y) if a holder of Registrable Securities (as defined in the DB Holdings Registration Rights Agreement) has initiated such offering, (i) first, the securities the holders under the DB Registration Rights Agreement propose to sell together with the securities the Holders of Registrable Securities hereunder propose to sell on a pro rata basis (or in such other proportion mutually agreed upon among such holders and the Holders), based on the amount of securities requested to be included therein and (ii) second, to the extent that any other securities may be included without exceeding the limitations recommended by the underwriters as aforesaid, all such other securities on a pro rata basis (or in such other proportion mutually agreed upon among such other holders) based on the amount of securities requested to be included therein, and (z) if a party other than the Company or a holder under the DB Holdings Registration Rights Agreement initiated such offering, securities proposed to be sold by the Company, and the Registrable Securities to be included in such registration by the Holders, with such additional securities to be included on a pro rata basis (or in such other proportion mutually agreed among the Company, the Holders and such other holders), based on the amount of Registrable Securities and other securities requested to be included therein.</w:t>
      </w:r>
    </w:p>
    <w:p>
      <w:pPr>
        <w:spacing w:after="0" w:line="17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b w:val="1"/>
          <w:bCs w:val="1"/>
          <w:color w:val="auto"/>
        </w:rPr>
        <w:t>Obligations of the Company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1" w:lineRule="auto"/>
        <w:tabs>
          <w:tab w:leader="none" w:pos="175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Delay Period</w:t>
      </w:r>
      <w:r>
        <w:rPr>
          <w:rFonts w:ascii="Arial" w:cs="Arial" w:eastAsia="Arial" w:hAnsi="Arial"/>
          <w:sz w:val="17"/>
          <w:szCs w:val="17"/>
          <w:color w:val="auto"/>
        </w:rPr>
        <w:t xml:space="preserve">. Notwithstanding the foregoing, the Company shall have the right to delay the filing of any Registration Statement otherwise required to be prepared and filed by the Company pursuant to </w:t>
      </w:r>
      <w:r>
        <w:rPr>
          <w:rFonts w:ascii="Arial" w:cs="Arial" w:eastAsia="Arial" w:hAnsi="Arial"/>
          <w:sz w:val="17"/>
          <w:szCs w:val="17"/>
          <w:u w:val="single" w:color="auto"/>
          <w:color w:val="auto"/>
        </w:rPr>
        <w:t>Sections 2 or 3</w:t>
      </w:r>
      <w:r>
        <w:rPr>
          <w:rFonts w:ascii="Arial" w:cs="Arial" w:eastAsia="Arial" w:hAnsi="Arial"/>
          <w:sz w:val="17"/>
          <w:szCs w:val="17"/>
          <w:color w:val="auto"/>
        </w:rPr>
        <w:t>, or to suspend the use of any Registration Statement, for a period not in excess of 60 consecutive calendar days (a “</w:t>
      </w:r>
      <w:r>
        <w:rPr>
          <w:rFonts w:ascii="Arial" w:cs="Arial" w:eastAsia="Arial" w:hAnsi="Arial"/>
          <w:sz w:val="17"/>
          <w:szCs w:val="17"/>
          <w:b w:val="1"/>
          <w:bCs w:val="1"/>
          <w:i w:val="1"/>
          <w:iCs w:val="1"/>
          <w:color w:val="auto"/>
        </w:rPr>
        <w:t>Delay Period</w:t>
      </w:r>
      <w:r>
        <w:rPr>
          <w:rFonts w:ascii="Arial" w:cs="Arial" w:eastAsia="Arial" w:hAnsi="Arial"/>
          <w:sz w:val="17"/>
          <w:szCs w:val="17"/>
          <w:color w:val="auto"/>
        </w:rPr>
        <w:t>”) if (i) the Board of Directors of the Company by written resolution determines that filing or maintaining the effectiveness of such Registration Statement would have a material adverse effect on the Company or the holders of its capital stock in relation to any material acquisition or disposition, financing or other corporate transaction or (ii) the Board of Directors of the Company by written resolution determines in good faith that the filing of a Registration Statement or maintaining the effectiveness of a current Registration Statement would require disclosure of material information that the Company has a valid business purpose for retaining as confidential at such time. The Company shall not be entitled to exercise a Delay Period more than one time in any 12-month period.</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71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Whenever the Company is required to register Registrable Securities pursuant to </w:t>
      </w:r>
      <w:r>
        <w:rPr>
          <w:rFonts w:ascii="Arial" w:cs="Arial" w:eastAsia="Arial" w:hAnsi="Arial"/>
          <w:sz w:val="18"/>
          <w:szCs w:val="18"/>
          <w:u w:val="single" w:color="auto"/>
          <w:color w:val="auto"/>
        </w:rPr>
        <w:t>Sections 2 or 3</w:t>
      </w:r>
      <w:r>
        <w:rPr>
          <w:rFonts w:ascii="Arial" w:cs="Arial" w:eastAsia="Arial" w:hAnsi="Arial"/>
          <w:sz w:val="18"/>
          <w:szCs w:val="18"/>
          <w:color w:val="auto"/>
        </w:rPr>
        <w:t xml:space="preserve"> hereof, the Company will use its reasonable best efforts to effect the registration to permit the sale of such Registrable Securities in accordance with the intended method or methods of disposition thereof, and pursuant thereto the Company will as expeditiously as possible:</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3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prepare and file with the Commission a Registration Statement with respect to such Registrable Securities as prescribed by </w:t>
      </w:r>
      <w:r>
        <w:rPr>
          <w:rFonts w:ascii="Arial" w:cs="Arial" w:eastAsia="Arial" w:hAnsi="Arial"/>
          <w:sz w:val="18"/>
          <w:szCs w:val="18"/>
          <w:u w:val="single" w:color="auto"/>
          <w:color w:val="auto"/>
        </w:rPr>
        <w:t>Sections 2 or 3</w:t>
      </w:r>
      <w:r>
        <w:rPr>
          <w:rFonts w:ascii="Arial" w:cs="Arial" w:eastAsia="Arial" w:hAnsi="Arial"/>
          <w:sz w:val="18"/>
          <w:szCs w:val="18"/>
          <w:color w:val="auto"/>
        </w:rPr>
        <w:t xml:space="preserve"> on a form available for the sale of the Registrable Securities by the holders thereof in accordance with the intended method or methods of distribution thereof and use its reasonable best efforts to cause each such Registration Statement to become and remain effective within the time periods and otherwise as provided herein;</w:t>
      </w:r>
    </w:p>
    <w:p>
      <w:pPr>
        <w:spacing w:after="0" w:line="186" w:lineRule="exact"/>
        <w:rPr>
          <w:rFonts w:ascii="Arial" w:cs="Arial" w:eastAsia="Arial" w:hAnsi="Arial"/>
          <w:sz w:val="18"/>
          <w:szCs w:val="18"/>
          <w:color w:val="auto"/>
        </w:rPr>
      </w:pPr>
    </w:p>
    <w:p>
      <w:pPr>
        <w:jc w:val="both"/>
        <w:ind w:firstLine="1953"/>
        <w:spacing w:after="0" w:line="276" w:lineRule="auto"/>
        <w:tabs>
          <w:tab w:leader="none" w:pos="2347" w:val="left"/>
        </w:tabs>
        <w:numPr>
          <w:ilvl w:val="1"/>
          <w:numId w:val="72"/>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(including post-effective amendments) to the Registration Statement and such supplements to the Prospectus as may be necessary to keep such Registration Statement effective within the time periods and otherwise as provided herein and to comply with the provisions of the Securities Act with respect to the disposition of all securities covered by such Registration Statement until such time as all of such securities have been disposed of in accordance with the intended methods of disposition by the seller or sellers thereof set forth in such Registration Statement, except as otherwise expressly provided herein;</w:t>
      </w:r>
    </w:p>
    <w:p>
      <w:pPr>
        <w:spacing w:after="0" w:line="172" w:lineRule="exact"/>
        <w:rPr>
          <w:rFonts w:ascii="Arial" w:cs="Arial" w:eastAsia="Arial" w:hAnsi="Arial"/>
          <w:sz w:val="17"/>
          <w:szCs w:val="17"/>
          <w:color w:val="auto"/>
        </w:rPr>
      </w:pPr>
    </w:p>
    <w:p>
      <w:pPr>
        <w:jc w:val="both"/>
        <w:ind w:firstLine="1953"/>
        <w:spacing w:after="0" w:line="279" w:lineRule="auto"/>
        <w:tabs>
          <w:tab w:leader="none" w:pos="2369" w:val="left"/>
        </w:tabs>
        <w:numPr>
          <w:ilvl w:val="1"/>
          <w:numId w:val="72"/>
        </w:numPr>
        <w:rPr>
          <w:rFonts w:ascii="Arial" w:cs="Arial" w:eastAsia="Arial" w:hAnsi="Arial"/>
          <w:sz w:val="17"/>
          <w:szCs w:val="17"/>
          <w:color w:val="auto"/>
        </w:rPr>
      </w:pPr>
      <w:r>
        <w:rPr>
          <w:rFonts w:ascii="Arial" w:cs="Arial" w:eastAsia="Arial" w:hAnsi="Arial"/>
          <w:sz w:val="17"/>
          <w:szCs w:val="17"/>
          <w:color w:val="auto"/>
        </w:rPr>
        <w:t>furnish to each selling Holder of Registrable Securities covered by a Registration Statement and to each underwriter, if any, such number of copies of such Registration Statement, each amendment and post-effective amendment thereto, the Prospectus included in such Registration Statement (including each preliminary prospectus and any supplement to such Prospectus and any other prospectus filed under Rule 424 of the Securities Act), in each case including all exhibits, and such other documents as such Holder may reasonably request in order to facilitate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the disposition of the Registrable Securities owned by such Holder or to be disposed of by such underwriter (the Company hereby consenting to the use in accordance with all applicable Law of each such Registration Statement (or amendment or post-effective amendment thereto) and each such Prospectus (or preliminary prospectus or supplement thereto) by each such Holder and the underwriters, if any, in connection with the offering and sale of the Registrable Securities covered by such Registration Statement or Prospectus);</w:t>
      </w:r>
    </w:p>
    <w:p>
      <w:pPr>
        <w:spacing w:after="0" w:line="187" w:lineRule="exact"/>
        <w:rPr>
          <w:sz w:val="20"/>
          <w:szCs w:val="20"/>
          <w:color w:val="auto"/>
        </w:rPr>
      </w:pPr>
    </w:p>
    <w:p>
      <w:pPr>
        <w:jc w:val="both"/>
        <w:ind w:firstLine="1953"/>
        <w:spacing w:after="0" w:line="271" w:lineRule="auto"/>
        <w:tabs>
          <w:tab w:leader="none" w:pos="235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use its reasonable best efforts to register or qualify and, if applicable, to cooperate with the selling Holders, the underwriters, if any, and their respective counsel in connection with the registration or qualification (or exemption from such registration or qualification) of, the Registrable Securities for offer and sale under the securities or blue sky laws of such jurisdictions as any selling Holder or managing underwriters (if any) shall reasonably request, to keep each such registration or qualification (or exemption therefrom) effective during the period such Registration Statement is required to be kept effective as provided herein and to do any and all other acts or things necessary or advisable to enable the disposition in such jurisdictions of the securities covered by the applicable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not be required to (i) qualify generally to do business in any jurisdiction where it would not otherwise be required to qualify but for this paragraph or (ii) consent to general service of process or taxation in any such jurisdiction where it is not so subject;</w:t>
      </w:r>
    </w:p>
    <w:p>
      <w:pPr>
        <w:spacing w:after="0" w:line="178" w:lineRule="exact"/>
        <w:rPr>
          <w:rFonts w:ascii="Arial" w:cs="Arial" w:eastAsia="Arial" w:hAnsi="Arial"/>
          <w:sz w:val="17"/>
          <w:szCs w:val="17"/>
          <w:color w:val="auto"/>
        </w:rPr>
      </w:pPr>
    </w:p>
    <w:p>
      <w:pPr>
        <w:ind w:right="20" w:firstLine="1953"/>
        <w:spacing w:after="0" w:line="277" w:lineRule="auto"/>
        <w:tabs>
          <w:tab w:leader="none" w:pos="23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or quoted (as the case may be) on each national securities exchange or other securities market on which securities of the same class as the Registrable Securities are then listed or quoted;</w:t>
      </w:r>
    </w:p>
    <w:p>
      <w:pPr>
        <w:spacing w:after="0" w:line="170" w:lineRule="exact"/>
        <w:rPr>
          <w:rFonts w:ascii="Arial" w:cs="Arial" w:eastAsia="Arial" w:hAnsi="Arial"/>
          <w:sz w:val="18"/>
          <w:szCs w:val="18"/>
          <w:color w:val="auto"/>
        </w:rPr>
      </w:pPr>
    </w:p>
    <w:p>
      <w:pPr>
        <w:ind w:firstLine="1953"/>
        <w:spacing w:after="0" w:line="277" w:lineRule="auto"/>
        <w:tabs>
          <w:tab w:leader="none" w:pos="24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a transfer agent and registrar for all such Registrable Securities and a CUSIP number for all such Registrable Securities not later than the effective date of such Registration Statement;</w:t>
      </w:r>
    </w:p>
    <w:p>
      <w:pPr>
        <w:spacing w:after="0" w:line="170" w:lineRule="exact"/>
        <w:rPr>
          <w:rFonts w:ascii="Arial" w:cs="Arial" w:eastAsia="Arial" w:hAnsi="Arial"/>
          <w:sz w:val="18"/>
          <w:szCs w:val="18"/>
          <w:color w:val="auto"/>
        </w:rPr>
      </w:pPr>
    </w:p>
    <w:p>
      <w:pPr>
        <w:jc w:val="both"/>
        <w:ind w:firstLine="1953"/>
        <w:spacing w:after="0" w:line="293" w:lineRule="auto"/>
        <w:tabs>
          <w:tab w:leader="none" w:pos="23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Commission, and make available to its security holders an earnings statement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(or in each case within such extended period of time as may be permitted by the Commission for filing the applicable report with the Commission) (i) commencing at the end of any fiscal quarter in which Registrable Securities are sold to underwriters in an underwritten offering or (ii) if not sold to underwriters in such an offering, commencing on the first day of the first fiscal quarter of the Company after the effective date of a Registration Statement;</w:t>
      </w:r>
    </w:p>
    <w:p>
      <w:pPr>
        <w:spacing w:after="0" w:line="164" w:lineRule="exact"/>
        <w:rPr>
          <w:rFonts w:ascii="Arial" w:cs="Arial" w:eastAsia="Arial" w:hAnsi="Arial"/>
          <w:sz w:val="16"/>
          <w:szCs w:val="16"/>
          <w:color w:val="auto"/>
        </w:rPr>
      </w:pPr>
    </w:p>
    <w:p>
      <w:pPr>
        <w:jc w:val="both"/>
        <w:ind w:firstLine="1953"/>
        <w:spacing w:after="0" w:line="257" w:lineRule="auto"/>
        <w:tabs>
          <w:tab w:leader="none" w:pos="23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use its reasonable best efforts to prevent the issuance of any order suspending the effectiveness of a Registration Statement or suspending the qualification (or exemption from qualification) of any of the Registrable Securities included therein for sale in any jurisdiction, and, in the event of the issuance of any stop order suspending the effectiveness of a Registration Statement, or of any order suspending the qualification of any Registrable Securities included in such Registration Statement for sale in any jurisdiction, the Company will use its reasonable best efforts promptly to obtain the withdrawal of such order at the earliest possible moment;</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4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 “cold comfort” letters and updates thereof (which letters and updates (in form, scope and substance) shall be reasonably satisfactory to the managing underwriters, if any, and the Holders)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Registration Statement), addressed to each of the underwriters, if any, and each selling Holder of Registrable Securities, such letters to be in customary form and covering matters of the type customarily covered in “cold comfort” letters in connection with underwritten offerings and such other matters as the underwriters, if any, or the Holders of a majority of the Registrable Securities being included in the registration may reasonably request;</w:t>
      </w:r>
    </w:p>
    <w:p>
      <w:pPr>
        <w:spacing w:after="0" w:line="189" w:lineRule="exact"/>
        <w:rPr>
          <w:rFonts w:ascii="Arial" w:cs="Arial" w:eastAsia="Arial" w:hAnsi="Arial"/>
          <w:sz w:val="18"/>
          <w:szCs w:val="18"/>
          <w:color w:val="auto"/>
        </w:rPr>
      </w:pPr>
    </w:p>
    <w:p>
      <w:pPr>
        <w:jc w:val="both"/>
        <w:ind w:firstLine="1953"/>
        <w:spacing w:after="0" w:line="312" w:lineRule="auto"/>
        <w:tabs>
          <w:tab w:leader="none" w:pos="24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obtain opinions of independent counsel to the Company and updates thereof (which counsel and opinions (in form, scope and substance) shall be reasonably satisfactory to the managing underwriters, if any, and the Holders of a majority of the Registrable Securities being included in the registration), addressed to each selling Holder and each of the underwriters, if any, covering the matters customarily covered in opinions of issuer’s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counsel requested in underwritten offerings, such as the effectiveness of the Registration Statement and such other matters as may be requested by such counsel and underwriters, if any;</w:t>
      </w:r>
    </w:p>
    <w:p>
      <w:pPr>
        <w:spacing w:after="0" w:line="170" w:lineRule="exact"/>
        <w:rPr>
          <w:sz w:val="20"/>
          <w:szCs w:val="20"/>
          <w:color w:val="auto"/>
        </w:rPr>
      </w:pPr>
    </w:p>
    <w:p>
      <w:pPr>
        <w:jc w:val="both"/>
        <w:ind w:firstLine="1953"/>
        <w:spacing w:after="0" w:line="268" w:lineRule="auto"/>
        <w:tabs>
          <w:tab w:leader="none" w:pos="2509"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promptly notify the selling Holders and the managing underwriters, if any, and confirm such notice in writing, when a Prospectus or any supplement or post-effective amendment to such Prospectus has been filed, and, with respect to a Registration Statement or any post-effective amendment thereto, when the same has become effective, (i) of any request by the Commission or any other federal or state governmental authority for amendments or supplements to a Registration Statement or related Prospectus or for additional information, (ii) of the issuance by the Commission of any stop order suspending the effectiveness of a Registration Statement or of any order preventing or suspending the use of any Prospectus or the initiation of any proceedings by any Person for that purpose, (iii) of the receipt by the Company of any notification with respect to the suspension of the qualification or exemption from qualification of a Registration Statement or any of the Registrable Securities for offer or sale under the securities or blue sky laws of any jurisdiction, or the contemplation, initiation or threatening, of any proceeding for such purpose, and (iv) of the happening of any event or the existence of any facts that make any statement made in such Registration Statement or Prospectus untrue in any material respect or that require the making of any changes in such Registration Statement or Prospectus so that it will not contain any untrue statement of a material fact or omit to state any material fact required to be stated therein or necessary to make the statements therein, in light of the circumstances under which they were made (in the case of any Prospectus), not misleading (which notice shall be accompanied by an instruction to the selling Holders and the managing underwriters, if any, to suspend the use of the Prospectus until the requisite changes have been made);</w:t>
      </w:r>
    </w:p>
    <w:p>
      <w:pPr>
        <w:spacing w:after="0" w:line="187" w:lineRule="exact"/>
        <w:rPr>
          <w:rFonts w:ascii="Arial" w:cs="Arial" w:eastAsia="Arial" w:hAnsi="Arial"/>
          <w:sz w:val="17"/>
          <w:szCs w:val="17"/>
          <w:color w:val="auto"/>
        </w:rPr>
      </w:pPr>
    </w:p>
    <w:p>
      <w:pPr>
        <w:jc w:val="both"/>
        <w:ind w:firstLine="1953"/>
        <w:spacing w:after="0" w:line="255" w:lineRule="auto"/>
        <w:tabs>
          <w:tab w:leader="none" w:pos="24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requested by the managing underwriters, if any, or a Holder of Registrable Securities being sold, promptly incorporate in a prospectus, supplement or post-effective amendment such information as the managing underwriters, if any, and the Holders of a majority of the Registrable Securities being sold reasonably request to be included therein relating to the sale of the Registrable Securities, including, without limitation, information with respect to the number of shares of Registrable Securities being sold to underwriters, the purchase price being paid therefor by such underwriters and with respect to any other terms of the underwritten offering of the Registrable Securities to be sold in such offering, and make all required filings of such prospectus, supplement or post-effective amendment promptly following notification of the matters to be incorporated in such supplement or post-effective amendment;</w:t>
      </w:r>
    </w:p>
    <w:p>
      <w:pPr>
        <w:spacing w:after="0" w:line="189" w:lineRule="exact"/>
        <w:rPr>
          <w:rFonts w:ascii="Arial" w:cs="Arial" w:eastAsia="Arial" w:hAnsi="Arial"/>
          <w:sz w:val="18"/>
          <w:szCs w:val="18"/>
          <w:color w:val="auto"/>
        </w:rPr>
      </w:pPr>
    </w:p>
    <w:p>
      <w:pPr>
        <w:ind w:firstLine="1953"/>
        <w:spacing w:after="0" w:line="277" w:lineRule="auto"/>
        <w:tabs>
          <w:tab w:leader="none" w:pos="24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requested, furnish to each selling Holder of Registrable Securities and the managing underwriter, without charge, at least one signed copy of the Registration Statement;</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56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as promptly as practicable upon the occurrence of any event contemplated by </w:t>
      </w:r>
      <w:r>
        <w:rPr>
          <w:rFonts w:ascii="Arial" w:cs="Arial" w:eastAsia="Arial" w:hAnsi="Arial"/>
          <w:sz w:val="17"/>
          <w:szCs w:val="17"/>
          <w:u w:val="single" w:color="auto"/>
          <w:color w:val="auto"/>
        </w:rPr>
        <w:t>Section 4(b)(11)(iv)</w:t>
      </w:r>
      <w:r>
        <w:rPr>
          <w:rFonts w:ascii="Arial" w:cs="Arial" w:eastAsia="Arial" w:hAnsi="Arial"/>
          <w:sz w:val="17"/>
          <w:szCs w:val="17"/>
          <w:color w:val="auto"/>
        </w:rPr>
        <w:t xml:space="preserve"> above, prepare a supplement or post-effective amendment to the Registration Statement or the Prospectus, or any document incorporated therein by reference, or file any other required document so that, as thereafter delivered to the purchasers of the Registrable Securities being sold hereunder, the Prospectus will not contain an untrue statement of a material fact or an omission to state a material fact required to be stated in a Registration Statement or Prospectus or necessary to make the statements therein, in light of the circumstances under which they were made, not misleading; and</w:t>
      </w:r>
    </w:p>
    <w:p>
      <w:pPr>
        <w:spacing w:after="0" w:line="172" w:lineRule="exact"/>
        <w:rPr>
          <w:rFonts w:ascii="Arial" w:cs="Arial" w:eastAsia="Arial" w:hAnsi="Arial"/>
          <w:sz w:val="17"/>
          <w:szCs w:val="17"/>
          <w:color w:val="auto"/>
        </w:rPr>
      </w:pPr>
    </w:p>
    <w:p>
      <w:pPr>
        <w:jc w:val="both"/>
        <w:ind w:firstLine="1953"/>
        <w:spacing w:after="0" w:line="272" w:lineRule="auto"/>
        <w:tabs>
          <w:tab w:leader="none" w:pos="2432"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if such offering is an underwritten offering, enter into such agreements (including an underwriting agreement in form, scope and substance as is customary in underwritten offerings) and take all such other appropriate and reasonable actions requested by the Holders owning a majority of the Registrable Securities being sold in connection therewith or by the managing underwriters (including cooperating in reasonable marketing efforts, including in connection with any Demand Registration, participation by senior executives of the Company in any “roadshow” or similar meeting with potential investors) in order to expedite or facilitate the disposition of such Registrable Securities, and in such connection, provide indemnification provisions and procedures substantially to the effect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with respect to all parties to be indemnified pursuant to said Section. The above shall be done at each closing under such underwriting or similar agreement, or as and to the extent required thereunder.</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Each Holder agrees by acquisition of such Registrable Securities that, upon receipt of written notice from the Company of the happening of any event of the kind described in </w:t>
      </w:r>
      <w:r>
        <w:rPr>
          <w:rFonts w:ascii="Arial" w:cs="Arial" w:eastAsia="Arial" w:hAnsi="Arial"/>
          <w:sz w:val="18"/>
          <w:szCs w:val="18"/>
          <w:u w:val="single" w:color="auto"/>
          <w:color w:val="auto"/>
        </w:rPr>
        <w:t>Section 4(b)(11)</w:t>
      </w:r>
      <w:r>
        <w:rPr>
          <w:rFonts w:ascii="Arial" w:cs="Arial" w:eastAsia="Arial" w:hAnsi="Arial"/>
          <w:sz w:val="18"/>
          <w:szCs w:val="18"/>
          <w:color w:val="auto"/>
        </w:rPr>
        <w:t>, such Holder will forthwith discontinue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94" w:name="page95"/>
    <w:bookmarkEnd w:id="94"/>
    <w:p>
      <w:pPr>
        <w:jc w:val="both"/>
        <w:spacing w:after="0" w:line="276" w:lineRule="auto"/>
        <w:rPr>
          <w:sz w:val="20"/>
          <w:szCs w:val="20"/>
          <w:color w:val="auto"/>
        </w:rPr>
      </w:pPr>
      <w:r>
        <w:rPr>
          <w:rFonts w:ascii="Arial" w:cs="Arial" w:eastAsia="Arial" w:hAnsi="Arial"/>
          <w:sz w:val="17"/>
          <w:szCs w:val="17"/>
          <w:color w:val="auto"/>
        </w:rPr>
        <w:t xml:space="preserve">disposition of such Registrable Securities covered by such Registration Statement until such Holder’s receipt of the copies of the supplemented or amended Registration Statement contemplated by </w:t>
      </w:r>
      <w:r>
        <w:rPr>
          <w:rFonts w:ascii="Arial" w:cs="Arial" w:eastAsia="Arial" w:hAnsi="Arial"/>
          <w:sz w:val="17"/>
          <w:szCs w:val="17"/>
          <w:u w:val="single" w:color="auto"/>
          <w:color w:val="auto"/>
        </w:rPr>
        <w:t>Section 4(b)(14)</w:t>
      </w:r>
      <w:r>
        <w:rPr>
          <w:rFonts w:ascii="Arial" w:cs="Arial" w:eastAsia="Arial" w:hAnsi="Arial"/>
          <w:sz w:val="17"/>
          <w:szCs w:val="17"/>
          <w:color w:val="auto"/>
        </w:rPr>
        <w:t>, or until it is advised in writing by the Company that the use of the applicable Prospectus may be resumed, and has received copies of any additional or supplemental filings that are incorporated or deemed to be incorporated by reference in such prospectus (such period during which disposition is discontinued being an “</w:t>
      </w:r>
      <w:r>
        <w:rPr>
          <w:rFonts w:ascii="Arial" w:cs="Arial" w:eastAsia="Arial" w:hAnsi="Arial"/>
          <w:sz w:val="17"/>
          <w:szCs w:val="17"/>
          <w:b w:val="1"/>
          <w:bCs w:val="1"/>
          <w:i w:val="1"/>
          <w:iCs w:val="1"/>
          <w:color w:val="auto"/>
        </w:rPr>
        <w:t>Interruption Period</w:t>
      </w:r>
      <w:r>
        <w:rPr>
          <w:rFonts w:ascii="Arial" w:cs="Arial" w:eastAsia="Arial" w:hAnsi="Arial"/>
          <w:sz w:val="17"/>
          <w:szCs w:val="17"/>
          <w:color w:val="auto"/>
        </w:rPr>
        <w:t>”), and, if so directed by the Company, such Holder will deliver to the Company all copies of the Prospectus covering such Registrable Securities current at the time of receipt of such notice.</w:t>
      </w:r>
    </w:p>
    <w:p>
      <w:pPr>
        <w:spacing w:after="0" w:line="16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b w:val="1"/>
          <w:bCs w:val="1"/>
          <w:color w:val="auto"/>
        </w:rPr>
        <w:t>Registration Expenses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5" w:lineRule="auto"/>
        <w:tabs>
          <w:tab w:leader="none" w:pos="178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Expenses Payable by the Company</w:t>
      </w:r>
      <w:r>
        <w:rPr>
          <w:rFonts w:ascii="Arial" w:cs="Arial" w:eastAsia="Arial" w:hAnsi="Arial"/>
          <w:sz w:val="16"/>
          <w:szCs w:val="16"/>
          <w:color w:val="auto"/>
        </w:rPr>
        <w:t xml:space="preserve">. The Company shall bear all expenses incurred with respect to the registration or attempted registration of the Registrable Securities pursuant to </w:t>
      </w:r>
      <w:r>
        <w:rPr>
          <w:rFonts w:ascii="Arial" w:cs="Arial" w:eastAsia="Arial" w:hAnsi="Arial"/>
          <w:sz w:val="16"/>
          <w:szCs w:val="16"/>
          <w:u w:val="single" w:color="auto"/>
          <w:color w:val="auto"/>
        </w:rPr>
        <w:t>Sections 2 or 3</w:t>
      </w:r>
      <w:r>
        <w:rPr>
          <w:rFonts w:ascii="Arial" w:cs="Arial" w:eastAsia="Arial" w:hAnsi="Arial"/>
          <w:sz w:val="16"/>
          <w:szCs w:val="16"/>
          <w:color w:val="auto"/>
        </w:rPr>
        <w:t xml:space="preserve"> of this Agreement as provided herein. Such expenses shall include, without limitation, (i) all registration, qualification and filing fees (including, without limitation, (A) fees with respect to compliance with the rules and regulation of the Commission, (B) fees with respect to filings required to be made with the national securities exchange or national market system on which the Common Stock is then traded or quoted and (C) fees and expenses of compliance with state securities or blue sky laws (including, without limitation, fees and disbursements of counsel for the Company or the underwriters, or both, in connection with blue sky qualifications of Registrable Securities)), (ii) messenger and delivery expenses, word processing, duplicating and printing expenses (including without limitation, expenses of printing certificates for Registrable Securities in a form eligible for deposit with The Depository Trust Company, printing preliminary prospectuses, prospectuses, prospectus supplements, including those delivered to or for the account of the Holders and provided in this Agreement, and blue sky memoranda), (iii) fees and disbursements of counsel for the Company, (iv) fees and disbursements of all independent certificated public accountants for the Company (including, without limitation, the expense of any “comfort letters” required by or incident to such performance), (v) all out-of-pocket expenses of the Company (including without limitation, expenses incurred by the Company, its officers, directors, and employees performing legal or accounting duties or preparing or participating in “roadshow” presentations or of any public relations, investor relations or other consultants or advisors retained by the Company in connection with any roadshow, including travel and lodging expenses of such roadshows), (vi) fees and expenses incurred in connection with the quotation or listing of shares of Common Stock on any national securities exchange or other securities market, and (vii) reasonable fees and expenses of one firm of counsel for all selling Holders (which shall be chosen by the Holders of a majority of Registrable Securities to be included in such offering).</w:t>
      </w:r>
    </w:p>
    <w:p>
      <w:pPr>
        <w:spacing w:after="0" w:line="177" w:lineRule="exact"/>
        <w:rPr>
          <w:rFonts w:ascii="Arial" w:cs="Arial" w:eastAsia="Arial" w:hAnsi="Arial"/>
          <w:sz w:val="16"/>
          <w:szCs w:val="16"/>
          <w:color w:val="auto"/>
        </w:rPr>
      </w:pPr>
    </w:p>
    <w:p>
      <w:pPr>
        <w:jc w:val="both"/>
        <w:ind w:right="20" w:firstLine="1305"/>
        <w:spacing w:after="0" w:line="264" w:lineRule="auto"/>
        <w:tabs>
          <w:tab w:leader="none" w:pos="184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Expenses Payable by the Holders</w:t>
      </w:r>
      <w:r>
        <w:rPr>
          <w:rFonts w:ascii="Arial" w:cs="Arial" w:eastAsia="Arial" w:hAnsi="Arial"/>
          <w:sz w:val="18"/>
          <w:szCs w:val="18"/>
          <w:color w:val="auto"/>
        </w:rPr>
        <w:t>. Each Holder shall pay all underwriting discounts and commissions or placement fees of underwriters or broker’s commissions incurred in connection with the sale or other disposition of Registrable Securities for or on behalf of such Holder’s account.</w:t>
      </w:r>
    </w:p>
    <w:p>
      <w:pPr>
        <w:spacing w:after="0" w:line="17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7" w:lineRule="auto"/>
        <w:tabs>
          <w:tab w:leader="none" w:pos="167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to the fullest extent permitted by law, each Holder, each Affiliate of a Holder and each director, officer, employee, manager, stockholder, partner, member, counsel, agent or representative of such Holder and its Affiliates and each Person who controls any such Person (within the meaning of either Section 15 of the Securities Act or Section 20 of the Exchange Act) (collectively, “</w:t>
      </w:r>
      <w:r>
        <w:rPr>
          <w:rFonts w:ascii="Arial" w:cs="Arial" w:eastAsia="Arial" w:hAnsi="Arial"/>
          <w:sz w:val="16"/>
          <w:szCs w:val="16"/>
          <w:b w:val="1"/>
          <w:bCs w:val="1"/>
          <w:i w:val="1"/>
          <w:iCs w:val="1"/>
          <w:color w:val="auto"/>
        </w:rPr>
        <w:t>Holder Indemnified Parties</w:t>
      </w:r>
      <w:r>
        <w:rPr>
          <w:rFonts w:ascii="Arial" w:cs="Arial" w:eastAsia="Arial" w:hAnsi="Arial"/>
          <w:sz w:val="16"/>
          <w:szCs w:val="16"/>
          <w:color w:val="auto"/>
        </w:rPr>
        <w:t>”) against, and hold it and them harmless from, all losses, claims, damages, liabilities, actions, proceedings, costs (including, without limitation, costs of preparation and attorneys’ fees and disbursements) and expenses, including expenses of investigation and amounts paid in settlement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arising out of, caused by or based upon any untrue or alleged untrue statement of material fact contained in any Registration Statement, or any omission or alleged omission of a material fact required to be stated therein or necessary to make the statements therein not misleading (a “</w:t>
      </w:r>
      <w:r>
        <w:rPr>
          <w:rFonts w:ascii="Arial" w:cs="Arial" w:eastAsia="Arial" w:hAnsi="Arial"/>
          <w:sz w:val="16"/>
          <w:szCs w:val="16"/>
          <w:b w:val="1"/>
          <w:bCs w:val="1"/>
          <w:i w:val="1"/>
          <w:iCs w:val="1"/>
          <w:color w:val="auto"/>
        </w:rPr>
        <w:t>Misstatement/Omission</w:t>
      </w:r>
      <w:r>
        <w:rPr>
          <w:rFonts w:ascii="Arial" w:cs="Arial" w:eastAsia="Arial" w:hAnsi="Arial"/>
          <w:sz w:val="16"/>
          <w:szCs w:val="16"/>
          <w:color w:val="auto"/>
        </w:rPr>
        <w:t>”), or any violation or alleged violation by the Company of the Securities Act, the Exchange Act, any state securities law, or any rule or regulation promulgated under the Securities Act, the Exchange Act or any state securities law, except that the Company shall not be liable insofar as such Misstatement/Omission or violation is made in reliance upon and in conformity with information furnished in writing to the Company by such Holder expressly for use therein; provided, further, that the Company shall not be liable for a Holder’s failure to deliver or cause to be delivered (to the extent such delivery is required under the Securities Act) the Prospectus contained in the Registration Statement, furnished to it by the Company on a timely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5" w:name="page96"/>
    <w:bookmarkEnd w:id="95"/>
    <w:p>
      <w:pPr>
        <w:jc w:val="both"/>
        <w:spacing w:after="0" w:line="297" w:lineRule="auto"/>
        <w:rPr>
          <w:sz w:val="20"/>
          <w:szCs w:val="20"/>
          <w:color w:val="auto"/>
        </w:rPr>
      </w:pPr>
      <w:r>
        <w:rPr>
          <w:rFonts w:ascii="Arial" w:cs="Arial" w:eastAsia="Arial" w:hAnsi="Arial"/>
          <w:sz w:val="16"/>
          <w:szCs w:val="16"/>
          <w:color w:val="auto"/>
        </w:rPr>
        <w:t>basis at or prior to the time such action is required by the Securities Act to the person claiming a Misstatement/Omission if such Misstatement/Omission was corrected in such Prospectus. In connection with an underwritten offering, the Company will indemnify such underwriters, selling brokers, dealer managers and similar securities industry professionals participating in the distribution, their officers and directors and each Person who controls such underwriters (within the meaning of either Section 15 of the Securities Act or Section 20 of the Exchange Act) to the same extent as provided above with respect to the indemnification of the Holders. This indemnity shall be in addition to any other indemnification arrangements to which the Company may otherwise be party.</w:t>
      </w:r>
    </w:p>
    <w:p>
      <w:pPr>
        <w:spacing w:after="0" w:line="158" w:lineRule="exact"/>
        <w:rPr>
          <w:sz w:val="20"/>
          <w:szCs w:val="20"/>
          <w:color w:val="auto"/>
        </w:rPr>
      </w:pPr>
    </w:p>
    <w:p>
      <w:pPr>
        <w:jc w:val="both"/>
        <w:ind w:firstLine="1305"/>
        <w:spacing w:after="0" w:line="288" w:lineRule="auto"/>
        <w:tabs>
          <w:tab w:leader="none" w:pos="172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In connection with any Registration Statement in which a Holder is participating, each such Holder agrees to indemnify, to the fullest extent permitted by law, the Company and each director and officer of the Company and each Person who controls the Company (within the meaning of either Section 15 of the Securities Act or Section 20 of the Exchange Act) against, and hold it harmless from, any Losses arising out of or based upon (i) any Misstatement/Omission contained in the Registration Statement, if and to the extent that such Misstatement/Omission was made in reliance upon and in conformity with information furnished in writing by such Holder for use therein, or (ii) the failure by such Holder to deliver or cause to be delivered (to the extent such delivery is required under the Securities Act) the Prospectus contained in the Registration Statement, furnished to it by the Company on a timely basis at or prior to the time such action is required by the Securities Act to the person claiming a Misstatement/Omission if such Misstatement/Omission was corrected in such Prospectus. Notwithstanding the foregoing, the obligation to indemnify will be individual (several and not joint) to each Holder and will be limited to the net amount of proceeds (net of payment of all expenses) received by such Holder from the sale of Registrable Securities pursuant to such Registration Statement giving rise to such indemnification obligation.</w:t>
      </w:r>
    </w:p>
    <w:p>
      <w:pPr>
        <w:spacing w:after="0" w:line="169" w:lineRule="exact"/>
        <w:rPr>
          <w:rFonts w:ascii="Arial" w:cs="Arial" w:eastAsia="Arial" w:hAnsi="Arial"/>
          <w:sz w:val="16"/>
          <w:szCs w:val="16"/>
          <w:color w:val="auto"/>
        </w:rPr>
      </w:pPr>
    </w:p>
    <w:p>
      <w:pPr>
        <w:jc w:val="both"/>
        <w:ind w:firstLine="1305"/>
        <w:spacing w:after="0" w:line="285" w:lineRule="auto"/>
        <w:tabs>
          <w:tab w:leader="none" w:pos="177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In case any action, claim or proceeding shall be brought against any Person entitled to indemnification hereunder, such indemnified party shall promptly notify each indemnifying party in writing, and such indemnifying party shall assume the defense thereof, including the employment of one counsel reasonably satisfactory to such indemnified party and payment of all fees and expenses incurred in connection with the defense thereof. The failure to so notify such indemnifying party shall relieve such indemnifying party of its indemnification obligations to such indemnified party to the extent that such failure to notify materially prejudiced such indemnifying party but not from any liability that it or they may have to the indemnified party for contribution or otherwise. Each indemnified party shall have the right to employ separate counsel in such action, claim or proceeding and participate in the defense thereof, but the fees and expenses of such counsel shall be at the expense of each indemnified party unless: (i) such indemnifying party has agreed to pay such expenses; (ii) such indemnifying party has failed promptly to assume the defense and employ counsel reasonably satisfactory to such indemnified party; or (iii) the named parties to any such action, claim or proceeding (including any impleaded parties) include both such indemnified party and such indemnifying party or an Affiliate or controlling person of such indemnifying party, and such indemnified party shall have been advised in writing by counsel that either (x) there may be one or more legal defenses available to it which are different from or in addition to those available to such indemnifying party or such Affiliate or controlling person or (y) a conflict of interest may exist if such counsel represents such indemnified party and such indemnifying party or its Affiliate or controlling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indemnifying party shall not, in connection with any one such action or proceeding or separate but substantially similar or related actions or proceedings in the same jurisdiction arising out of the same general allegations or circumstances, be responsible hereunder for the fees and expenses of more than one separate firm of attorneys (in addition to any local counsel), which counsel shall be designated by such indemnified party or, in the event that such indemnified party is a Holder Indemnified Party, by the Holders of a majority of the Registrable Securities included in the subject Registration Statement.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of which indemnification or contribution may be sought hereunder unless the foregoing contains an unconditional release, in form and substance reasonably satisfactory to the indemnified parties, of the indemnified parties from all liability and obligation arising therefrom. The indemnifying party’s liability to any such indemnified party hereunder shall not be extinguished solely because any other indemnified party is not entitled to indemnity 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96" w:name="page97"/>
    <w:bookmarkEnd w:id="96"/>
    <w:p>
      <w:pPr>
        <w:jc w:val="both"/>
        <w:ind w:firstLine="1305"/>
        <w:spacing w:after="0" w:line="291" w:lineRule="auto"/>
        <w:tabs>
          <w:tab w:leader="none" w:pos="1686"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indemnification provided for under this Agreement will (i) remain in full force and effect regardless of any investigation made by or on behalf of the indemnified party or any officer, director or controlling Person of such indemnified party, (ii) survive the transfer of securities and</w:t>
      </w: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survive the termination of this Agreement.</w:t>
      </w:r>
    </w:p>
    <w:p>
      <w:pPr>
        <w:spacing w:after="0" w:line="210" w:lineRule="exact"/>
        <w:rPr>
          <w:rFonts w:ascii="Arial" w:cs="Arial" w:eastAsia="Arial" w:hAnsi="Arial"/>
          <w:sz w:val="18"/>
          <w:szCs w:val="18"/>
          <w:color w:val="auto"/>
        </w:rPr>
      </w:pPr>
    </w:p>
    <w:p>
      <w:pPr>
        <w:jc w:val="both"/>
        <w:ind w:firstLine="1305"/>
        <w:spacing w:after="0" w:line="272" w:lineRule="auto"/>
        <w:tabs>
          <w:tab w:leader="none" w:pos="1757"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Right to 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unavailable to, or insufficient to hold harmless, an indemnified party under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above in respect of any Losses referred to in such Sections, then each applicable indemnifying party shall have an obligation to contribute to the amount paid or payable by such indemnified party as a result of such Losses in such proportion as is appropriate to reflect the relative fault of the Company, on the one hand, and of the Holder, on the other, in connection with the Misstatement/Omission or violation which resulted in such Losses, taking into account any other relevant equitable considerations. The amount paid or payable by a party as a result of the Losses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above, any legal or other fees or expenses reasonably incurred by such party in connection with any investigation, lawsuit or legal or administrative action or proceeding.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relative fault of the Company, on the one hand, and of the Holder, on the other, shall be determined by reference to, among other things, whether the relevant Misstatement/Omission or violation relates to information supplied by the Company or by the Holder and the parties’ relative intent, knowledge, access to information and opportunity to correct or prevent such Misstatement/Omission or violation.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Company and each Holder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above. 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a Holder shall not be required to contribute any amount in excess of the amount by which (i) the amount (net of payment of all expenses) at which the securities that were sold by such Holder and distributed to the public were offered to the public exceeds (ii) the amount of any damages which such Holder has otherwise been required to pay by reason of such Misstatement/Omission or violation.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7. Rules 144 and 144A</w:t>
      </w:r>
      <w:r>
        <w:rPr>
          <w:rFonts w:ascii="Arial" w:cs="Arial" w:eastAsia="Arial" w:hAnsi="Arial"/>
          <w:sz w:val="18"/>
          <w:szCs w:val="18"/>
          <w:color w:val="auto"/>
        </w:rPr>
        <w:t>. The Company shall timely file the reports required to be filed by it under the Securities Act and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reports under Sections 13 and 15(d) of the Exchange Act referred to in subparagraph (c) of Rule 144 adopted by the Commission under the Securities Act) and the rules and regulations adopted by the Commission thereunder (or, if the Company is not required to file such reports, it will, upon the request of any Holder, make publicly available other information) and will take such further action as any Holder may reasonably request, all to the extent required from time to time to enable such Holder to sell Registrable Securities without registration under the Securities Act within the limitation of the exemptions provided by (a) Rule 144 and Rule 144A under the Securities Act, as such Rules may be amended from time to time, or (b) any similar rule or regulation hereafter adopted by the Commission.</w:t>
      </w:r>
    </w:p>
    <w:p>
      <w:pPr>
        <w:spacing w:after="0" w:line="18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b w:val="1"/>
          <w:bCs w:val="1"/>
          <w:color w:val="auto"/>
        </w:rPr>
        <w:t>Underwritten Registrations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Person may participate in any registration hereunder which is underwritten unless such Person (i) agrees to sell such Person’s securities on the basis provided in any underwriting arrangements approved by the Person or Persons entitled hereunder to approve such arrangements and (ii) completes and executes all questionnaires, powers of attorney, customary indemnities, underwriting agreements and other documents required under the terms of such underwriting arrangements; provided, that, no Holder included in any underwritten registration shall be required to make any representations or warranties to the Company or the underwriters other than representations and warranties regarding such Holder and such Holder’s intended method of distribution.</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2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of the Registrable Securities covered by any Registration Statement are to be sold in an underwritten offering, the investment banker or investment bankers and manager or managers that will manage the offering will be selected by, and the underwriting arrangements with respect thereto will be approved by,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 bankers and managers and underwriting arrangements must be reasonably satisfactory to the Holders of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Registrable Securities to be included in such offering.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 Covenants of Holders</w:t>
      </w:r>
      <w:r>
        <w:rPr>
          <w:rFonts w:ascii="Arial" w:cs="Arial" w:eastAsia="Arial" w:hAnsi="Arial"/>
          <w:sz w:val="18"/>
          <w:szCs w:val="18"/>
          <w:color w:val="auto"/>
        </w:rPr>
        <w:t>. Each of the Holders hereby agrees (a) to cooperate with the Company and to furnish to the Company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such Holder, its ownership of Registrable Securities and the disposition of such securities in connection with the preparation of the Registration Statement and any filings with any state securities commissions as the Company may reasonably request, (b) to the extent required by the Securities Act, to deliver or cause delivery of the Prospectus contained in the Registration Statement, any amendment or supplement thereto, to any purchaser of the Registrable Securities covered by the Registration Statement from the Holder and (c) if requested by the Company, to notify the Company of any sale of Registrable Securities by such Holder.</w:t>
      </w:r>
    </w:p>
    <w:p>
      <w:pPr>
        <w:spacing w:after="0" w:line="18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b w:val="1"/>
          <w:bCs w:val="1"/>
          <w:color w:val="auto"/>
        </w:rPr>
        <w:t>Board and Information Rights</w:t>
      </w:r>
    </w:p>
    <w:p>
      <w:pPr>
        <w:spacing w:after="0" w:line="229" w:lineRule="exact"/>
        <w:rPr>
          <w:sz w:val="20"/>
          <w:szCs w:val="20"/>
          <w:color w:val="auto"/>
        </w:rPr>
      </w:pPr>
    </w:p>
    <w:p>
      <w:pPr>
        <w:jc w:val="both"/>
        <w:ind w:firstLine="1305"/>
        <w:spacing w:after="0" w:line="293" w:lineRule="auto"/>
        <w:tabs>
          <w:tab w:leader="none" w:pos="173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Board Composition</w:t>
      </w:r>
      <w:r>
        <w:rPr>
          <w:rFonts w:ascii="Arial" w:cs="Arial" w:eastAsia="Arial" w:hAnsi="Arial"/>
          <w:sz w:val="16"/>
          <w:szCs w:val="16"/>
          <w:color w:val="auto"/>
        </w:rPr>
        <w:t>. The parties agree that so long as Gulfport beneficially owns (as defined in Rule 13d-3 promulgated under the Exchange Act (“</w:t>
      </w:r>
      <w:r>
        <w:rPr>
          <w:rFonts w:ascii="Arial" w:cs="Arial" w:eastAsia="Arial" w:hAnsi="Arial"/>
          <w:sz w:val="16"/>
          <w:szCs w:val="16"/>
          <w:b w:val="1"/>
          <w:bCs w:val="1"/>
          <w:i w:val="1"/>
          <w:iCs w:val="1"/>
          <w:color w:val="auto"/>
        </w:rPr>
        <w:t>Rule 13d-3</w:t>
      </w:r>
      <w:r>
        <w:rPr>
          <w:rFonts w:ascii="Arial" w:cs="Arial" w:eastAsia="Arial" w:hAnsi="Arial"/>
          <w:sz w:val="16"/>
          <w:szCs w:val="16"/>
          <w:i w:val="1"/>
          <w:iCs w:val="1"/>
          <w:color w:val="auto"/>
        </w:rPr>
        <w:t>”</w:t>
      </w:r>
      <w:r>
        <w:rPr>
          <w:rFonts w:ascii="Arial" w:cs="Arial" w:eastAsia="Arial" w:hAnsi="Arial"/>
          <w:sz w:val="16"/>
          <w:szCs w:val="16"/>
          <w:color w:val="auto"/>
        </w:rPr>
        <w:t>)) more than 10% of the then issued and outstanding Common Stock, (i) the business and affairs of the Company shall be managed through a Board consisting of up to seven Directors, of which three Directors shall be Independent Directors and (ii) Gulfport shall have the right to designate one Director (“</w:t>
      </w:r>
      <w:r>
        <w:rPr>
          <w:rFonts w:ascii="Arial" w:cs="Arial" w:eastAsia="Arial" w:hAnsi="Arial"/>
          <w:sz w:val="16"/>
          <w:szCs w:val="16"/>
          <w:b w:val="1"/>
          <w:bCs w:val="1"/>
          <w:i w:val="1"/>
          <w:iCs w:val="1"/>
          <w:color w:val="auto"/>
        </w:rPr>
        <w:t>Gulfport Director</w:t>
      </w:r>
      <w:r>
        <w:rPr>
          <w:rFonts w:ascii="Arial" w:cs="Arial" w:eastAsia="Arial" w:hAnsi="Arial"/>
          <w:sz w:val="16"/>
          <w:szCs w:val="16"/>
          <w:color w:val="auto"/>
        </w:rPr>
        <w:t>”). For purposes of this Agreement, in determining the percentage of shares of Common Stock beneficially owned by Gulfport, only shares of Common Stock then issued and outstanding shall be included in the denominator and any Equity Right that has not then been exercised, converted or exchanged shall be excluded from the denominator regardless of the application of the beneficial ownership rules of Rule 13d-3.</w:t>
      </w:r>
    </w:p>
    <w:p>
      <w:pPr>
        <w:spacing w:after="0" w:line="164" w:lineRule="exact"/>
        <w:rPr>
          <w:rFonts w:ascii="Arial" w:cs="Arial" w:eastAsia="Arial" w:hAnsi="Arial"/>
          <w:sz w:val="16"/>
          <w:szCs w:val="16"/>
          <w:color w:val="auto"/>
        </w:rPr>
      </w:pPr>
    </w:p>
    <w:p>
      <w:pPr>
        <w:jc w:val="both"/>
        <w:ind w:firstLine="1305"/>
        <w:spacing w:after="0" w:line="253" w:lineRule="auto"/>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Company Action to Nominate and Elect the Gulfport Director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10(g)</w:t>
      </w:r>
      <w:r>
        <w:rPr>
          <w:rFonts w:ascii="Arial" w:cs="Arial" w:eastAsia="Arial" w:hAnsi="Arial"/>
          <w:sz w:val="18"/>
          <w:szCs w:val="18"/>
          <w:color w:val="auto"/>
        </w:rPr>
        <w:t xml:space="preserve">, the Company shall cause the initial Gulfport Director designated in accordance with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to be appointed to the Board prior to the completion of the Common Stock Offering and thereafter to use its commercially reasonable efforts to cause the Gulfport Director to be nominated for election to the Board at each annual meeting of the Company’s stockholders at which directors are to be elected (or by stockholder consents in lieu of a meeting, if applicable), shall solicit proxies (or stockholder consents in lieu of a meeting, if applicable) in favor thereof, and at each annual meeting of the Company’s stockholders at which Directors are to be elected, shall recommend that the Company’s stockholders elect to the Board each such individual nominated for election at such annual meeting of the Company’s stockholders (or stockholder consents in lieu of a meeting, if applicable). So long as Gulfport has the right to designate a Gulfport Director under this Agreement, if for any reason the Gulfport Director is not elected to the Board by the Company’s stockholders, Gulfport will be entitled to the Board Advisor rights set forth in </w:t>
      </w:r>
      <w:r>
        <w:rPr>
          <w:rFonts w:ascii="Arial" w:cs="Arial" w:eastAsia="Arial" w:hAnsi="Arial"/>
          <w:sz w:val="18"/>
          <w:szCs w:val="18"/>
          <w:u w:val="single" w:color="auto"/>
          <w:color w:val="auto"/>
        </w:rPr>
        <w:t>Section 10(c)</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680" w:hanging="375"/>
        <w:spacing w:after="0"/>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Board Advisor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0" w:lineRule="auto"/>
        <w:tabs>
          <w:tab w:leader="none" w:pos="2363" w:val="left"/>
        </w:tabs>
        <w:numPr>
          <w:ilvl w:val="1"/>
          <w:numId w:val="81"/>
        </w:numPr>
        <w:rPr>
          <w:rFonts w:ascii="Arial" w:cs="Arial" w:eastAsia="Arial" w:hAnsi="Arial"/>
          <w:sz w:val="17"/>
          <w:szCs w:val="17"/>
          <w:color w:val="auto"/>
        </w:rPr>
      </w:pPr>
      <w:r>
        <w:rPr>
          <w:rFonts w:ascii="Arial" w:cs="Arial" w:eastAsia="Arial" w:hAnsi="Arial"/>
          <w:sz w:val="17"/>
          <w:szCs w:val="17"/>
          <w:color w:val="auto"/>
        </w:rPr>
        <w:t>So long as Gulfport has the right to designate a Gulfport Director under this Agreement and there is no Gulfport Director in office, Gulfport shall have the right to appoint one individual as an advisor to the Board (a “</w:t>
      </w:r>
      <w:r>
        <w:rPr>
          <w:rFonts w:ascii="Arial" w:cs="Arial" w:eastAsia="Arial" w:hAnsi="Arial"/>
          <w:sz w:val="17"/>
          <w:szCs w:val="17"/>
          <w:b w:val="1"/>
          <w:bCs w:val="1"/>
          <w:i w:val="1"/>
          <w:iCs w:val="1"/>
          <w:color w:val="auto"/>
        </w:rPr>
        <w:t>Board Advisor</w:t>
      </w:r>
      <w:r>
        <w:rPr>
          <w:rFonts w:ascii="Arial" w:cs="Arial" w:eastAsia="Arial" w:hAnsi="Arial"/>
          <w:sz w:val="17"/>
          <w:szCs w:val="17"/>
          <w:color w:val="auto"/>
        </w:rPr>
        <w:t xml:space="preserve">”). The Board Advisor shall be entitled to attend meetings of the Board and any meetings of any committee of the Board and to receive all information provided to the members of the Board and any committee thereof (including minutes of previous meetings of the Board and any committee thereof). The Board Advisor shall advise and counsel the Board on the business and operations of the Company as requested by the Board. The Board Advisor is not, and shall not have the duties and responsibilities of, a Director of the Company, and the terms “director” or “member of the Board” as used in this Agreement shall not be deemed to mean or include the Board Advisor. Without limiting the generality of the foregoing, the Board Advisor shall not be entitled to vote on any matter presented for action by the Board. The Board Advisor may be given such designations (including without limitation “advisory director”) as the Board may from time to time determine. For the avoidance of doubt, no Board Advisor shall have fiduciary obligations to the Company or the Company’s stockholders, but shall be subject to all applicable securities Laws and to the confidentiality obligations applicable to Gulfport under </w:t>
      </w:r>
      <w:r>
        <w:rPr>
          <w:rFonts w:ascii="Arial" w:cs="Arial" w:eastAsia="Arial" w:hAnsi="Arial"/>
          <w:sz w:val="17"/>
          <w:szCs w:val="17"/>
          <w:u w:val="single" w:color="auto"/>
          <w:color w:val="auto"/>
        </w:rPr>
        <w:t>Section 10(k)(2)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953"/>
        <w:spacing w:after="0" w:line="264" w:lineRule="auto"/>
        <w:tabs>
          <w:tab w:leader="none" w:pos="2347" w:val="left"/>
        </w:tabs>
        <w:numPr>
          <w:ilvl w:val="1"/>
          <w:numId w:val="81"/>
        </w:numPr>
        <w:rPr>
          <w:rFonts w:ascii="Arial" w:cs="Arial" w:eastAsia="Arial" w:hAnsi="Arial"/>
          <w:sz w:val="18"/>
          <w:szCs w:val="18"/>
          <w:color w:val="auto"/>
        </w:rPr>
      </w:pPr>
      <w:r>
        <w:rPr>
          <w:rFonts w:ascii="Arial" w:cs="Arial" w:eastAsia="Arial" w:hAnsi="Arial"/>
          <w:sz w:val="18"/>
          <w:szCs w:val="18"/>
          <w:color w:val="auto"/>
        </w:rPr>
        <w:t>Gulfport shall have the right, in its sole discretion, to appoint the Board Advisor and to remove the Board Advisor, as well as the right, in its sole discretion, to fill vacancies created by reason of the death, removal or resignation thereof. Gulfport shall have the right at any time to remove (with or without cause)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98" w:name="page99"/>
    <w:bookmarkEnd w:id="98"/>
    <w:p>
      <w:pPr>
        <w:spacing w:after="0" w:line="308" w:lineRule="auto"/>
        <w:rPr>
          <w:sz w:val="20"/>
          <w:szCs w:val="20"/>
          <w:color w:val="auto"/>
        </w:rPr>
      </w:pPr>
      <w:r>
        <w:rPr>
          <w:rFonts w:ascii="Arial" w:cs="Arial" w:eastAsia="Arial" w:hAnsi="Arial"/>
          <w:sz w:val="17"/>
          <w:szCs w:val="17"/>
          <w:color w:val="auto"/>
        </w:rPr>
        <w:t>Board Advisor. In the event there is a vacancy in the Board Advisor position at any time and for any reason (whether as a result of death, disability, retirement, resignation or removal of the Board Advisor), Gulfport shall have the right to designate a different individual to replace such Board Advisor.</w:t>
      </w:r>
    </w:p>
    <w:p>
      <w:pPr>
        <w:spacing w:after="0" w:line="147" w:lineRule="exact"/>
        <w:rPr>
          <w:sz w:val="20"/>
          <w:szCs w:val="20"/>
          <w:color w:val="auto"/>
        </w:rPr>
      </w:pPr>
    </w:p>
    <w:p>
      <w:pPr>
        <w:jc w:val="both"/>
        <w:ind w:firstLine="1305"/>
        <w:spacing w:after="0" w:line="259" w:lineRule="auto"/>
        <w:tabs>
          <w:tab w:leader="none" w:pos="168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Gulfport Designation, Removal and Vacancies</w:t>
      </w:r>
      <w:r>
        <w:rPr>
          <w:rFonts w:ascii="Arial" w:cs="Arial" w:eastAsia="Arial" w:hAnsi="Arial"/>
          <w:sz w:val="18"/>
          <w:szCs w:val="18"/>
          <w:color w:val="auto"/>
        </w:rPr>
        <w:t xml:space="preserve">. In the event a vacancy is created on the Board of the Gulfport Director at any time that Gulfport has the right to designate a Gulfport Director under this Agreement (whether as a result of death, disability, retirement, resignation, removal or otherwise), Gulfport shall have the right, in its sole discretion, to designate a different individual to replace such Gulfport Director and the Company shall nominate such Gulfport Director for election to the Board as provided in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7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For so long as Gulfport has the right to designate a Gulfport Director, any committee composed of Directors shall consist of at least one Gulfport Director provided that such Gulfport Director is “independent” and otherwise satisfies all requirements under the applicable rules and regulations of the SEC and the Marketplace Rules to serve on such committee.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2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Election Not to Exercise Designation Rights</w:t>
      </w:r>
      <w:r>
        <w:rPr>
          <w:rFonts w:ascii="Arial" w:cs="Arial" w:eastAsia="Arial" w:hAnsi="Arial"/>
          <w:sz w:val="18"/>
          <w:szCs w:val="18"/>
          <w:color w:val="auto"/>
        </w:rPr>
        <w:t xml:space="preserve">. Notwithstanding anything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to the contrary,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confers upon Gulfport the right, but not the obligation, to designate the Gulfport Director, and Gulfport may, at its option, elect not to exercise any such right to designate the Gulfport Director.</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72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Qualifications and Information</w:t>
      </w:r>
      <w:r>
        <w:rPr>
          <w:rFonts w:ascii="Arial" w:cs="Arial" w:eastAsia="Arial" w:hAnsi="Arial"/>
          <w:sz w:val="17"/>
          <w:szCs w:val="17"/>
          <w:color w:val="auto"/>
        </w:rPr>
        <w:t>. Notwithstanding anything to the contrary contained in this Agreement, each nominee for election to the Board designated by Gulfport shall, in the reasonable judgment of the Board, (A) have the requisite skill and experience to serve as a director of a publicly traded company, and (B) not be prohibited or disqualified from serving as a director of the Company pursuant to the applicable rules and regulations of the SEC and the Marketplace Rules or by applicable Law. The Board may adopt additional standards of skill and experience desired of potential candidates for nomination to the Board of Directors, which will be reflected in a charter of a committee of the Board or other similar document. Gulfport shall timely provide the Company with accurate and complete information relating to its designee that may be required to be disclosed by the Company under the Exchange Act. In addition, at the Company’s request, Gulfport shall cause its designee to complete and execute the Company’s standard Director and Officer Questionnaire prior to being admitted to the Board or any committee thereof or standing for reelection at an annual meeting of the Company’s stockholders or at such other time as may be requested by the Company.</w:t>
      </w:r>
    </w:p>
    <w:p>
      <w:pPr>
        <w:spacing w:after="0" w:line="181" w:lineRule="exact"/>
        <w:rPr>
          <w:rFonts w:ascii="Arial" w:cs="Arial" w:eastAsia="Arial" w:hAnsi="Arial"/>
          <w:sz w:val="17"/>
          <w:szCs w:val="17"/>
          <w:color w:val="auto"/>
        </w:rPr>
      </w:pPr>
    </w:p>
    <w:p>
      <w:pPr>
        <w:jc w:val="both"/>
        <w:ind w:firstLine="1305"/>
        <w:spacing w:after="0" w:line="302" w:lineRule="auto"/>
        <w:tabs>
          <w:tab w:leader="none" w:pos="176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Director Insurance and Indemnification</w:t>
      </w:r>
      <w:r>
        <w:rPr>
          <w:rFonts w:ascii="Arial" w:cs="Arial" w:eastAsia="Arial" w:hAnsi="Arial"/>
          <w:sz w:val="16"/>
          <w:szCs w:val="16"/>
          <w:color w:val="auto"/>
        </w:rPr>
        <w:t>. The Company will obtain and maintain directors’ liability insurance and will at all times exercise the powers granted to it by its Organizational Documents, and by applicable Law to indemnify and hold harmless to the fullest extent permitted by applicable Law present or former directors and officers of the Company against any threatened or actual claim, action, suit, proceeding or investigation made against them arising from their service in such capacities (or service in such capacities for another enterprise at the request of the Company).</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67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Expenses of Directors</w:t>
      </w:r>
      <w:r>
        <w:rPr>
          <w:rFonts w:ascii="Arial" w:cs="Arial" w:eastAsia="Arial" w:hAnsi="Arial"/>
          <w:sz w:val="18"/>
          <w:szCs w:val="18"/>
          <w:color w:val="auto"/>
        </w:rPr>
        <w:t>. The Company will promptly reimburse the Gulfport Director or Board Advisor, to the extent not an employee of the Company, for all of his or her reasonable out-of-pocket expenses incurred in attending each meeting of the Board or any committee thereof consistent with the Company’s policies.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In addition to, and without limiting any rights that Gulfport may have with respect to inspection of the books and records of the Company under applicable Laws, the Company shall furnish to Gulfport, the following information, so long as Gulfport owns shares of Common Stock:</w:t>
      </w:r>
    </w:p>
    <w:p>
      <w:pPr>
        <w:spacing w:after="0" w:line="181" w:lineRule="exact"/>
        <w:rPr>
          <w:rFonts w:ascii="Arial" w:cs="Arial" w:eastAsia="Arial" w:hAnsi="Arial"/>
          <w:sz w:val="18"/>
          <w:szCs w:val="18"/>
          <w:color w:val="auto"/>
        </w:rPr>
      </w:pPr>
    </w:p>
    <w:p>
      <w:pPr>
        <w:jc w:val="both"/>
        <w:ind w:firstLine="1953"/>
        <w:spacing w:after="0" w:line="257" w:lineRule="auto"/>
        <w:tabs>
          <w:tab w:leader="none" w:pos="234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Annual Reports</w:t>
      </w:r>
      <w:r>
        <w:rPr>
          <w:rFonts w:ascii="Arial" w:cs="Arial" w:eastAsia="Arial" w:hAnsi="Arial"/>
          <w:sz w:val="18"/>
          <w:szCs w:val="18"/>
          <w:color w:val="auto"/>
        </w:rPr>
        <w:t>. As soon as available, and in any event within 50 days after the end of each Fiscal Year, the audited balance sheet of the Company as at the end of each such Fiscal Year and the audited statements of income, cash flows and changes in stockholders’ equity for such year, accompanied by the certification of independent certified public accountants of recognized national standing selected by the Board, to the effect that, except as set forth therein, such financial statements have been prepared in accordance with GAAP, applied on a basis consistent with prior years and fairly present in all material respects the financial condition of the Company as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dates thereof and the results of its operations and changes in its cash flows and stockholders’ equity for the periods covered thereby.</w:t>
      </w:r>
    </w:p>
    <w:p>
      <w:pPr>
        <w:spacing w:after="0" w:line="225" w:lineRule="exact"/>
        <w:rPr>
          <w:sz w:val="20"/>
          <w:szCs w:val="20"/>
          <w:color w:val="auto"/>
        </w:rPr>
      </w:pPr>
    </w:p>
    <w:p>
      <w:pPr>
        <w:jc w:val="both"/>
        <w:ind w:firstLine="1953"/>
        <w:spacing w:after="0" w:line="286" w:lineRule="auto"/>
        <w:tabs>
          <w:tab w:leader="none" w:pos="2335"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Quarterly Reports</w:t>
      </w:r>
      <w:r>
        <w:rPr>
          <w:rFonts w:ascii="Arial" w:cs="Arial" w:eastAsia="Arial" w:hAnsi="Arial"/>
          <w:sz w:val="17"/>
          <w:szCs w:val="17"/>
          <w:color w:val="auto"/>
        </w:rPr>
        <w:t>. As soon as available, and in any event within 30 days after the end of each fiscal quarter, the balance sheet of the Company at the end of such quarter and the statements of income, cash flows and changes in stockholders’ equity for such quarter, all in reasonable detail and all prepared in accordance with GAAP, consistently applied, and certified by the Chief Financial Officer of the Company.</w:t>
      </w:r>
    </w:p>
    <w:p>
      <w:pPr>
        <w:spacing w:after="0" w:line="165" w:lineRule="exact"/>
        <w:rPr>
          <w:rFonts w:ascii="Arial" w:cs="Arial" w:eastAsia="Arial" w:hAnsi="Arial"/>
          <w:sz w:val="17"/>
          <w:szCs w:val="17"/>
          <w:color w:val="auto"/>
        </w:rPr>
      </w:pPr>
    </w:p>
    <w:p>
      <w:pPr>
        <w:jc w:val="both"/>
        <w:ind w:firstLine="1953"/>
        <w:spacing w:after="0" w:line="268" w:lineRule="auto"/>
        <w:tabs>
          <w:tab w:leader="none" w:pos="2389"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Information Required as a Result of Stockholder’s Filing Status</w:t>
      </w:r>
      <w:r>
        <w:rPr>
          <w:rFonts w:ascii="Arial" w:cs="Arial" w:eastAsia="Arial" w:hAnsi="Arial"/>
          <w:sz w:val="17"/>
          <w:szCs w:val="17"/>
          <w:color w:val="auto"/>
        </w:rPr>
        <w:t xml:space="preserve">. The Company acknowledges that Stockholder is a Large Accelerated Filer and agrees to cooperate, provide sufficient access and provide all information necessary for Stockholder to satisfy its financial reporting and Exchange Act reporting obligations as a Large Accelerated Filer. In accordance therewith, upon a request in writing by Stockholder that it requires certain financial information related to the Company in connection with Stockholder’s filing obligations under the Exchange Act, including, but not limited a request for the information included in or described in the annual or quarterly reports set forth in </w:t>
      </w:r>
      <w:r>
        <w:rPr>
          <w:rFonts w:ascii="Arial" w:cs="Arial" w:eastAsia="Arial" w:hAnsi="Arial"/>
          <w:sz w:val="17"/>
          <w:szCs w:val="17"/>
          <w:u w:val="single" w:color="auto"/>
          <w:color w:val="auto"/>
        </w:rPr>
        <w:t>Sections 10(j)(1)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10(j)(2)</w:t>
      </w:r>
      <w:r>
        <w:rPr>
          <w:rFonts w:ascii="Arial" w:cs="Arial" w:eastAsia="Arial" w:hAnsi="Arial"/>
          <w:sz w:val="17"/>
          <w:szCs w:val="17"/>
          <w:color w:val="auto"/>
        </w:rPr>
        <w:t xml:space="preserve"> as well as supporting information and schedules, the Company shall respond with such requested information in a timely manner, but in any event no less than five (5) business days from receipt of the written request with the information requested. If for any reason the Company does not have the requested information available to it, it will respond to the Stockholder in writing within two (2) business days from receipt of the written request specifying the reasons for unavailability of the information and a date upon which it believes the information will be available. When such requested information becomes available, the Company shall promptly send it to the Stockholder. In addition, in the event that Stockholder’s financial reporting and Exchange Act reporting obligations require it to audit or perform other accounting or review procedures with respect to the Company’s financials or any information included therein, the Company shall, and shall cause its officers, Directors and employees to afford Stockholder and its representatives, during normal business hours and upon reasonable notice, access at all reasonable times to its officers, employees, auditors, properties, offices, plants and other facilities and to all books and records, necessary to perform any such audit or other accounting or review procedures. Such access and information shall be provided within the time period reasonably necessary to allow Stockholder to conduct and complete its audit in a timely fashion and to timely include compliant financials in its Exchange Act reports and to timely file its Exchange Act reports.</w:t>
      </w:r>
    </w:p>
    <w:p>
      <w:pPr>
        <w:spacing w:after="0" w:line="180" w:lineRule="exact"/>
        <w:rPr>
          <w:rFonts w:ascii="Arial" w:cs="Arial" w:eastAsia="Arial" w:hAnsi="Arial"/>
          <w:sz w:val="17"/>
          <w:szCs w:val="17"/>
          <w:color w:val="auto"/>
        </w:rPr>
      </w:pPr>
    </w:p>
    <w:p>
      <w:pPr>
        <w:ind w:left="1700" w:hanging="395"/>
        <w:spacing w:after="0"/>
        <w:tabs>
          <w:tab w:leader="none" w:pos="1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6" w:lineRule="auto"/>
        <w:tabs>
          <w:tab w:leader="none" w:pos="2363"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The Company shall, and shall cause its officers, Directors and employees to afford Gulfport. for so long as Gulfport has the right to designate a Gulfport Director or has Board Advisor rights pursuant to Section 10(c), the opportunity to consult with its officers from time to time regarding the Company’s affairs, finances and accounts as Gulfport may reasonably request upon reasonable notice. The right set forth in this </w:t>
      </w:r>
      <w:r>
        <w:rPr>
          <w:rFonts w:ascii="Arial" w:cs="Arial" w:eastAsia="Arial" w:hAnsi="Arial"/>
          <w:sz w:val="17"/>
          <w:szCs w:val="17"/>
          <w:u w:val="single" w:color="auto"/>
          <w:color w:val="auto"/>
        </w:rPr>
        <w:t>Section 10(k)</w:t>
      </w:r>
      <w:r>
        <w:rPr>
          <w:rFonts w:ascii="Arial" w:cs="Arial" w:eastAsia="Arial" w:hAnsi="Arial"/>
          <w:sz w:val="17"/>
          <w:szCs w:val="17"/>
          <w:color w:val="auto"/>
        </w:rPr>
        <w:t xml:space="preserve"> shall not, and is not intended to, limit any rights which Gulfport may have with respect to the books and records of the Company, or to inspect its properties or discuss its affairs, finances and accounts under the laws of the jurisdiction in which the Company is incorporated.</w:t>
      </w:r>
    </w:p>
    <w:p>
      <w:pPr>
        <w:spacing w:after="0" w:line="172" w:lineRule="exact"/>
        <w:rPr>
          <w:rFonts w:ascii="Arial" w:cs="Arial" w:eastAsia="Arial" w:hAnsi="Arial"/>
          <w:sz w:val="17"/>
          <w:szCs w:val="17"/>
          <w:color w:val="auto"/>
        </w:rPr>
      </w:pPr>
    </w:p>
    <w:p>
      <w:pPr>
        <w:jc w:val="both"/>
        <w:ind w:firstLine="1953"/>
        <w:spacing w:after="0" w:line="289" w:lineRule="auto"/>
        <w:tabs>
          <w:tab w:leader="none" w:pos="2371"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Gulfport agrees that it will keep confidential and will not disclose, divulge or use for any purpose, other than to monitor its investment in the Company, any confidential information obtained from the Company pursuant to the terms of this Agreement,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10(k)(2)</w:t>
      </w:r>
      <w:r>
        <w:rPr>
          <w:rFonts w:ascii="Arial" w:cs="Arial" w:eastAsia="Arial" w:hAnsi="Arial"/>
          <w:sz w:val="16"/>
          <w:szCs w:val="16"/>
          <w:color w:val="auto"/>
        </w:rPr>
        <w:t xml:space="preserve"> by Gulfport), (B) is or has been independently developed or conceived by the Gulfport without use of the Company's confidential information or (C) is or has been made known or disclosed to Gulfport by a third party without a breach of any obligation of confidentiality such third party may have to the Company; provided, however, that Gulfport may disclose confidential information (a) to its attorneys, accountants, consultants, and other professionals to the extent needed for their services in connection with monitoring its investment in the Company, (b) to any officer, director or employees of Gulfport in the ordinary course of business, or (c) as may otherwise be required by law, provided that Gulfport takes reasonable steps to minimize the extent of any such required disclosure and subject, in the case of clauses (a) and (b) to each recipient’s obligation to maintain the confidentiality of that information as if such recipient was a party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00" w:name="page101"/>
    <w:bookmarkEnd w:id="100"/>
    <w:p>
      <w:pPr>
        <w:jc w:val="both"/>
        <w:ind w:firstLine="1953"/>
        <w:spacing w:after="0" w:line="279" w:lineRule="auto"/>
        <w:tabs>
          <w:tab w:leader="none" w:pos="239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acknowledges that Gulfport is in the oil and gas business and therefore is always reviewing information of many oil and gas companies and properties which compete directly or indirectly with those of the Company. Subject to its agreement to only use confidential information to monitor its investment in the Company, nothing in this Agreement shall preclude or in any way restrict Gulfport from investing or participating in any particular enterprise whether or not such enterprise has products or services which compete with those of the Company.</w:t>
      </w:r>
    </w:p>
    <w:p>
      <w:pPr>
        <w:spacing w:after="0" w:line="167"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b w:val="1"/>
          <w:bCs w:val="1"/>
          <w:color w:val="auto"/>
        </w:rPr>
        <w:t>Miscellaneous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8" w:lineRule="auto"/>
        <w:tabs>
          <w:tab w:leader="none" w:pos="167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The Company will not hereafter enter into any agreement with respect to its securities that is inconsistent with, adversely effects or violates the rights granted to the Holders in this Agreement; it being understood that the granting of additional demand or piggyback registration rights with respect to capital stock of the Company shall not be deemed adverse to the rights granted to Holders hereunder so long as they do not</w:t>
      </w:r>
    </w:p>
    <w:p>
      <w:pPr>
        <w:ind w:firstLine="8"/>
        <w:spacing w:after="0" w:line="261" w:lineRule="auto"/>
        <w:tabs>
          <w:tab w:leader="none" w:pos="2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reduce, except as set forth in this Agreement, the amount of Registrable Securities that any Holder may include in any registration contemplated in this Agreement or (y) restrict or otherwise limit the exercise by any Holder of its rights hereunder.</w:t>
      </w:r>
    </w:p>
    <w:p>
      <w:pPr>
        <w:spacing w:after="0" w:line="183" w:lineRule="exact"/>
        <w:rPr>
          <w:rFonts w:ascii="Arial" w:cs="Arial" w:eastAsia="Arial" w:hAnsi="Arial"/>
          <w:sz w:val="18"/>
          <w:szCs w:val="18"/>
          <w:color w:val="auto"/>
        </w:rPr>
      </w:pPr>
    </w:p>
    <w:p>
      <w:pPr>
        <w:jc w:val="both"/>
        <w:ind w:firstLine="1305"/>
        <w:spacing w:after="0" w:line="273" w:lineRule="auto"/>
        <w:tabs>
          <w:tab w:leader="none" w:pos="1767"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Any Person having rights under any provision of this Agreement will be entitled to enforce such rights specifically to recover damages caused by reason of any breach of any provision of this Agreement and to exercise all other rights granted by law. The parties hereto agree and acknowledge that money damages may not be an adequate remedy for any breach of the provisions of this Agreement and hereby agree to waive the defense in any action for specific performance or injunctive relief that a remedy at law would be adequate. Accordingly, any party may in its sole discretion apply to any court of law or equity of competent jurisdiction (without posting any bond or other security) for specific performance and for other injunctive relief in order to enforce or prevent violation of the provisions of this Agreement.</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75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contains the entire understanding of the parties with respect to its subject matter and supersedes any and all prior agreements, and neither it nor any part of it may in any way be altered, amended, extended, waived, discharged or terminated except by a written agreement that specifically references this Agreement and the provisions to be so altered, amended, extended, waived, discharged or terminated is signed by each of the parties hereto and specifically states that it is intended to alter, amend, extend, waive, discharge or terminate this agreement or a provision hereof.</w:t>
      </w:r>
    </w:p>
    <w:p>
      <w:pPr>
        <w:spacing w:after="0" w:line="188" w:lineRule="exact"/>
        <w:rPr>
          <w:rFonts w:ascii="Arial" w:cs="Arial" w:eastAsia="Arial" w:hAnsi="Arial"/>
          <w:sz w:val="18"/>
          <w:szCs w:val="18"/>
          <w:color w:val="auto"/>
        </w:rPr>
      </w:pPr>
    </w:p>
    <w:p>
      <w:pPr>
        <w:jc w:val="both"/>
        <w:ind w:firstLine="1305"/>
        <w:spacing w:after="0" w:line="291" w:lineRule="auto"/>
        <w:tabs>
          <w:tab w:leader="none" w:pos="176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the parties hereto and their respective successors and assigns. Except for the Board and information rights contained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(which rights are non-transferable), the Holders may assign all rights under this Agreement; provided, however, that no Holder may transfer or assign its rights hereunder unless such transferring Holder shall, prior to any such transfer, obtain from the transferee a joinder agreement in a form reasonably satisfactory to the Company and deliver a copy of such joinder agreement to the Company and to the Holders. Only persons (other than the Stockholder hereto) that execute a joinder agreement shall be deemed to be Holders. The Company shall be given written notice by the transferring Holder at the time of the transfer stating the name and address of the transferee and identifying the Registrable Securities transferred, provided, that, failure to give such notice shall not affect the validity of such transfer or assignment.</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1703"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it being intended that the rights and privileges of the parties hereto shall be enforceable to the fullest extent permitted by law.</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9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any one of which need not contain the signatures of more than one party, but each of which when so executed shall be deemed to be an original and all such counterparts taken together shall constitute one and the same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01" w:name="page102"/>
    <w:bookmarkEnd w:id="101"/>
    <w:p>
      <w:pPr>
        <w:jc w:val="both"/>
        <w:ind w:firstLine="1305"/>
        <w:spacing w:after="0" w:line="264" w:lineRule="auto"/>
        <w:tabs>
          <w:tab w:leader="none" w:pos="172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of reference only and shall not limit or otherwise affect the meaning hereof. The use of the word “including” in this Agreement shall be by way of example rather than by limitation.</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8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provided for or permitted to be given under this Agreement must be in writing and shall be given by personal delivery, by certified or registered United States mail (postage prepaid, return receipt requested), by a nationally recognized overnight delivery service for next day delivery, or by facsimile transmission, as follows (or to such other address as any party may give in a notice given in accordance with the provisions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14301 Caliber Drive,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Oklahoma City, OK 73134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(405) 463-6982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Stockholder: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Gulfport Energy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4313 N. May Avenue, Suite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Oklahoma City, OK 73134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(405) 848-8816</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notices, requests or other communications will be effective and deemed given only as follows: (i) if given by personal delivery, upon such personal delivery, (ii) if sent by certified or registered mail, on the fifth business day after being deposited in the United States mail, (iii) if sent for next day delivery by overnight delivery service, on the date of delivery as confirmed by written confirmation of delivery, (iv) if sent by facsimile, upon the transmitter’s confirmation of receipt of such facsimile transmission, except that if such confirmation is received after 5:00 p.m. (in the recipient’s time zone) on a business day, or is received on a day that is not a business day, then such notice, request or communication will not be deemed effective or given until the next succeeding business day. Notices, requests and other communications sent in any other manner, including by electronic mail, will not be effective.</w:t>
      </w:r>
    </w:p>
    <w:p>
      <w:pPr>
        <w:spacing w:after="0" w:line="165" w:lineRule="exact"/>
        <w:rPr>
          <w:sz w:val="20"/>
          <w:szCs w:val="20"/>
          <w:color w:val="auto"/>
        </w:rPr>
      </w:pPr>
    </w:p>
    <w:p>
      <w:pPr>
        <w:jc w:val="both"/>
        <w:ind w:firstLine="1305"/>
        <w:spacing w:after="0" w:line="269" w:lineRule="auto"/>
        <w:tabs>
          <w:tab w:leader="none" w:pos="167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AGREEMENT SHALL BE DEEMED TO BE MADE IN AND IN ALL RESPECTS SHALL BE INTERPRETED, CONSTRUED AND GOVERNED BY AND IN ACCORDANCE WITH THE LAW OF THE STATE OF DELAWARE WITHOUT REGARD TO THE CONFLICT OF LAW PRINCIPLES THEREOF. The parties hereby irrevocably submit to the jurisdiction of any federal court located in the State of Delaware or any Delaware state court solely in respect of the interpretation and enforcement of the provisions of this Agreement, and in respect of the transactions contemplated hereby, and hereby waive, and agree not to assert, as a defense in any action, suit or proceeding for the interpretation or enforcement 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the Section on notices above or in such other manner as may be permitted by law shall be valid and sufficient service thereof.</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EACH SUCH PARTY HEREBY IRREVOCABLY AND UNCONDITIONALLY WAIVES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02" w:name="page103"/>
    <w:bookmarkEnd w:id="102"/>
    <w:p>
      <w:pPr>
        <w:jc w:val="both"/>
        <w:spacing w:after="0" w:line="255" w:lineRule="auto"/>
        <w:rPr>
          <w:sz w:val="20"/>
          <w:szCs w:val="20"/>
          <w:color w:val="auto"/>
        </w:rPr>
      </w:pPr>
      <w:r>
        <w:rPr>
          <w:rFonts w:ascii="Arial" w:cs="Arial" w:eastAsia="Arial" w:hAnsi="Arial"/>
          <w:sz w:val="18"/>
          <w:szCs w:val="18"/>
          <w:color w:val="auto"/>
        </w:rPr>
        <w:t>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w:t>
      </w:r>
    </w:p>
    <w:p>
      <w:pPr>
        <w:spacing w:after="0" w:line="189" w:lineRule="exact"/>
        <w:rPr>
          <w:sz w:val="20"/>
          <w:szCs w:val="20"/>
          <w:color w:val="auto"/>
        </w:rPr>
      </w:pPr>
    </w:p>
    <w:p>
      <w:pPr>
        <w:jc w:val="both"/>
        <w:ind w:firstLine="1305"/>
        <w:spacing w:after="0" w:line="264" w:lineRule="auto"/>
        <w:tabs>
          <w:tab w:leader="none" w:pos="164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or have caused this Investor Rights Agreement to be duly executed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425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18"/>
          <w:szCs w:val="18"/>
          <w:color w:val="auto"/>
        </w:rPr>
        <w:t>Name:</w:t>
        <w:tab/>
        <w:t>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-19050</wp:posOffset>
            </wp:positionV>
            <wp:extent cx="1289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ind w:left="3900"/>
        <w:spacing w:after="0"/>
        <w:tabs>
          <w:tab w:leader="none" w:pos="448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-19050</wp:posOffset>
            </wp:positionV>
            <wp:extent cx="1148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STOCKHOLDER:</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GULFPORT ENERGY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Michael G.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470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002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18"/>
          <w:szCs w:val="18"/>
          <w:color w:val="auto"/>
        </w:rPr>
        <w:t>Name:</w:t>
        <w:tab/>
        <w:t>Michael G.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-19050</wp:posOffset>
            </wp:positionV>
            <wp:extent cx="1332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ind w:left="3900"/>
        <w:spacing w:after="0"/>
        <w:tabs>
          <w:tab w:leader="none" w:pos="4480" w:val="left"/>
        </w:tabs>
        <w:rPr>
          <w:sz w:val="20"/>
          <w:szCs w:val="20"/>
          <w:color w:val="auto"/>
        </w:rPr>
      </w:pPr>
      <w:r>
        <w:rPr>
          <w:rFonts w:ascii="Arial" w:cs="Arial" w:eastAsia="Arial" w:hAnsi="Arial"/>
          <w:sz w:val="18"/>
          <w:szCs w:val="18"/>
          <w:color w:val="auto"/>
        </w:rPr>
        <w:t>Title:</w:t>
        <w:tab/>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-19050</wp:posOffset>
            </wp:positionV>
            <wp:extent cx="2092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Investor Rights Agreement</w:t>
      </w:r>
    </w:p>
    <w:p>
      <w:pPr>
        <w:sectPr>
          <w:pgSz w:w="11900" w:h="16838" w:orient="portrait"/>
          <w:cols w:equalWidth="0" w:num="1">
            <w:col w:w="11420"/>
          </w:cols>
          <w:pgMar w:left="240" w:top="526" w:right="239" w:bottom="1440" w:gutter="0" w:footer="0" w:header="0"/>
        </w:sectPr>
      </w:pPr>
    </w:p>
    <w:bookmarkStart w:id="104" w:name="page105"/>
    <w:bookmarkEnd w:id="104"/>
    <w:p>
      <w:pPr>
        <w:ind w:left="438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2012 EQUITY INCENTIVE PLAN</w:t>
      </w:r>
    </w:p>
    <w:p>
      <w:pPr>
        <w:spacing w:after="0" w:line="207"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Purpose; Eligibility.</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 Purpose</w:t>
      </w:r>
      <w:r>
        <w:rPr>
          <w:rFonts w:ascii="Arial" w:cs="Arial" w:eastAsia="Arial" w:hAnsi="Arial"/>
          <w:sz w:val="18"/>
          <w:szCs w:val="18"/>
          <w:color w:val="auto"/>
        </w:rPr>
        <w:t xml:space="preserve">. The name of this plan is the Diamondback Energy, Inc. 2012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The purpose of the Plan is to enable Diamondback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any Affiliate to obtain and retain the services of the types of Employees, Consultants and Directors who will contribute to the Company’s long range success and to provide incentives that are linked directly to increases in share value which will inure to the benefit of all stockholders of the Company.</w:t>
      </w:r>
    </w:p>
    <w:p>
      <w:pPr>
        <w:spacing w:after="0" w:line="18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Eligible Award Recipients</w:t>
      </w:r>
      <w:r>
        <w:rPr>
          <w:rFonts w:ascii="Arial" w:cs="Arial" w:eastAsia="Arial" w:hAnsi="Arial"/>
          <w:sz w:val="16"/>
          <w:szCs w:val="16"/>
          <w:color w:val="auto"/>
        </w:rPr>
        <w:t>. The persons eligible to receive Awards are the Employees, Consultants and Directors of the Company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Affiliates.</w:t>
      </w:r>
    </w:p>
    <w:p>
      <w:pPr>
        <w:spacing w:after="0" w:line="21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Available Awards</w:t>
      </w:r>
      <w:r>
        <w:rPr>
          <w:rFonts w:ascii="Arial" w:cs="Arial" w:eastAsia="Arial" w:hAnsi="Arial"/>
          <w:sz w:val="16"/>
          <w:szCs w:val="16"/>
          <w:color w:val="auto"/>
        </w:rPr>
        <w:t>. The purpose of the Plan is to provide a means by which eligible recipients of Awards may be given an opportunity to benefit from increases in value of the Common Stock through the granting of one or more of the following Awards: (a) Incentive Stock Options,</w:t>
      </w:r>
    </w:p>
    <w:p>
      <w:pPr>
        <w:ind w:firstLine="8"/>
        <w:spacing w:after="0" w:line="261" w:lineRule="auto"/>
        <w:tabs>
          <w:tab w:leader="none" w:pos="2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Nonstatutory Stock Options, (c) Restricted Awards (Restricted Stock and Restricted Stock Units), (d) Performance Awards and (e) Stock Appreciation Rights.</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xml:space="preserve"> means the Board or the Committee appointed by the Board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any parent corporation or subsidiary corporation of the Company, whether now or hereafter existing, as those terms are defined in Sections 424(e) and (f), respectively, of the Code and any individual, partnership, corporation, limited liability company, association, joint stock company, trust, joint venture or unincorporated organization that directly, or indirectly through one or more intermediaries, controls, is controlled by, or is under common control with the Company. For this purpose “control” means the possession, directly or indirectly, of the power to direct or cause the direction of the management and policies of another, whether through ownership of voting securities, by contract or otherwise.</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means any right granted under the Plan, including an Incentive Stock Option, a Nonstatutory Stock Option, a Restricted Award (Restricted Stock and Restricted Stock Units), a Performance Award, and a Stock Appreciation Right.</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xml:space="preserve"> means a written agreement between the Company and a holder of an Award evidencing the terms and conditions of an individual Award grant. Each Award Agreement will be subject to the terms and conditions of the Plan and need not be identical.</w:t>
      </w:r>
    </w:p>
    <w:p>
      <w:pPr>
        <w:spacing w:after="0" w:line="14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xml:space="preserve"> has the meaning assigned to such term in Rule 13d-3 and Rule 13d-5 under the Exchange Act, except that in calculating the beneficial ownership of any particular Person, such Person will be deemed to have beneficial ownership of all securities that such Person has the right to acquire by conversion or exercise of other securities, whether such right is currently exercisable or is exercisable only after the passage of time, the satisfaction of performance goals, or both. The terms “Beneficially Owns” and “Beneficially Owned” have a corresponding meaning.</w:t>
      </w:r>
    </w:p>
    <w:p>
      <w:pPr>
        <w:spacing w:after="0" w:line="15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i w:val="1"/>
          <w:iCs w:val="1"/>
          <w:color w:val="auto"/>
        </w:rPr>
        <w:t xml:space="preserve">“Cashless Exercise” </w:t>
      </w:r>
      <w:r>
        <w:rPr>
          <w:rFonts w:ascii="Arial" w:cs="Arial" w:eastAsia="Arial" w:hAnsi="Arial"/>
          <w:sz w:val="15"/>
          <w:szCs w:val="15"/>
          <w:color w:val="auto"/>
        </w:rPr>
        <w:t>has the meaning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6.3</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(a) with respect to any Participant who is a party to an employment or service agreement or employment policy manual with the Company or its Affiliates and such agreement or policy manual provides for a definition of Cause, as defined therein and (b) with respect to all other Participants, (i)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621" w:right="23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18"/>
          <w:szCs w:val="18"/>
          <w:color w:val="auto"/>
        </w:rPr>
        <w:t>commission of, or plea of guilty or no contest to, a felony or a crime involving moral turpitude or the commission of any other act involving willful malfeasance or material fiduciary breach with respect to the Company or an Affiliate, (ii) conduct tending to bring the Company into substantial public disgrace, or disrepute, (iii) gross negligence or willful misconduct with respect to the Company or an Affiliate or (iv) material violation of state or federal securities laws. The Administrator, in its absolute discretion, shall determine the effect of all matters and questions relating to whether a Participant has been discharged for Cause.</w:t>
      </w:r>
    </w:p>
    <w:p>
      <w:pPr>
        <w:spacing w:after="0" w:line="188"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shall mean:</w:t>
      </w:r>
    </w:p>
    <w:p>
      <w:pPr>
        <w:spacing w:after="0" w:line="225" w:lineRule="exact"/>
        <w:rPr>
          <w:sz w:val="20"/>
          <w:szCs w:val="20"/>
          <w:color w:val="auto"/>
        </w:rPr>
      </w:pPr>
    </w:p>
    <w:p>
      <w:pPr>
        <w:ind w:right="20" w:firstLine="1953"/>
        <w:spacing w:after="0" w:line="308" w:lineRule="auto"/>
        <w:tabs>
          <w:tab w:leader="none" w:pos="233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assets of the Company to any Person other than a Permitted Holder;</w:t>
      </w:r>
    </w:p>
    <w:p>
      <w:pPr>
        <w:spacing w:after="0" w:line="146" w:lineRule="exact"/>
        <w:rPr>
          <w:rFonts w:ascii="Arial" w:cs="Arial" w:eastAsia="Arial" w:hAnsi="Arial"/>
          <w:sz w:val="17"/>
          <w:szCs w:val="17"/>
          <w:color w:val="auto"/>
        </w:rPr>
      </w:pPr>
    </w:p>
    <w:p>
      <w:pPr>
        <w:ind w:left="2340" w:hanging="387"/>
        <w:spacing w:after="0"/>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225" w:lineRule="exact"/>
        <w:rPr>
          <w:rFonts w:ascii="Arial" w:cs="Arial" w:eastAsia="Arial" w:hAnsi="Arial"/>
          <w:sz w:val="18"/>
          <w:szCs w:val="18"/>
          <w:color w:val="auto"/>
        </w:rPr>
      </w:pPr>
    </w:p>
    <w:p>
      <w:pPr>
        <w:ind w:right="20" w:firstLine="1953"/>
        <w:spacing w:after="0" w:line="277" w:lineRule="auto"/>
        <w:tabs>
          <w:tab w:leader="none" w:pos="23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consolidation or exchange) resulting in any Person other than Permitted Holders becoming the Beneficial Owner of more than 50% of the voting power of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notwithstanding, a transaction will not constitute a Change in Control if (i) its sole purpose is to change the state of the Company’s incorporation or to create a holding company that will be owned in substantially the same proportions by the Persons who held the Company’s securities immediately before such transaction; (ii) it constitutes an initial public offering or a secondary public offering that results in any security of the Company being listed (or approved for listing) on any securities exchange or designated (or approved for designation) as a security on an interdealer quotation system;</w:t>
      </w:r>
    </w:p>
    <w:p>
      <w:pPr>
        <w:spacing w:after="0" w:line="2" w:lineRule="exact"/>
        <w:rPr>
          <w:sz w:val="20"/>
          <w:szCs w:val="20"/>
          <w:color w:val="auto"/>
        </w:rPr>
      </w:pPr>
    </w:p>
    <w:p>
      <w:pPr>
        <w:jc w:val="both"/>
        <w:ind w:firstLine="8"/>
        <w:spacing w:after="0" w:line="273" w:lineRule="auto"/>
        <w:tabs>
          <w:tab w:leader="none" w:pos="319" w:val="left"/>
        </w:tabs>
        <w:numPr>
          <w:ilvl w:val="0"/>
          <w:numId w:val="94"/>
        </w:numPr>
        <w:rPr>
          <w:rFonts w:ascii="Arial" w:cs="Arial" w:eastAsia="Arial" w:hAnsi="Arial"/>
          <w:sz w:val="17"/>
          <w:szCs w:val="17"/>
          <w:color w:val="auto"/>
        </w:rPr>
      </w:pPr>
      <w:r>
        <w:rPr>
          <w:rFonts w:ascii="Arial" w:cs="Arial" w:eastAsia="Arial" w:hAnsi="Arial"/>
          <w:sz w:val="17"/>
          <w:szCs w:val="17"/>
          <w:color w:val="auto"/>
        </w:rPr>
        <w:t>it constitutes a change in Beneficial Ownership that results from a change in ownership in a Permitted Holder; or (iv) solely because 50% or more of the total voting power of the Company’s then outstanding securities is acquired by (A) a trustee or other fiduciary holding securities under one or more employee benefit Plans of the Company or any Affiliate, or (B) any company that, immediately before such acquisition, is owned directly or indirectly by the stockholders of the Company in substantially the same proportion as their ownership of stock in the Company immediately before such acquisition.</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b w:val="1"/>
          <w:bCs w:val="1"/>
          <w:i w:val="1"/>
          <w:iCs w:val="1"/>
          <w:color w:val="auto"/>
        </w:rPr>
        <w:t xml:space="preserve">“Code” </w:t>
      </w:r>
      <w:r>
        <w:rPr>
          <w:rFonts w:ascii="Arial" w:cs="Arial" w:eastAsia="Arial" w:hAnsi="Arial"/>
          <w:sz w:val="15"/>
          <w:szCs w:val="15"/>
          <w:color w:val="auto"/>
        </w:rPr>
        <w:t>means the Internal Revenue Code of 1986, as amended.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i w:val="1"/>
          <w:iCs w:val="1"/>
          <w:color w:val="auto"/>
        </w:rPr>
        <w:t xml:space="preserve">“Committee” </w:t>
      </w:r>
      <w:r>
        <w:rPr>
          <w:rFonts w:ascii="Arial" w:cs="Arial" w:eastAsia="Arial" w:hAnsi="Arial"/>
          <w:sz w:val="16"/>
          <w:szCs w:val="16"/>
          <w:color w:val="auto"/>
        </w:rPr>
        <w:t>means a committee of one or more members of the Board appointed by the Board to administer the Plan in accordance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1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i w:val="1"/>
          <w:iCs w:val="1"/>
          <w:color w:val="auto"/>
        </w:rPr>
        <w:t xml:space="preserve">“Common Stock” </w:t>
      </w:r>
      <w:r>
        <w:rPr>
          <w:rFonts w:ascii="Arial" w:cs="Arial" w:eastAsia="Arial" w:hAnsi="Arial"/>
          <w:sz w:val="15"/>
          <w:szCs w:val="15"/>
          <w:color w:val="auto"/>
        </w:rPr>
        <w:t>means the common stock, $0.01 par value per share of the Company.</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means Diamondback Energy, Inc., a Delaware corporation.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xml:space="preserve"> means any natural person who provides bona fide consulting or advisory services and who is compensated for such services or who provides or has provided bona fide services to the Company or an Affiliate pursuant to a written agreement, so long as such services are not in connection with the offer or sale of securities in a capital raising transaction and do not directly or indirectly promote or maintain a market for the Company’s securities.</w:t>
      </w:r>
    </w:p>
    <w:p>
      <w:pPr>
        <w:spacing w:after="0" w:line="187"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The Participant’s Continuous Service will not be deemed to have terminated merely because of a change in the capacity in which the Participant renders service to the Company or an Affiliate as an Employee, Consultant or Director or a change in the entity for which the Participant renders such service, so long as there is no interruption or termination of the Participant’s Continuous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06" w:name="page107"/>
    <w:bookmarkEnd w:id="106"/>
    <w:p>
      <w:pPr>
        <w:jc w:val="both"/>
        <w:spacing w:after="0" w:line="312" w:lineRule="auto"/>
        <w:rPr>
          <w:sz w:val="20"/>
          <w:szCs w:val="20"/>
          <w:color w:val="auto"/>
        </w:rPr>
      </w:pPr>
      <w:r>
        <w:rPr>
          <w:rFonts w:ascii="Arial" w:cs="Arial" w:eastAsia="Arial" w:hAnsi="Arial"/>
          <w:sz w:val="16"/>
          <w:szCs w:val="16"/>
          <w:color w:val="auto"/>
        </w:rPr>
        <w:t>Service. For example, a change in status from an Employee of the Company to a Consultant of an Affiliate or a Director will not constitute an interruption of Continuous Service. The Administrator or its delegate, in its sole discretion, may determine whether Continuous Service will be considered interrupted in the case of any leave of absence approved by that party, including sick leave, military leave or any other personal or family leave of absence.</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xml:space="preserve"> means an Employee who, on the last day of the taxable year of the Company, is a “covered employee” within the meaning of Code Section 162(m)(3) and the regulations and interpretive guidance promulgated thereunder.</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xml:space="preserve"> means, if the key terms and conditions of the Award are communicated to the Participant within a reasonable period following the Administrator’s action, the date on which the Administrator adopts a resolution, or takes other appropriate action, expressly granting an Award to a Participant that specifies the key terms and conditions of the Award and from which the Participant begins to benefit from or be adversely affected by subsequent changes in the Fair Market Value of the Common Stock or, if a subsequent date is set forth in such resolution, or determined by the Administrator, as the Date of Grant, then such date as is set forth in such resolution. In any situation where the terms of the Award are subject to negotiation with the Participant, the Date of Grant will not be earlier than the date the key terms and conditions of the Award are communicated to the Participant.</w:t>
      </w:r>
    </w:p>
    <w:p>
      <w:pPr>
        <w:spacing w:after="0" w:line="16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b w:val="1"/>
          <w:bCs w:val="1"/>
          <w:i w:val="1"/>
          <w:iCs w:val="1"/>
          <w:color w:val="auto"/>
        </w:rPr>
        <w:t>“Detrimental Activity”</w:t>
      </w:r>
      <w:r>
        <w:rPr>
          <w:rFonts w:ascii="Arial" w:cs="Arial" w:eastAsia="Arial" w:hAnsi="Arial"/>
          <w:sz w:val="17"/>
          <w:szCs w:val="17"/>
          <w:color w:val="auto"/>
        </w:rPr>
        <w:t xml:space="preserve"> means: (a) violation of the terms of any agreement with the Company concerning non-disclosure, confidentiality, intellectual property, privacy or exclusivity; (b) disclosure of the Company’s confidential information to anyone outside the Company, without prior written authorization from the Company, or in conflict with the interests of the Company, whether the confidential information was acquired or disclosed by the Participant during or after employment by the Company; (c) failure or refusal to disclose promptly or assign to the Company all right, title and interest in any invention, work product or idea, patentable or not, made or conceived by the Participant during employment by the Company, relating in any manner to the interests of the Company or, the failure or refusal to do anything reasonably necessary to enable the Company to secure a patent where appropriate in the United States and in other countries; (d) activity that is discovered to be grounds for or results in termination of the Participant's employment for Cause; (e) any breach of a restrictive covenant contained in any employment or service agreement, Award Agreement or other agreement between the Participant and the Company, during any period for which a restrictive covenant prohibiting Detrimental Activity, or other similar conduct or act, is applicable to the Participant during or after employment by the Company; (f) any attempt directly or indirectly to induce any Employee of the Company to be employed or perform services or acts in conflict with the interests of the Company; (g) any attempt, in conflict with the interests of the Company, directly or indirectly, to solicit the trade or business of any current or prospective customer, client, supplier or partner of the Company; (h) the conviction of, or guilty plea entered by, the Participant for any felony or a crime involving moral turpitude whether or not connected with the Company; or (i) the commission of any other act involving willful malfeasance or material fiduciary breach with respect to the Company.</w:t>
      </w:r>
    </w:p>
    <w:p>
      <w:pPr>
        <w:spacing w:after="0" w:line="18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i w:val="1"/>
          <w:iCs w:val="1"/>
          <w:color w:val="auto"/>
        </w:rPr>
        <w:t xml:space="preserve">“Director” </w:t>
      </w:r>
      <w:r>
        <w:rPr>
          <w:rFonts w:ascii="Arial" w:cs="Arial" w:eastAsia="Arial" w:hAnsi="Arial"/>
          <w:sz w:val="16"/>
          <w:szCs w:val="16"/>
          <w:color w:val="auto"/>
        </w:rPr>
        <w:t>means a member of the Board.</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xml:space="preserve"> means the Participant’s inability to substantially perform his or her duties to the Company or any Affiliate by reason of a medically determinable physical or mental impairment that is expected to last for a period of six months or longer or to result in death;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for purposes of determining the term of an Incentive Stock Option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hereof, the term Disability has the meaning ascribed to it under Code Section 22(e)(3). The Administrator will determine whether an individual has a Disability under procedures established by the Administrator. Except in situations where the Administrator is determining Disability within the meaning of Code Section 22(e)(3) for purposes of the term of an Incentive Stock Option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hereof, the Administrator may rely on any determination that a Participant is disabled for purposes of benefits under any long-term disability plan maintained by the Company or any Affiliate in which a Participant participates.</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b w:val="1"/>
          <w:bCs w:val="1"/>
          <w:i w:val="1"/>
          <w:iCs w:val="1"/>
          <w:color w:val="auto"/>
        </w:rPr>
        <w:t xml:space="preserve">“Effective Date” </w:t>
      </w:r>
      <w:r>
        <w:rPr>
          <w:rFonts w:ascii="Arial" w:cs="Arial" w:eastAsia="Arial" w:hAnsi="Arial"/>
          <w:sz w:val="15"/>
          <w:szCs w:val="15"/>
          <w:color w:val="auto"/>
        </w:rPr>
        <w:t>means October 10, 2012, the date the Board adopted the Plan.</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means any person employed by the Company or an Affiliate. Mere service as a Director or payment of a director’s fee by the Company or an Affiliate is not sufficient to constitute “employment” by the Company or an Affiliate.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07" w:name="page108"/>
    <w:bookmarkEnd w:id="107"/>
    <w:p>
      <w:pPr>
        <w:jc w:val="both"/>
        <w:ind w:firstLine="1297"/>
        <w:spacing w:after="0" w:line="264"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Established Securities Market</w:t>
      </w:r>
      <w:r>
        <w:rPr>
          <w:rFonts w:ascii="Arial" w:cs="Arial" w:eastAsia="Arial" w:hAnsi="Arial"/>
          <w:sz w:val="18"/>
          <w:szCs w:val="18"/>
          <w:color w:val="auto"/>
        </w:rPr>
        <w:t>” means a national securities exchange that is registered under Section 6 of the Exchange Act; a foreign national securities exchange that is officially recognized, sanctioned, or supervised by governmental authority; and any over-the-counter market that is reflected by the existence of an interdealer quotation system.</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i w:val="1"/>
          <w:iCs w:val="1"/>
          <w:color w:val="auto"/>
        </w:rPr>
        <w:t xml:space="preserve">“Exchange Act” </w:t>
      </w:r>
      <w:r>
        <w:rPr>
          <w:rFonts w:ascii="Arial" w:cs="Arial" w:eastAsia="Arial" w:hAnsi="Arial"/>
          <w:sz w:val="15"/>
          <w:szCs w:val="15"/>
          <w:color w:val="auto"/>
        </w:rPr>
        <w:t>means the Securities Exchange Act of 1934, as amended.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the Plan.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as of any date, the value of the Common Stock determined using a method consistent with the definition of fair market value found in Treas. Regs. §1.409A-1(b)(5)(iv) and any regulatory interpretations promulgated thereunder and will be determined using a method that is a presumptively reasonable valuation method there under, as determined below.</w:t>
      </w:r>
    </w:p>
    <w:p>
      <w:pPr>
        <w:spacing w:after="0" w:line="181" w:lineRule="exact"/>
        <w:rPr>
          <w:sz w:val="20"/>
          <w:szCs w:val="20"/>
          <w:color w:val="auto"/>
        </w:rPr>
      </w:pPr>
    </w:p>
    <w:p>
      <w:pPr>
        <w:ind w:firstLine="1953"/>
        <w:spacing w:after="0" w:line="277" w:lineRule="auto"/>
        <w:tabs>
          <w:tab w:leader="none" w:pos="23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Fair Market Value on the date of the Company’s initial public offering (within the meaning of Section 12(f)(1)(G) of the Exchange Act) of its Common Stock will be the initial price to the public on such date.</w:t>
      </w:r>
    </w:p>
    <w:p>
      <w:pPr>
        <w:spacing w:after="0" w:line="170" w:lineRule="exact"/>
        <w:rPr>
          <w:rFonts w:ascii="Arial" w:cs="Arial" w:eastAsia="Arial" w:hAnsi="Arial"/>
          <w:sz w:val="18"/>
          <w:szCs w:val="18"/>
          <w:color w:val="auto"/>
        </w:rPr>
      </w:pPr>
    </w:p>
    <w:p>
      <w:pPr>
        <w:jc w:val="both"/>
        <w:ind w:firstLine="1953"/>
        <w:spacing w:after="0" w:line="293" w:lineRule="auto"/>
        <w:tabs>
          <w:tab w:leader="none" w:pos="24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any date on which shares of Common Stock are readily tradable on an Established Securities Market, if the Common Stock is admitted to trading on an exchange or market for which closing prices are reported on any date, Fair Market Value may be determined based on the last sale before or the first sale after the Date of Grant of an Award, the closing price on the trading day before the Date of Grant of an Award or on the Date of Grant; or may be based on an average selling price during a specified period that is within 30 days before or 30 days after the Date of Grant of an Award, provided that the commitment to grant an Award based on such valuation method must be irrevocable before the beginning of the specified period, and such valuation method must be used consistently for grants of Awards under the same and substantially similar programs.</w:t>
      </w:r>
    </w:p>
    <w:p>
      <w:pPr>
        <w:spacing w:after="0" w:line="164" w:lineRule="exact"/>
        <w:rPr>
          <w:rFonts w:ascii="Arial" w:cs="Arial" w:eastAsia="Arial" w:hAnsi="Arial"/>
          <w:sz w:val="16"/>
          <w:szCs w:val="16"/>
          <w:color w:val="auto"/>
        </w:rPr>
      </w:pPr>
    </w:p>
    <w:p>
      <w:pPr>
        <w:jc w:val="both"/>
        <w:ind w:firstLine="1953"/>
        <w:spacing w:after="0" w:line="255" w:lineRule="auto"/>
        <w:tabs>
          <w:tab w:leader="none" w:pos="2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Common Stock is readily tradable on an Established Securities Market but closing prices are not reported, Fair Market Value may be determined based upon the average of the highest bid and lowest asked prices of the Common Stock reported on the trading day before the Date of Grant of an Award or on the Date of Grant; or may be based upon an average of the highest bid and lowest asked prices during a specified period that is within 30 days before or 30 days after the Date of Grant of an Award, provided that the commitment to grant an Award based on such valuation method must be irrevocable before the beginning of the specified period, and such valuation method must be used consistently for grants of Awards under the same and substantially similar programs.</w:t>
      </w:r>
    </w:p>
    <w:p>
      <w:pPr>
        <w:spacing w:after="0" w:line="193" w:lineRule="exact"/>
        <w:rPr>
          <w:rFonts w:ascii="Arial" w:cs="Arial" w:eastAsia="Arial" w:hAnsi="Arial"/>
          <w:sz w:val="18"/>
          <w:szCs w:val="18"/>
          <w:color w:val="auto"/>
        </w:rPr>
      </w:pPr>
    </w:p>
    <w:p>
      <w:pPr>
        <w:jc w:val="both"/>
        <w:ind w:firstLine="1953"/>
        <w:spacing w:after="0" w:line="257" w:lineRule="auto"/>
        <w:tabs>
          <w:tab w:leader="none" w:pos="23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Common Stock is not readily tradable on an Established Securities Market, the Administrator will determine the Fair Market Value through the reasonable application of a reasonable valuation method based on the facts and circumstances as of the valuation date, including, at the election of the Administrator, by an independent appraisal that meets the requirements of Code Section 401(a)(28)(C) and the regulations promulgated thereunder as of a date that is no more than 12 months before the relevant transaction to which the valuation is applied (for example, an Option’s Date of Grant) and such determination will be conclusive and binding on all persons.</w:t>
      </w:r>
    </w:p>
    <w:p>
      <w:pPr>
        <w:spacing w:after="0" w:line="1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b w:val="1"/>
          <w:bCs w:val="1"/>
          <w:i w:val="1"/>
          <w:iCs w:val="1"/>
          <w:color w:val="auto"/>
        </w:rPr>
        <w:t xml:space="preserve">“Free Standing SAR” </w:t>
      </w:r>
      <w:r>
        <w:rPr>
          <w:rFonts w:ascii="Arial" w:cs="Arial" w:eastAsia="Arial" w:hAnsi="Arial"/>
          <w:sz w:val="16"/>
          <w:szCs w:val="16"/>
          <w:color w:val="auto"/>
        </w:rPr>
        <w:t>has the meaning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xml:space="preserve"> means an Option intended to qualify as an incentive stock option within the meaning of Section 422 of the Code and the regulations promulgated thereunder.</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xml:space="preserve"> means individuals who, on the Effective Date, constitute the Board, provided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will be an Incumbent Director. No individual initially elected or nominated as a Director of the Company as a result of an actual or threatened election contest with respect to Directors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t>or as a result of any other actual or threatened solicitation of proxies by or on behalf of any person other than the Board will be an Incumbent Director.</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xml:space="preserve"> means an individual subject to Section 16 of the Exchange Act and includes an Officer, a Director, or any other person who is directly or indirectly the Beneficial Owner of more than 10% of any class of any equity security of the Company (other than an exempted security) that is registered pursuant to Section 12 of the Exchange Act.</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i w:val="1"/>
          <w:iCs w:val="1"/>
          <w:color w:val="auto"/>
        </w:rPr>
        <w:t xml:space="preserve">“Market Stand-Off” </w:t>
      </w:r>
      <w:r>
        <w:rPr>
          <w:rFonts w:ascii="Arial" w:cs="Arial" w:eastAsia="Arial" w:hAnsi="Arial"/>
          <w:sz w:val="16"/>
          <w:szCs w:val="16"/>
          <w:color w:val="auto"/>
        </w:rPr>
        <w:t>has the meaning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i w:val="1"/>
          <w:iCs w:val="1"/>
          <w:color w:val="auto"/>
        </w:rPr>
        <w:t xml:space="preserve">“Non-Employee Director” </w:t>
      </w:r>
      <w:r>
        <w:rPr>
          <w:rFonts w:ascii="Arial" w:cs="Arial" w:eastAsia="Arial" w:hAnsi="Arial"/>
          <w:sz w:val="16"/>
          <w:szCs w:val="16"/>
          <w:color w:val="auto"/>
        </w:rPr>
        <w:t>means a Director who is a “non-employee director” within the meaning of Rule 16b-3.</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i w:val="1"/>
          <w:iCs w:val="1"/>
          <w:color w:val="auto"/>
        </w:rPr>
        <w:t xml:space="preserve">“Nonstatutory Stock Option” </w:t>
      </w:r>
      <w:r>
        <w:rPr>
          <w:rFonts w:ascii="Arial" w:cs="Arial" w:eastAsia="Arial" w:hAnsi="Arial"/>
          <w:sz w:val="16"/>
          <w:szCs w:val="16"/>
          <w:color w:val="auto"/>
        </w:rPr>
        <w:t>means an Option not intended to qualify as an Incentive Stock Option.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means (a) before the first date on which any Security of the Company is registered under Section 12 of the Exchange Act, any person designated by the Company as an officer and (b) on and after the first date on which any Security of the Company is registered under Section 12 of the Exchange Act, a person who is an officer of the Company within the meaning of Section 16 of the Exchange Act and the rules and regulations promulgated thereunder.</w:t>
      </w:r>
    </w:p>
    <w:p>
      <w:pPr>
        <w:spacing w:after="0" w:line="18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i w:val="1"/>
          <w:iCs w:val="1"/>
          <w:color w:val="auto"/>
        </w:rPr>
        <w:t xml:space="preserve">“Option” </w:t>
      </w:r>
      <w:r>
        <w:rPr>
          <w:rFonts w:ascii="Arial" w:cs="Arial" w:eastAsia="Arial" w:hAnsi="Arial"/>
          <w:sz w:val="16"/>
          <w:szCs w:val="16"/>
          <w:color w:val="auto"/>
        </w:rPr>
        <w:t>means an Incentive Stock Option or a Nonstatutory Stock Option granted pursuant to the Plan.</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xml:space="preserve"> means a written agreement between the Company and an Optionholder evidencing the terms and conditions of an individual Option grant. Each Option Agreement will be subject to the terms and conditions of the Plan and need not be identical.</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xml:space="preserve"> means a person to whom an Option is granted pursuant to the Plan or, if applicable, such other person who holds an outstanding Option.</w:t>
      </w:r>
    </w:p>
    <w:p>
      <w:pPr>
        <w:spacing w:after="0" w:line="17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b w:val="1"/>
          <w:bCs w:val="1"/>
          <w:i w:val="1"/>
          <w:iCs w:val="1"/>
          <w:color w:val="auto"/>
        </w:rPr>
        <w:t xml:space="preserve">“Outside Director” </w:t>
      </w:r>
      <w:r>
        <w:rPr>
          <w:rFonts w:ascii="Arial" w:cs="Arial" w:eastAsia="Arial" w:hAnsi="Arial"/>
          <w:sz w:val="16"/>
          <w:szCs w:val="16"/>
          <w:color w:val="auto"/>
        </w:rPr>
        <w:t>means a Director who is an “outside director” within the meaning of Section 162(m) of the Code and Treas.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Regs. § 1.162-27(e)(3).</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means a person to whom an Award is granted pursuant to the Plan or, if applicable, such other person who holds an outstanding Award.</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b w:val="1"/>
          <w:bCs w:val="1"/>
          <w:i w:val="1"/>
          <w:iCs w:val="1"/>
          <w:color w:val="auto"/>
        </w:rPr>
        <w:t xml:space="preserve">“Performance Award” </w:t>
      </w:r>
      <w:r>
        <w:rPr>
          <w:rFonts w:ascii="Arial" w:cs="Arial" w:eastAsia="Arial" w:hAnsi="Arial"/>
          <w:sz w:val="16"/>
          <w:szCs w:val="16"/>
          <w:color w:val="auto"/>
        </w:rPr>
        <w:t>means an Award granted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b w:val="1"/>
          <w:bCs w:val="1"/>
          <w:i w:val="1"/>
          <w:iCs w:val="1"/>
          <w:color w:val="auto"/>
        </w:rPr>
        <w:t>“Permitted Holders”</w:t>
      </w:r>
      <w:r>
        <w:rPr>
          <w:rFonts w:ascii="Arial" w:cs="Arial" w:eastAsia="Arial" w:hAnsi="Arial"/>
          <w:sz w:val="16"/>
          <w:szCs w:val="16"/>
          <w:color w:val="auto"/>
        </w:rPr>
        <w:t xml:space="preserve"> means Wexford Capital LP, a Delaware limited partnership, and Gulfport Energy Corporation, a Delaware corporation, and any individual, partnership, corporation, limited liability company, association, joint stock company, trust, joint venture or unincorporated organization that directly, or indirectly through one or more intermediaries, controls, is controlled by, or is under common control with Wexford Capital LP or Gulfport Energy Corporation, as the case may be. For this purpose “control” means the possession, directly or indirectly, of the power to direct or cause the direction of the management and policies of another, whether through ownership of voting securities, by contract or otherwise.</w:t>
      </w:r>
    </w:p>
    <w:p>
      <w:pPr>
        <w:spacing w:after="0" w:line="15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xml:space="preserve"> means (a) any spouse, parents, siblings (by blood, marriage or adoption) or lineal descendants (by blood, marriage or adoption) of a Participant; (b) any trust or other similar entity for the benefit of a Participant or the Participant’s spouse, parents, siblings or lineal descendants;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transfer made by a Participant to a Permitted Transferee may only be made if the Permitted Transferee, prior to the time of transfer of stock, agrees in writing to be bound by the terms of the Plan and provides written notice to the Company of such transfer.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09" w:name="page110"/>
    <w:bookmarkEnd w:id="109"/>
    <w:p>
      <w:pPr>
        <w:jc w:val="both"/>
        <w:ind w:firstLine="1297"/>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partnership, limited liability company, corporation, association, joint stock company, trust, joint venture, labor organization, unincorporated organization, governmental entity or political subdivision thereof, or any other entity, and includes a syndicate or group as such terms are used in Section 13(d)(3) or 14(d)(2) of the Exchange Act.</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means this Diamondback Energy, Inc. 2012 Equity Incentive Plan.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b w:val="1"/>
          <w:bCs w:val="1"/>
          <w:i w:val="1"/>
          <w:iCs w:val="1"/>
          <w:color w:val="auto"/>
        </w:rPr>
        <w:t>Prohibited Personal Loan</w:t>
      </w:r>
      <w:r>
        <w:rPr>
          <w:rFonts w:ascii="Arial" w:cs="Arial" w:eastAsia="Arial" w:hAnsi="Arial"/>
          <w:sz w:val="18"/>
          <w:szCs w:val="18"/>
          <w:color w:val="auto"/>
        </w:rPr>
        <w:t>” means any direct or indirect extension of credit or arrangement of an extension of credit to a Director or executive officer (or equivalent thereof) by the Company or an Affiliate that is prohibited by Section 402(a) of the Sarbanes-Oxley Act (codified as Section 13(k) of the Exchange Act).</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i w:val="1"/>
          <w:iCs w:val="1"/>
          <w:color w:val="auto"/>
        </w:rPr>
        <w:t xml:space="preserve">“Restricted Award” </w:t>
      </w:r>
      <w:r>
        <w:rPr>
          <w:rFonts w:ascii="Arial" w:cs="Arial" w:eastAsia="Arial" w:hAnsi="Arial"/>
          <w:sz w:val="16"/>
          <w:szCs w:val="16"/>
          <w:color w:val="auto"/>
        </w:rPr>
        <w:t>means any Award granted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Restricted Stock and Restricted Stock Units.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b w:val="1"/>
          <w:bCs w:val="1"/>
          <w:i w:val="1"/>
          <w:iCs w:val="1"/>
          <w:color w:val="auto"/>
        </w:rPr>
        <w:t xml:space="preserve">“Restricted Period” </w:t>
      </w:r>
      <w:r>
        <w:rPr>
          <w:rFonts w:ascii="Arial" w:cs="Arial" w:eastAsia="Arial" w:hAnsi="Arial"/>
          <w:sz w:val="16"/>
          <w:szCs w:val="16"/>
          <w:color w:val="auto"/>
        </w:rPr>
        <w:t>has the meaning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has the meaning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xml:space="preserve"> means a hypothetical Common Stock unit having a value equal to the Fair Market Value of an identical number of shares of Common Stock as determined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2.50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xml:space="preserve"> means the Company’s option to repurchase unvested Common Stock acquired under the Plan upon the Participant’s termination of Continuous Service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b w:val="1"/>
          <w:bCs w:val="1"/>
          <w:i w:val="1"/>
          <w:iCs w:val="1"/>
          <w:color w:val="auto"/>
        </w:rPr>
        <w:t xml:space="preserve">“Rule 16b-3” </w:t>
      </w:r>
      <w:r>
        <w:rPr>
          <w:rFonts w:ascii="Arial" w:cs="Arial" w:eastAsia="Arial" w:hAnsi="Arial"/>
          <w:sz w:val="16"/>
          <w:szCs w:val="16"/>
          <w:color w:val="auto"/>
        </w:rPr>
        <w:t>means Rule 16b-3 promulgated under the Exchange Act or any successor to Rule 16b-3.</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b w:val="1"/>
          <w:bCs w:val="1"/>
          <w:i w:val="1"/>
          <w:iCs w:val="1"/>
          <w:color w:val="auto"/>
        </w:rPr>
        <w:t>“Rule 701</w:t>
      </w:r>
      <w:r>
        <w:rPr>
          <w:rFonts w:ascii="Arial" w:cs="Arial" w:eastAsia="Arial" w:hAnsi="Arial"/>
          <w:sz w:val="16"/>
          <w:szCs w:val="16"/>
          <w:color w:val="auto"/>
        </w:rPr>
        <w:t>” means Rule 701 promulgated under the Securities Act.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b w:val="1"/>
          <w:bCs w:val="1"/>
          <w:i w:val="1"/>
          <w:iCs w:val="1"/>
          <w:color w:val="auto"/>
        </w:rPr>
        <w:t xml:space="preserve">“Securities Act” </w:t>
      </w:r>
      <w:r>
        <w:rPr>
          <w:rFonts w:ascii="Arial" w:cs="Arial" w:eastAsia="Arial" w:hAnsi="Arial"/>
          <w:sz w:val="15"/>
          <w:szCs w:val="15"/>
          <w:color w:val="auto"/>
        </w:rPr>
        <w:t>means the Securities Act of 1933, as amended.</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2.54 </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xml:space="preserve">” means the right pursuant to an Award granted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to receive an amount equal to the excess, if any, of (A) the Fair Market Value, as of the date such Stock Appreciation Right or portion thereof is surrendered, of the shares of Common Stock covered by such right or such portion thereof, over (B) the aggregate Strike Price of such right or such portion thereof.</w:t>
      </w:r>
    </w:p>
    <w:p>
      <w:pPr>
        <w:spacing w:after="0" w:line="16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b w:val="1"/>
          <w:bCs w:val="1"/>
          <w:i w:val="1"/>
          <w:iCs w:val="1"/>
          <w:color w:val="auto"/>
        </w:rPr>
        <w:t>“Stock for Stock Exchange</w:t>
      </w:r>
      <w:r>
        <w:rPr>
          <w:rFonts w:ascii="Arial" w:cs="Arial" w:eastAsia="Arial" w:hAnsi="Arial"/>
          <w:sz w:val="16"/>
          <w:szCs w:val="16"/>
          <w:color w:val="auto"/>
        </w:rPr>
        <w:t>” has the meaning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b w:val="1"/>
          <w:bCs w:val="1"/>
          <w:i w:val="1"/>
          <w:iCs w:val="1"/>
          <w:color w:val="auto"/>
        </w:rPr>
        <w:t>Strike Price</w:t>
      </w:r>
      <w:r>
        <w:rPr>
          <w:rFonts w:ascii="Arial" w:cs="Arial" w:eastAsia="Arial" w:hAnsi="Arial"/>
          <w:sz w:val="18"/>
          <w:szCs w:val="18"/>
          <w:color w:val="auto"/>
        </w:rPr>
        <w:t xml:space="preserve">” means the threshold value per share of Common Stock, the excess over which will be payable upon exercise of a Stock Appreciation Right, as determined by the Administrator pursuant to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and set forth in the Award Agreement for a Stock Appreciation Right.</w:t>
      </w:r>
    </w:p>
    <w:p>
      <w:pPr>
        <w:spacing w:after="0" w:line="18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2.57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means the Company if immediately following any merger, consolidation or similar transaction, the holders of outstanding voting securities of the Company immediately prior to the merger or consolidation own equity securities possessing more than 50% of the voting power of the entity existing following the merger, consolidation or similar transaction. In all other cases, the other entity to the transaction and not the Company will be the Surviving Entity. In making the determination of ownership by the stockholders of an entity immediately after the merger, consolidation or similar transaction, equity securities that the stockholders owned immediately before the merger, consolidation or similar transaction as stockholders of another party to the transaction will be disregarded. Further, outstanding voting securities of an entity will be calculated by assuming the conversion of all equity securities convertible (immediately or at some future time whether or not contingent on the satisfaction of performance goals) into shares entitled to vote.</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0" w:name="page111"/>
    <w:bookmarkEnd w:id="110"/>
    <w:p>
      <w:pPr>
        <w:ind w:firstLine="1297"/>
        <w:spacing w:after="0" w:line="277" w:lineRule="auto"/>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xml:space="preserve"> means a person who owns (or is deemed to own pursuant to Section 424(d) of the Code) stock possessing more than 10% of the total combined voting power of all classes of stock of the Company or of any of its Affiliates.</w:t>
      </w:r>
    </w:p>
    <w:p>
      <w:pPr>
        <w:spacing w:after="0" w:line="166"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 by Board</w:t>
      </w:r>
      <w:r>
        <w:rPr>
          <w:rFonts w:ascii="Arial" w:cs="Arial" w:eastAsia="Arial" w:hAnsi="Arial"/>
          <w:sz w:val="18"/>
          <w:szCs w:val="18"/>
          <w:color w:val="auto"/>
        </w:rPr>
        <w:t xml:space="preserve">. The Plan will be administered by the Board unless and until the Board delegates administration to a Committee, as provided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The Administrator will have the power and authority to select Participants and grant Awards pursuant to the terms of the Plan.</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Specific Authority</w:t>
      </w:r>
      <w:r>
        <w:rPr>
          <w:rFonts w:ascii="Arial" w:cs="Arial" w:eastAsia="Arial" w:hAnsi="Arial"/>
          <w:sz w:val="16"/>
          <w:szCs w:val="16"/>
          <w:color w:val="auto"/>
        </w:rPr>
        <w:t xml:space="preserve">. In particular, the Administrator will have the authority to: (a) construe and interpret the Plan and apply its provisions; (b) promulgate, amend, and rescind rules and regulations relating to the administration of the Plan; (c) authorize any person to execute, on behalf of the Company, any instrument required to carry out the purposes of the Plan; (d) delegate its authority to one or more Officers of the Company with respect to Awards that do not involve Covered Employees or Insiders, provided such delegation is pursuant to a resolution that specifies the total number of shares of Common Stock that may be subject to Awards by such Officer and such Officer may not make an Award to himself or herself; (e) determine when Awards are to be granted under the Plan; (f) select, subject to the limitations set forth in the Plan, those Participants to whom Awards will be granted; (g) determine the number of shares of Common Stock to be made subject to each Award; (h) determine whether each Option is to be an Incentive Stock Option or a Nonstatutory Stock Option; (i) prescribe the terms and conditions of each Award, including, without limitation, the Strike Price or Exercise Price and medium of payment, vesting provisions and Right of Repurchase provisions, and to specify the provisions of the Award Agreement relating to such grant or sale; (j) subject to restrictions applicable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amend any outstanding Awards, including for the purpose of modifying the time or manner of vesting, the purchase price, Exercise Price or Strike Price, or the term of any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amendment impairs a Participant’s rights or increases a Participant’s obligations under his or her Award, such amendment shall also be subject to the Participant’s consent (for the avoidance of doubt, a cancellation of an Award where the Participant receives a payment equal in value to the Fair Market Value of the vested Award or, in the case of vested Options or SARs, the difference between the Fair Market Value of the Common Stock subject to an Option or SAR and the Exercise Price or Strike Price, will not constitute an impairment of the Participant’s rights that requires consent); (k) determine the duration and purpose of leaves of absences that may be granted to a Participant without constituting termination of their Continuous Service for purposes of the Plan, which periods will be no shorter than the periods generally applicable to Employees under the Company’s employment policies or as required under applicable law; (l) make decisions with respect to outstanding Awards that may become necessary upon a Change in Control or an event that triggers capital adjustments; and (m) to exercise discretion to make any and all other determinations that it may determine to be necessary or advisable for administration of the Plan.</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Decisions Final</w:t>
      </w:r>
      <w:r>
        <w:rPr>
          <w:rFonts w:ascii="Arial" w:cs="Arial" w:eastAsia="Arial" w:hAnsi="Arial"/>
          <w:sz w:val="18"/>
          <w:szCs w:val="18"/>
          <w:color w:val="auto"/>
        </w:rPr>
        <w:t>. All decisions made by the Administrator pursuant to the provisions of the Plan will be final and binding on the Company and the Participants, unless such decisions are determined by a court having jurisdiction to be arbitrary and capricious.</w:t>
      </w:r>
    </w:p>
    <w:p>
      <w:pPr>
        <w:spacing w:after="0" w:line="17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The Committee</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71" w:lineRule="auto"/>
        <w:tabs>
          <w:tab w:leader="none" w:pos="235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Board may delegate administration of the Plan to a Committee or Committees of one or more members of the Board, and the term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will apply to any person or persons to whom such authority has been delegated. If administration is delegated to a Committee, the Committee will have, in connection with the administration of the Plan, the powers theretofore possessed by the Board, including the power to delegate to a subcommittee any of the administrative powers the Committee is authorized to exercise (and references in the Plan to the Board or the Administrator will thereafter be to the Committee or subcommittee), subject, however, to such resolutions, consistent with the provisions of the Plan, as the Board may adopt. The Board may abolish the Committee at any time and revest in the Board the administration of the Plan. The members of the Committee will be appointed by and serve at the pleasure of the Board. The Board may increase or decrease the size of the Committee, add additional members to, remove members (with or without cause) from, appoint new members in substitution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18"/>
          <w:szCs w:val="18"/>
          <w:color w:val="auto"/>
        </w:rPr>
        <w:t>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will keep minutes of all of its meetings. Subject to the limitations prescribed by the Plan and the Board, the Committee will establish and follow such rules and regulations for the conduct of its business as it may determine to be advisable.</w:t>
      </w:r>
    </w:p>
    <w:p>
      <w:pPr>
        <w:spacing w:after="0" w:line="187" w:lineRule="exact"/>
        <w:rPr>
          <w:sz w:val="20"/>
          <w:szCs w:val="20"/>
          <w:color w:val="auto"/>
        </w:rPr>
      </w:pPr>
    </w:p>
    <w:p>
      <w:pPr>
        <w:jc w:val="both"/>
        <w:ind w:firstLine="1953"/>
        <w:spacing w:after="0" w:line="269" w:lineRule="auto"/>
        <w:tabs>
          <w:tab w:leader="none" w:pos="233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Committee Composition when Common Stock is Registered</w:t>
      </w:r>
      <w:r>
        <w:rPr>
          <w:rFonts w:ascii="Arial" w:cs="Arial" w:eastAsia="Arial" w:hAnsi="Arial"/>
          <w:sz w:val="17"/>
          <w:szCs w:val="17"/>
          <w:color w:val="auto"/>
        </w:rPr>
        <w:t>. Whenever the Common Stock is required to be registered under Section 12 of the Exchange Act, in the discretion of the Board, a Committee may consist solely of two or more Non-Employee Directors who are also Outside Directors. The Board will have discretion to determine whether or not it intends to comply with the exemption requirements of Rule 16b-3, Code Section 162(m), or both. If, however, the Board intends to satisfy such exemption requirements, with respect to Awards to any Covered Employee and with respect to any Officer, Director or other Insider, the Committee must at all times consist solely of two or more Non-Employee Directors who are also Outside Directors. Within the scope of such authority, the Board or the Committee may (i) delegate to a committee of one or more members of the Board who are not Outside Directors the authority to grant Awards to eligible persons who are either (A) not then Covered Employees and are not expected to be Covered Employees at the time of recognition of income resulting from such Award or (B) not persons with respect to whom the Company wishes to comply with Code Section 162(m) or (ii) delegate to a committee of one or more members of the Board who are not Non-Employee Directors the authority to grant Awards to eligible persons who are not then Insiders. Nothing herein is intended to create an inference that an Award is not validly granted under the Plan in the event Awards are granted under the Plan by a committee of the Board that does not at all times consist solely of two or more Non-Employee Directors who are also Outside Directors.</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In addition to such other rights of indemnification as they may have as Directors or members of the Committee, and to the extent allowed by applicable law, the Company shall indemnify the Administrator against the reasonable expenses, including attorney’s fees, actually incurred in connection with any action, suit or proceeding or in connection with any appeal therein, to which the Administrator may be party by reason of any action taken or failure to act under or in connection with the Plan or any Award granted under the Plan, and against all amounts paid by the Administrator in settlement thereof (subject, however, to the Company’s approval of the settlement, which approval the Company shall not unreasonably withhold) or paid by the Administrator in satisfaction of a judgment in any such action, suit or proceeding, except in relation to matters as to which it is adjudged in such action, suit or proceeding that the Administrator did not act in good faith, did not act in a manner that such person reasonably believed to be in the best interests of the Company, or in the case of a criminal proceeding, had no reason to believe that the conduct complained of was lawful;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within 60 days after institution of any such action, suit or proceeding, such Administrator or Committee member shall, in writing, offer the Company the opportunity at its own expense to handle and defend such action, suit or proceeding.</w:t>
      </w:r>
    </w:p>
    <w:p>
      <w:pPr>
        <w:spacing w:after="0" w:line="174"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Reserve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relating to adjustments upon changes in Common Stock, the shares that may be issued pursuant to Awards will consist of the Company’s authorized but unissued Common Stock, and the maximum aggregate amount of such Common Stock that may be issued upon exercise of all Awards under the Plan will not exceed 2,500,000 shares of Common Stock (subject to adjustment as provided in Section </w:t>
      </w:r>
      <w:r>
        <w:rPr>
          <w:rFonts w:ascii="Arial" w:cs="Arial" w:eastAsia="Arial" w:hAnsi="Arial"/>
          <w:sz w:val="18"/>
          <w:szCs w:val="18"/>
          <w:u w:val="single" w:color="auto"/>
          <w:color w:val="auto"/>
        </w:rPr>
        <w:t>11.1</w:t>
      </w:r>
      <w:r>
        <w:rPr>
          <w:rFonts w:ascii="Arial" w:cs="Arial" w:eastAsia="Arial" w:hAnsi="Arial"/>
          <w:sz w:val="18"/>
          <w:szCs w:val="18"/>
          <w:color w:val="auto"/>
        </w:rPr>
        <w:t>), all of which may be used for Incentive Stock Options or any other Awards. Awards for fractional shares of Common Stock may not be issued under the terms of the Plan.</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Reversion of Shares to the Share Reserve</w:t>
      </w:r>
      <w:r>
        <w:rPr>
          <w:rFonts w:ascii="Arial" w:cs="Arial" w:eastAsia="Arial" w:hAnsi="Arial"/>
          <w:sz w:val="16"/>
          <w:szCs w:val="16"/>
          <w:color w:val="auto"/>
        </w:rPr>
        <w:t xml:space="preserve">. If any Award for any reason expires or otherwise terminates, in whole or in part, the shares of Common Stock not acquired under such Award will revert to and again become available for issuance under the Plan. If the Company reacquires shares of Common Stock issued under the Plan pursuant to the terms of any forfeiture provision, including the Right of Repurchase of unvested Common Stock under </w:t>
      </w:r>
      <w:r>
        <w:rPr>
          <w:rFonts w:ascii="Arial" w:cs="Arial" w:eastAsia="Arial" w:hAnsi="Arial"/>
          <w:sz w:val="16"/>
          <w:szCs w:val="16"/>
          <w:u w:val="single" w:color="auto"/>
          <w:color w:val="auto"/>
        </w:rPr>
        <w:t>Section 10.6(a)</w:t>
      </w:r>
      <w:r>
        <w:rPr>
          <w:rFonts w:ascii="Arial" w:cs="Arial" w:eastAsia="Arial" w:hAnsi="Arial"/>
          <w:sz w:val="16"/>
          <w:szCs w:val="16"/>
          <w:color w:val="auto"/>
        </w:rPr>
        <w:t xml:space="preserve">, such shares will again be available for purposes of the Plan. Each share of Common Stock subject to any Award granted hereunder will be counted against the share reserve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on the basis of one share for every share subject thereto. Notwithstanding anything herein to the contrary, shares of Common Stock used to pay the required Exercise Price or tax obligations, or shares not issued in connection with settlement of an Option or SAR or that are used or withheld to satisfy tax obligations of the Participant will not be available again 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color w:val="auto"/>
        </w:rPr>
        <w:t>other Awards under the Plan. Awards or portions thereof that are settled in cash and not in shares of Common Stock will not be counted against the foregoing maximum share limitations.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Source of Shares</w:t>
      </w:r>
      <w:r>
        <w:rPr>
          <w:rFonts w:ascii="Arial" w:cs="Arial" w:eastAsia="Arial" w:hAnsi="Arial"/>
          <w:sz w:val="18"/>
          <w:szCs w:val="18"/>
          <w:color w:val="auto"/>
        </w:rPr>
        <w:t>. The shares of Common Stock subject to the Plan may be authorized but unissued Common Stock or reacquired Common Stock, bought on the market, pursuant to any forfeiture provision, Right of Repurchase or otherwise.</w:t>
      </w:r>
    </w:p>
    <w:p>
      <w:pPr>
        <w:spacing w:after="0" w:line="166"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 for Specific Awards</w:t>
      </w:r>
      <w:r>
        <w:rPr>
          <w:rFonts w:ascii="Arial" w:cs="Arial" w:eastAsia="Arial" w:hAnsi="Arial"/>
          <w:sz w:val="18"/>
          <w:szCs w:val="18"/>
          <w:color w:val="auto"/>
        </w:rPr>
        <w:t>. Incentive Stock Options may be granted only to Employees. Awards other than Incentive Stock Options may be granted to Employees, Directors and Consultants.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Ten Percent Stockholders</w:t>
      </w:r>
      <w:r>
        <w:rPr>
          <w:rFonts w:ascii="Arial" w:cs="Arial" w:eastAsia="Arial" w:hAnsi="Arial"/>
          <w:sz w:val="18"/>
          <w:szCs w:val="18"/>
          <w:color w:val="auto"/>
        </w:rPr>
        <w:t>. An Incentive Stock Option Ten Percent Stockholder granted to a Ten Percent Stockholder must have an Exercise Price no less than 110% of the Fair Market Value of the Common Stock at the Date of Grant and must not be exercisable after the expiration of five years from the Date of Grant.</w:t>
      </w:r>
    </w:p>
    <w:p>
      <w:pPr>
        <w:spacing w:after="0" w:line="18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Section 162(m) Limitation</w:t>
      </w:r>
      <w:r>
        <w:rPr>
          <w:rFonts w:ascii="Arial" w:cs="Arial" w:eastAsia="Arial" w:hAnsi="Arial"/>
          <w:sz w:val="17"/>
          <w:szCs w:val="17"/>
          <w:color w:val="auto"/>
        </w:rPr>
        <w:t>.</w:t>
      </w:r>
    </w:p>
    <w:p>
      <w:pPr>
        <w:spacing w:after="0" w:line="225" w:lineRule="exact"/>
        <w:rPr>
          <w:sz w:val="20"/>
          <w:szCs w:val="20"/>
          <w:color w:val="auto"/>
        </w:rPr>
      </w:pPr>
    </w:p>
    <w:p>
      <w:pPr>
        <w:jc w:val="both"/>
        <w:ind w:firstLine="1953"/>
        <w:spacing w:after="0" w:line="264" w:lineRule="auto"/>
        <w:tabs>
          <w:tab w:leader="none" w:pos="23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relating to adjustments upon changes in the shares of Common Stock, no Person will be eligible to be granted Awards (including, without limitation, Options, SARs and hypothetical Common Stock units) covering more than 1,000,000 shares in the aggregate during any calendar year.</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33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apply before the first date on which any class of the Company’s common equity securities is required to be registered under Section 12 of the Exchange Act, determined based solely on whether, as of the last day of its taxable year, the Company is subject to the reporting obligations of Section 12 of the Exchange Act (other than due to a voluntary registration).</w:t>
      </w:r>
    </w:p>
    <w:p>
      <w:pPr>
        <w:spacing w:after="0" w:line="181" w:lineRule="exact"/>
        <w:rPr>
          <w:rFonts w:ascii="Arial" w:cs="Arial" w:eastAsia="Arial" w:hAnsi="Arial"/>
          <w:sz w:val="18"/>
          <w:szCs w:val="18"/>
          <w:color w:val="auto"/>
        </w:rPr>
      </w:pPr>
    </w:p>
    <w:p>
      <w:pPr>
        <w:ind w:firstLine="1953"/>
        <w:spacing w:after="0" w:line="277" w:lineRule="auto"/>
        <w:tabs>
          <w:tab w:leader="none" w:pos="23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On and after the first date on which any class of the Company’s common equity securities is required to be registered under Section 12 of the Exchange Act,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apply to Options, SARs or Awards of Restricted Stock until:</w:t>
      </w:r>
    </w:p>
    <w:p>
      <w:pPr>
        <w:spacing w:after="0" w:line="170" w:lineRule="exact"/>
        <w:rPr>
          <w:rFonts w:ascii="Arial" w:cs="Arial" w:eastAsia="Arial" w:hAnsi="Arial"/>
          <w:sz w:val="18"/>
          <w:szCs w:val="18"/>
          <w:color w:val="auto"/>
        </w:rPr>
      </w:pPr>
    </w:p>
    <w:p>
      <w:pPr>
        <w:jc w:val="both"/>
        <w:ind w:firstLine="2601"/>
        <w:spacing w:after="0" w:line="255" w:lineRule="auto"/>
        <w:tabs>
          <w:tab w:leader="none" w:pos="307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earliest of: (i) the first material modification of the Plan (including any increase in the number of shares of Common Stock reserved for issuance under the Plan in accordance with </w:t>
      </w:r>
      <w:r>
        <w:rPr>
          <w:rFonts w:ascii="Arial" w:cs="Arial" w:eastAsia="Arial" w:hAnsi="Arial"/>
          <w:sz w:val="18"/>
          <w:szCs w:val="18"/>
          <w:u w:val="single" w:color="auto"/>
          <w:color w:val="auto"/>
        </w:rPr>
        <w:t>Section 4.1</w:t>
      </w:r>
      <w:r>
        <w:rPr>
          <w:rFonts w:ascii="Arial" w:cs="Arial" w:eastAsia="Arial" w:hAnsi="Arial"/>
          <w:sz w:val="18"/>
          <w:szCs w:val="18"/>
          <w:color w:val="auto"/>
        </w:rPr>
        <w:t>); (ii) the issuance of all of the shares of Common Stock reserved for issuance under the Plan; (iii) the expiration of the Plan; or (iv) the first meeting of stockholders at which Directors are to be elected that occurs after the close of the third calendar year following (x) the calendar year in which the Company’s initial public offering (within the meaning of Section 12(f)(1)(G) of the Exchange Act) occurs, or (y) if the Company first becomes subject to the registration requirements of Section 12 of the Exchange Act without an initial public offering, the first calendar year following the calendar year in which the Company is first required to register any equity security under Section 12 of the Exchange Act; or</w:t>
      </w:r>
    </w:p>
    <w:p>
      <w:pPr>
        <w:spacing w:after="0" w:line="189" w:lineRule="exact"/>
        <w:rPr>
          <w:rFonts w:ascii="Arial" w:cs="Arial" w:eastAsia="Arial" w:hAnsi="Arial"/>
          <w:sz w:val="18"/>
          <w:szCs w:val="18"/>
          <w:color w:val="auto"/>
        </w:rPr>
      </w:pPr>
    </w:p>
    <w:p>
      <w:pPr>
        <w:jc w:val="both"/>
        <w:ind w:firstLine="2601"/>
        <w:spacing w:after="0" w:line="259" w:lineRule="auto"/>
        <w:tabs>
          <w:tab w:leader="none" w:pos="31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such other date required by Code Section 162(m) and the rules and regulations promulgated thereunder. Notwithstanding the foregoing, if the Company first becomes subject to Section 12 of the Exchange Act in connection with an initial public offering, then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will apply only to the extent that the prospectus covering the initial public offering discloses information concerning the Plan in satisfaction of all applicable securities laws then in effect.</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Directors</w:t>
      </w:r>
      <w:r>
        <w:rPr>
          <w:rFonts w:ascii="Arial" w:cs="Arial" w:eastAsia="Arial" w:hAnsi="Arial"/>
          <w:sz w:val="17"/>
          <w:szCs w:val="17"/>
          <w:color w:val="auto"/>
        </w:rPr>
        <w:t>. Each Director of the Company will be eligible to receive discretionary grants of Awards under the Plan. If the Board or the compensation committee of the Board separately has adopted or in the future adopts a compensation policy covering some or all Directors that provides for a predetermined formula grant that specifies the type of Award, the timing of the Date of Grant and the number of shares to be awarded under the terms of the Plan, such formula grant will be incorporated by reference and will be administered as if such terms were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provided under the terms of the Plan without any requirement that the Administrator separately take action to determine the terms of such Awards.</w:t>
      </w:r>
    </w:p>
    <w:p>
      <w:pPr>
        <w:spacing w:after="0" w:line="233"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Provisions.</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Each Option will be in such form and will contain such terms and conditions as the Administrator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Notwithstanding the foregoing, the Company will have no liability to any Participant or any other person if an Option designated as an Incentive Stock Option fails to qualify as such at any time. The provisions of separate Options need not be identical, but each Option will include (through incorporation of provisions hereof by reference in the Option or otherwise) the substance of each of the following provisions:</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regarding Ten Percent Stockholders, no Option will be exercisable after the expiration of 10 years from the Date of Grant.</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of Common Stock for each Option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xml:space="preserve">”) will not be less than 100% of the Fair Market Value of such share on the Date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Incentive Stock Option granted to a Ten Percent Stockholder, the Exercise Price will be no less than 110% of the Fair Market Value per share of Common Stock on the Date of Grant. Notwithstanding the foregoing, an Option granted pursuant to an assumption or substitution for another option in a manner satisfying the provisions of Section 424(a) of the Code, as if the Option was a statutory stock option, may be granted with an Exercise Price lower than the Fair Market Value per share on the Date of Grant.</w:t>
      </w:r>
    </w:p>
    <w:p>
      <w:pPr>
        <w:spacing w:after="0" w:line="15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The Optionholder will pay the Exercise Price of Common Stock acquired pursuant to an Option, to the extent permitted by applicable statutes and regulations, either (a) in cash or by certified or bank check at the time the Option is exercised or (b) in the Administrator’s discretion, and upon such terms as the Administrator approves: (i) by delivery to the Company of other Common Stock, duly endorsed for transfer to the Company, with a Fair Market Value on the date of delivery equal to the Exercise Price (or portion thereof) due for the number of shares being acquired, or by means of attestation whereby the Participant identifies for delivery specific shares of Common Stock held by the Participant that have a Fair Market Value on the date of attestation equal to the Exercise Price (or portion thereof) and receives a number of shares of Common Stock equal to the difference between the number of shares thereby purchased and the number of identified attestation shares of Common Stock (a </w:t>
      </w:r>
      <w:r>
        <w:rPr>
          <w:rFonts w:ascii="Arial" w:cs="Arial" w:eastAsia="Arial" w:hAnsi="Arial"/>
          <w:sz w:val="16"/>
          <w:szCs w:val="16"/>
          <w:b w:val="1"/>
          <w:bCs w:val="1"/>
          <w:i w:val="1"/>
          <w:iCs w:val="1"/>
          <w:color w:val="auto"/>
        </w:rPr>
        <w:t>“Stock for Stock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(ii) during any period for which the Common Stock is readily tradable on an Established Securities Market, by a copy of instructions to a broker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directing such broker to sell the Common Stock for which such Option is exercised, and to remit to the Company the aggregate Exercise Price of such Options (a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(iii) subject to the discretion of the Administrator, upon such terms as the Administrator shall approve, by notice of exercise including a statement directing the Company to retain such number of shares of Common Stock from any transfer to the Optionholder (“</w:t>
      </w:r>
      <w:r>
        <w:rPr>
          <w:rFonts w:ascii="Arial" w:cs="Arial" w:eastAsia="Arial" w:hAnsi="Arial"/>
          <w:sz w:val="16"/>
          <w:szCs w:val="16"/>
          <w:b w:val="1"/>
          <w:bCs w:val="1"/>
          <w:i w:val="1"/>
          <w:iCs w:val="1"/>
          <w:color w:val="auto"/>
        </w:rPr>
        <w:t>Stock Withholding</w:t>
      </w:r>
      <w:r>
        <w:rPr>
          <w:rFonts w:ascii="Arial" w:cs="Arial" w:eastAsia="Arial" w:hAnsi="Arial"/>
          <w:sz w:val="16"/>
          <w:szCs w:val="16"/>
          <w:color w:val="auto"/>
        </w:rPr>
        <w:t xml:space="preserve">”) that otherwise would have been delivered by the Company upon exercise of the Option having a Fair Market Value equal to all or part of the exercise price of such Option exercise, or (iv) in any other form of legal consideration that may be acceptable to the Administrator, including without limitation with a full-recourse promissory note;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applicable law requires, the Optionholder shall pay the par value (if any) of Common Stock, if newly issued, in cash or cash equivalents. The interest rate payable under the terms of the promissory note may not be less than the minimum rate (if any) necessary to avoid the imputation of additional interest under the Code. Subject to the foregoing, the Administrator (in its sole discretion) shall specify the term, interest rate, amortization requirements (if any) and other provisions of such note. Unless the Administrator determines otherwise, the holder shall pledge to the Company shares of Common Stock having a Fair Market Value at least equal to the principal amount of any such loan as security for payment of the unpaid balance of the loan and such pledge must be evidenced by a pledge agreement, the terms of which the Administrator shall determine,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each loan must comply with all applicable laws, regulations and rules of the Board of Governors of the Federal Reserve System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governmental agency having jurisdiction. Unless the Administrator determines otherwise, the purchase price of Common Stock acquired pursuant to an Option that is paid by delivery (or attestation) to the Company of other shares of Common Stock acquired, directly or indirectly from the Company, will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4" w:name="page115"/>
    <w:bookmarkEnd w:id="114"/>
    <w:p>
      <w:pPr>
        <w:jc w:val="both"/>
        <w:spacing w:after="0" w:line="289" w:lineRule="auto"/>
        <w:rPr>
          <w:sz w:val="20"/>
          <w:szCs w:val="20"/>
          <w:color w:val="auto"/>
        </w:rPr>
      </w:pPr>
      <w:r>
        <w:rPr>
          <w:rFonts w:ascii="Arial" w:cs="Arial" w:eastAsia="Arial" w:hAnsi="Arial"/>
          <w:sz w:val="16"/>
          <w:szCs w:val="16"/>
          <w:color w:val="auto"/>
        </w:rPr>
        <w:t>be paid only by shares of Common Stock of the Company that have been held for more than six months (or such other period of time as may be required to avoid a charge to earnings for financial accounting purposes). Notwithstanding the foregoing, during any period for which the Company has any class of its securities listed on a national securities exchange in the United States, has securities registered under Section 12 of the Exchange Act, is required to file reports under Section 13(a) or 15(d) of the Exchange Act, or has a registration statement pending under the Exchange Act, an exercise with a promissory note or other transaction by an Optionholder that involves or may involve a Prohibited Personal Loan is prohibited with respect to any Option under the Plan. Unless otherwise provided in the terms of an Option Agreement, payment of the Exercise Price by a Participant who is an Insider in the form of a Stock for Stock Exchange is subject to pre-approval by the Administrator, in its sole discretion. The Administrator shall document any such pre-approval in a manner that complies with the specificity requirements of Rule 16b-3, including the name of the Participant involved in the transaction, the nature of the transaction, the number of shares to be acquired or disposed of by the Participant and the material terms of the Options involved in the transaction.</w:t>
      </w:r>
    </w:p>
    <w:p>
      <w:pPr>
        <w:spacing w:after="0" w:line="16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Transferability of an Incentive Stock Option</w:t>
      </w:r>
      <w:r>
        <w:rPr>
          <w:rFonts w:ascii="Arial" w:cs="Arial" w:eastAsia="Arial" w:hAnsi="Arial"/>
          <w:sz w:val="18"/>
          <w:szCs w:val="18"/>
          <w:color w:val="auto"/>
        </w:rPr>
        <w:t>. An Incentive Stock Option will not be transferable except by will or by the laws of descent and distribution and will be exercisable during the lifetime of the Optionholder only by the Optionholder. Notwithstanding the foregoing, the Optionholder may, by delivering written notice to the Company, in a form satisfactory to the Company, designate a third party who, upon the death of the Optionholder, will thereafter be entitled to exercise the Option.</w:t>
      </w:r>
    </w:p>
    <w:p>
      <w:pPr>
        <w:spacing w:after="0" w:line="18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Transferability of a Nonstatutory Stock Option</w:t>
      </w:r>
      <w:r>
        <w:rPr>
          <w:rFonts w:ascii="Arial" w:cs="Arial" w:eastAsia="Arial" w:hAnsi="Arial"/>
          <w:sz w:val="17"/>
          <w:szCs w:val="17"/>
          <w:color w:val="auto"/>
        </w:rPr>
        <w:t>. A Nonstatutory Stock Option may, in the sole discretion of the Administrator, be transferable to a Permitted Transferee upon written approval by the Administrator to the extent provided in the Option Agreement. A Permitted Transferee includes: (a) a transfer by gift or domestic relations order to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(or the Optionholder) have more than 50% of the beneficial interest, a foundation in which these persons (or the Optionholder) control the management of assets, and any other entity in which these persons (or the Optionholder) own more than 50% of the voting interests; (b) third parties designated by the Administrator in connection with a program established and approved by the Administrator pursuant to which Participants may receive a cash payment or other consideration in consideration for the transfer of such Nonstatutory Stock Option; and (c) such other transferees as may be permitted by the Administrator in its sole discretion. If the Nonstatutory Stock Option does not provide for transferability, then the Nonstatutory Stock Option will not be transferable except by will or by the laws of descent and distribution and will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will thereafter be entitled to exercise the Option.</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Vesting Generally</w:t>
      </w:r>
      <w:r>
        <w:rPr>
          <w:rFonts w:ascii="Arial" w:cs="Arial" w:eastAsia="Arial" w:hAnsi="Arial"/>
          <w:sz w:val="17"/>
          <w:szCs w:val="17"/>
          <w:color w:val="auto"/>
        </w:rPr>
        <w:t>. The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Administrator may deem appropriate. The vesting provisions of individual Options may vary. The Administrator may, but will not be required to provide that no Option may be exercised for a fraction of a share of Common Stock. The Administrator may, but will not be required to, provide for an acceleration of vesting and exercisability in the terms of any Option Agreement upon the occurrence of a specified event. Unless otherwise specified in the terms of any Option Agreement, each Option granted pursuant to the terms of the Plan will become exercisable at a rate of 20% per year over the five year period commencing on the Date of Grant of the Option.</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Termination of Continuous Service</w:t>
      </w:r>
      <w:r>
        <w:rPr>
          <w:rFonts w:ascii="Arial" w:cs="Arial" w:eastAsia="Arial" w:hAnsi="Arial"/>
          <w:sz w:val="18"/>
          <w:szCs w:val="18"/>
          <w:color w:val="auto"/>
        </w:rPr>
        <w:t>. Unless otherwise provided in an Option Agreement or in an employment or service agreement the terms of which have been approved by the Administrator, if an Optionholder’s Continuous Service terminates (other than upon the Optionholder’s death or Disability or termination by the Company for Cause), the Optionholder may exercise his or her Option (to the extent that the Optionholder was entitled to exercise such Option as of the date of termination) but only within such period ending on the earlier of (a) the date three months following the termination of the Optionholder’s Continuous Service, or (b) the expiration of the term of the Option as set forth in the Option Agreement. If, after termination, the Optionholder does not exercise his or her Option within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8"/>
          <w:szCs w:val="18"/>
          <w:color w:val="auto"/>
        </w:rPr>
        <w:t xml:space="preserve">the time specified in the Option Agreement, the Option will terminate. Unless otherwise provided in an Option Agreement or in an employment or service agreement the terms of which have been approved by the Administrator, or as otherwise provided in </w:t>
      </w:r>
      <w:r>
        <w:rPr>
          <w:rFonts w:ascii="Arial" w:cs="Arial" w:eastAsia="Arial" w:hAnsi="Arial"/>
          <w:sz w:val="18"/>
          <w:szCs w:val="18"/>
          <w:u w:val="single" w:color="auto"/>
          <w:color w:val="auto"/>
        </w:rPr>
        <w:t>Sections 6.8, 6.9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of this Plan, outstanding Options that are not exercisable at the time an Optionholder’s Continuous Service terminates for any reason other than for Cause (including an Optionholder’s death or Disability) will be forfeited and expire at the close of business on the date of such termination. If the Optionholder’s Continuous Service terminates for Cause, all outstanding Options (whether or not vested) will be forfeited and expire as of the beginning of business on the date of such termination for Cause.</w:t>
      </w:r>
    </w:p>
    <w:p>
      <w:pPr>
        <w:spacing w:after="0" w:line="19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An Option Agreement may also provide that if the exercise of the Option following the termination of the Optionholder’s Continuous Service for any reason (other than upon the Optionholder’s death or Disability or termination by the Company for Cause) would violate any applicable federal, state or local law, the Option will terminate on the earlier of (a) the expiration of the term of the Option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(b) the date that is 30 days after the exercise of the Option would no longer violate any applicable federal, state or local law.</w:t>
      </w:r>
    </w:p>
    <w:p>
      <w:pPr>
        <w:spacing w:after="0" w:line="15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Disability of Optionholder</w:t>
      </w:r>
      <w:r>
        <w:rPr>
          <w:rFonts w:ascii="Arial" w:cs="Arial" w:eastAsia="Arial" w:hAnsi="Arial"/>
          <w:sz w:val="18"/>
          <w:szCs w:val="18"/>
          <w:color w:val="auto"/>
        </w:rPr>
        <w:t>. Unless otherwise provided in an Option Agreement, or in an employment or service agreement the terms of which have been approved by the Administrator, if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12 months following such termination or (b) the expiration of the term of the Option as set forth in the Option Agreement. If, after termination, the Optionholder does not exercise his or her Option within the time specified herein, the Option will terminate.</w:t>
      </w:r>
    </w:p>
    <w:p>
      <w:pPr>
        <w:spacing w:after="0" w:line="193"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Death of Optionholder</w:t>
      </w:r>
      <w:r>
        <w:rPr>
          <w:rFonts w:ascii="Arial" w:cs="Arial" w:eastAsia="Arial" w:hAnsi="Arial"/>
          <w:sz w:val="16"/>
          <w:szCs w:val="16"/>
          <w:color w:val="auto"/>
        </w:rPr>
        <w:t>. Unless otherwise provided in an Option Agreement, or in an employment or service agreement the terms of which have been approved by the Administrator, if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Option Agreement. If, after death, the Option is not exercised within the time specified herein, the Option will terminate.</w:t>
      </w:r>
    </w:p>
    <w:p>
      <w:pPr>
        <w:spacing w:after="0" w:line="16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Incentive Stock Option $100,000 Limitation</w:t>
      </w:r>
      <w:r>
        <w:rPr>
          <w:rFonts w:ascii="Arial" w:cs="Arial" w:eastAsia="Arial" w:hAnsi="Arial"/>
          <w:sz w:val="18"/>
          <w:szCs w:val="18"/>
          <w:color w:val="auto"/>
        </w:rPr>
        <w:t>. To the extent that the aggregate Fair Market Value of Common Stock on the Date of Grant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will be treated as Nonstatutory Stock Options.</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Early Exercise</w:t>
      </w:r>
      <w:r>
        <w:rPr>
          <w:rFonts w:ascii="Arial" w:cs="Arial" w:eastAsia="Arial" w:hAnsi="Arial"/>
          <w:sz w:val="18"/>
          <w:szCs w:val="18"/>
          <w:color w:val="auto"/>
        </w:rPr>
        <w:t>.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In such case, the shares of Common Stock acquired on exercise shall be subject to the vesting schedule that otherwise would apply to determine the exercisability of the Option. Any unvested shares of Common Stock so purchased may be subject to any other restriction the Administrator determines to be appropriate.</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Transfer, Approved Leave of Absence</w:t>
      </w:r>
      <w:r>
        <w:rPr>
          <w:rFonts w:ascii="Arial" w:cs="Arial" w:eastAsia="Arial" w:hAnsi="Arial"/>
          <w:sz w:val="17"/>
          <w:szCs w:val="17"/>
          <w:color w:val="auto"/>
        </w:rPr>
        <w:t>. For purposes of Incentive Stock Options, no termination of employment by an Employee will be deemed to result from either (a) a transfer to the employment of the Company from an Affiliate or from the Company to an Affiliate, or from one Affiliate to another; or (b) an approved leave of absence for military service or sickness, or for any other purpose approved by the Company, if the period of such leave does not exceed three months or, if longer, the Employee’s right to re-employment is guaranteed either by a statute or by contract.</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Any Participant who makes a “disposition” (as defined in Section 424 of the Code) of all or any portion of shares of Common Stock acquired upon exercise of an Incentive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6" w:name="page117"/>
    <w:bookmarkEnd w:id="116"/>
    <w:p>
      <w:pPr>
        <w:jc w:val="both"/>
        <w:spacing w:after="0" w:line="264" w:lineRule="auto"/>
        <w:rPr>
          <w:sz w:val="20"/>
          <w:szCs w:val="20"/>
          <w:color w:val="auto"/>
        </w:rPr>
      </w:pPr>
      <w:r>
        <w:rPr>
          <w:rFonts w:ascii="Arial" w:cs="Arial" w:eastAsia="Arial" w:hAnsi="Arial"/>
          <w:sz w:val="18"/>
          <w:szCs w:val="18"/>
          <w:color w:val="auto"/>
        </w:rPr>
        <w:t>Option within two years from the Date of Grant of such Incentive Stock Option or within one year after the issuance of the shares of Common Stock acquired upon exercise of such Incentive Stock Option will be required to immediately advise the Company in writing as to the occurrence of the sale and the price realized upon the sale of such shares of Common Stock.</w:t>
      </w:r>
    </w:p>
    <w:p>
      <w:pPr>
        <w:spacing w:after="0" w:line="177"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Awards Other Than Options.</w:t>
      </w:r>
    </w:p>
    <w:p>
      <w:pPr>
        <w:spacing w:after="0" w:line="22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Restricted Awards</w:t>
      </w:r>
      <w:r>
        <w:rPr>
          <w:rFonts w:ascii="Arial" w:cs="Arial" w:eastAsia="Arial" w:hAnsi="Arial"/>
          <w:sz w:val="16"/>
          <w:szCs w:val="16"/>
          <w:color w:val="auto"/>
        </w:rPr>
        <w:t>. A Restricted Award is an Award of actual shares of Common Stock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or hypothetical Common Stock units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xml:space="preserve">”)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as the Administrator shall determine. Each Restricted Award will be in such form and will contain such terms, conditions and Restricted Periods as the Administrator deems appropriate, including the treatment of dividends or dividend equivalents, as the case may be. The Administrator in its discretion may provide for an acceleration of the end of the Restricted Period in the terms of any Restricted Award, at any time, including in the event a Change in Control occurs. The terms and conditions of the Restricted Award may change from time to time, and the terms and conditions of separate Restricted Awards need not be identical, but each Restricted Award must include (through incorporation of provisions hereof by reference in the agreement or otherwise) the substance of each of the following provisions:</w:t>
      </w:r>
    </w:p>
    <w:p>
      <w:pPr>
        <w:spacing w:after="0" w:line="167" w:lineRule="exact"/>
        <w:rPr>
          <w:sz w:val="20"/>
          <w:szCs w:val="20"/>
          <w:color w:val="auto"/>
        </w:rPr>
      </w:pPr>
    </w:p>
    <w:p>
      <w:pPr>
        <w:jc w:val="both"/>
        <w:ind w:firstLine="1953"/>
        <w:spacing w:after="0" w:line="264" w:lineRule="auto"/>
        <w:tabs>
          <w:tab w:leader="none" w:pos="23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of Restricted Awards, if any, will be determined by the Administrator, and may be stated as cash, property, prior or future services. Shares of Common Stock acquired in connection with any Restricted Award may be issued for such consideration, having a value not less than the par value thereof, as determined from time to time by the Administrator.</w:t>
      </w:r>
    </w:p>
    <w:p>
      <w:pPr>
        <w:spacing w:after="0" w:line="181" w:lineRule="exact"/>
        <w:rPr>
          <w:rFonts w:ascii="Arial" w:cs="Arial" w:eastAsia="Arial" w:hAnsi="Arial"/>
          <w:sz w:val="18"/>
          <w:szCs w:val="18"/>
          <w:color w:val="auto"/>
        </w:rPr>
      </w:pPr>
    </w:p>
    <w:p>
      <w:pPr>
        <w:ind w:left="2420" w:hanging="467"/>
        <w:spacing w:after="0"/>
        <w:tabs>
          <w:tab w:leader="none" w:pos="24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Participant shall pay the consideration for Common Stock acquired pursuant to the Restricted Award</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either: (i) in cash at the time of purchase; or (ii) in any other form of legal consideration that may be acceptable to the Administrator in its discretion including, without limitation, a recourse promissory note, property a Stock for Stock Exchange, or prior or future services that the Administrator determines have a value at least equal to the Fair Market Value of such Common Stock. Notwithstanding the foregoing, during any period for which the Company has any class of its securities listed on a national securities exchange in the United States, has securities registered under Section 12 of the Exchange Act, is required to file reports under Section 13(a) or 15(d) of the Exchange Act, or has a registration statement pending under the Securities Act, payment with a promissory note or other transaction by a Participant that involves or may involve a Prohibited Personal Loan is prohibited with respect to any Restricted Award under the Plan.</w:t>
      </w:r>
    </w:p>
    <w:p>
      <w:pPr>
        <w:spacing w:after="0" w:line="193" w:lineRule="exact"/>
        <w:rPr>
          <w:rFonts w:ascii="Arial" w:cs="Arial" w:eastAsia="Arial" w:hAnsi="Arial"/>
          <w:sz w:val="16"/>
          <w:szCs w:val="16"/>
          <w:color w:val="auto"/>
        </w:rPr>
      </w:pPr>
    </w:p>
    <w:p>
      <w:pPr>
        <w:jc w:val="both"/>
        <w:ind w:firstLine="1953"/>
        <w:spacing w:after="0" w:line="257" w:lineRule="auto"/>
        <w:tabs>
          <w:tab w:leader="none" w:pos="234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Restricted Award and any shares of Common Stock acquired under the Restricted Award may, but need not, be subject to a Restricted Period that specifies a Right of Repurchase in favor of the Company, or forfeiture in the event the consideration was in the form of services, in accordance with a vesting schedule to be determined by the Administrator. The Administrator in its discretion may provide for an acceleration of vesting in the terms of any Restricted Award, at any time, including upon a Change in Control. The Administrator in its discretion may grant a Restricted Award that is, in whole or in part, vested upon grant and not subject to a Restricted Period.</w:t>
      </w:r>
    </w:p>
    <w:p>
      <w:pPr>
        <w:spacing w:after="0" w:line="188" w:lineRule="exact"/>
        <w:rPr>
          <w:rFonts w:ascii="Arial" w:cs="Arial" w:eastAsia="Arial" w:hAnsi="Arial"/>
          <w:sz w:val="18"/>
          <w:szCs w:val="18"/>
          <w:color w:val="auto"/>
        </w:rPr>
      </w:pPr>
    </w:p>
    <w:p>
      <w:pPr>
        <w:jc w:val="both"/>
        <w:ind w:firstLine="1953"/>
        <w:spacing w:after="0" w:line="276" w:lineRule="auto"/>
        <w:tabs>
          <w:tab w:leader="none" w:pos="2349"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Termination of Participant’s Continuous Service</w:t>
      </w:r>
      <w:r>
        <w:rPr>
          <w:rFonts w:ascii="Arial" w:cs="Arial" w:eastAsia="Arial" w:hAnsi="Arial"/>
          <w:sz w:val="17"/>
          <w:szCs w:val="17"/>
          <w:color w:val="auto"/>
        </w:rPr>
        <w:t>. Unless otherwise provided in a Restricted Award or in an employment or service agreement the terms of which have been approved by the Administrator, if a Participant’s Continuous Service terminates for any reason, the Company may exercise its Right of Repurchase or otherwise reacquire, or the Participant shall forfeit the unvested portion of a Restricted Award acquired in consideration of services, and any or all of the shares of Common Stock held by the Participant that have not vested as of the date of termination under the terms of the Restricted Award will be forfeited and the Participant will have no rights with respect to the Award.</w:t>
      </w:r>
    </w:p>
    <w:p>
      <w:pPr>
        <w:spacing w:after="0" w:line="172" w:lineRule="exact"/>
        <w:rPr>
          <w:rFonts w:ascii="Arial" w:cs="Arial" w:eastAsia="Arial" w:hAnsi="Arial"/>
          <w:sz w:val="17"/>
          <w:szCs w:val="17"/>
          <w:color w:val="auto"/>
        </w:rPr>
      </w:pPr>
    </w:p>
    <w:p>
      <w:pPr>
        <w:ind w:firstLine="1953"/>
        <w:spacing w:after="0" w:line="277" w:lineRule="auto"/>
        <w:tabs>
          <w:tab w:leader="none" w:pos="230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Rights to acquire shares of Common Stock under the Restricted Award will be transferable by the Participant only upon such terms and conditions as are set forth in the Award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as the Administrator shall determine in its discretion, so long as Common Stock awarded under the Restricted Award remains subject to the terms of the Award Agreement.</w:t>
      </w:r>
    </w:p>
    <w:p>
      <w:pPr>
        <w:spacing w:after="0" w:line="170" w:lineRule="exact"/>
        <w:rPr>
          <w:sz w:val="20"/>
          <w:szCs w:val="20"/>
          <w:color w:val="auto"/>
        </w:rPr>
      </w:pPr>
    </w:p>
    <w:p>
      <w:pPr>
        <w:jc w:val="both"/>
        <w:ind w:firstLine="1953"/>
        <w:spacing w:after="0" w:line="312" w:lineRule="auto"/>
        <w:tabs>
          <w:tab w:leader="none" w:pos="233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Concurrent Tax Payment</w:t>
      </w:r>
      <w:r>
        <w:rPr>
          <w:rFonts w:ascii="Arial" w:cs="Arial" w:eastAsia="Arial" w:hAnsi="Arial"/>
          <w:sz w:val="16"/>
          <w:szCs w:val="16"/>
          <w:color w:val="auto"/>
        </w:rPr>
        <w:t>. The Administrator, in its sole discretion, may (but will not be required to) provide for payment of a concurrent cash award in an amount equal, in whole or in part, to the estimated after tax amount required to satisfy applicable federal, state or local tax withholding obligations arising from the receipt and deemed vesting of Restricted Stock for which an election under Code Section 83(b) may be required.</w:t>
      </w:r>
    </w:p>
    <w:p>
      <w:pPr>
        <w:spacing w:after="0" w:line="146" w:lineRule="exact"/>
        <w:rPr>
          <w:rFonts w:ascii="Arial" w:cs="Arial" w:eastAsia="Arial" w:hAnsi="Arial"/>
          <w:sz w:val="16"/>
          <w:szCs w:val="16"/>
          <w:color w:val="auto"/>
        </w:rPr>
      </w:pPr>
    </w:p>
    <w:p>
      <w:pPr>
        <w:jc w:val="both"/>
        <w:ind w:firstLine="1953"/>
        <w:spacing w:after="0" w:line="268" w:lineRule="auto"/>
        <w:tabs>
          <w:tab w:leader="none" w:pos="2308"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Lapse of Restrictions</w:t>
      </w:r>
      <w:r>
        <w:rPr>
          <w:rFonts w:ascii="Arial" w:cs="Arial" w:eastAsia="Arial" w:hAnsi="Arial"/>
          <w:sz w:val="17"/>
          <w:szCs w:val="17"/>
          <w:color w:val="auto"/>
        </w:rPr>
        <w:t>. Upon the expiration or termination of the Restricted Period and the satisfaction of any other conditions prescribed by the Administrator (including, without limitation, the Participant’s satisfaction of applicable tax withholding obligations attributable to the Award), the restrictions applicable to the Restricted Award will lapse and a stock certificate for the number of shares of Common Stock with respect to which the restrictions have lapsed will be delivered, free of any restrictions except those that may be imposed by law, the terms of the Plan or the terms of a Restricted Award, to the Participant or the Participant’s beneficiary or estate, as the case may be, unless such Restricted Award is subject to a deferral condition that complies with Code Section 409A and the regulations and interpretive authority issued thereunder as may be allowed or required by the Administrator in its sole discretion. The Company will not be required to deliver any fractional share of Common Stock but will pay, in lieu thereof, the Fair Market Value of such fractional share in cash to the Participant or the Participant’s beneficiary or estate, as the case may be. With respect only to Restricted Stock Units, unless otherwise subject to a deferral condition that complies with Code Section 409A requirements, the Common Stock certificate will be issued and delivered and the Participant will be entitled to the beneficial ownership rights of such Common Stock not later than (i) the later of (x) the date that is 2 ½ months after the end of the Participant’s taxable year for which the Restricted Period ends and the Restricted Stock Unit is no longer subject to a substantial risk of forfeiture; (y) the date that is 2 ½ months after the end of the Company’s taxable year for which the Restricted Period ends and Restricted Stock Unit is no longer subject to a substantial risk of forfeiture; or (ii) such earlier date as may be necessary to avoid application of Code Section 409A to such Award.</w:t>
      </w:r>
    </w:p>
    <w:p>
      <w:pPr>
        <w:spacing w:after="0" w:line="18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Performance Awards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90" w:lineRule="auto"/>
        <w:tabs>
          <w:tab w:leader="none" w:pos="240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Nature of Performance Awards</w:t>
      </w:r>
      <w:r>
        <w:rPr>
          <w:rFonts w:ascii="Arial" w:cs="Arial" w:eastAsia="Arial" w:hAnsi="Arial"/>
          <w:sz w:val="16"/>
          <w:szCs w:val="16"/>
          <w:color w:val="auto"/>
        </w:rPr>
        <w:t xml:space="preserve">. A Performance Award is an Award entitling the recipient to vest in or acquire shares of Common Stock or hypothetical Common Stock units having a value equal to the Fair Market Value of an identical number of shares of Common Stock that will be settled in the form of shares of Common Stock upon the attainment of specified performance goals. The Administrator may make Performance Awards independent of or in connection with the granting of any other Award under the Plan. Performance Awards may be granted under the Plan to any Participant, including those who qualify for awards under other performance plans of the Company. The Administrator in its sole discretion shall determine whether and to whom Performance Awards will be made, the performance goals applicable under each Award, the periods during which performance is to be measured, and all other limitations and conditions applicable to the awarded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Administrator may rely on the performance goals and other standards applicable to other performance plans of the Company in setting the standards for Performance Awards under the Plan.</w:t>
      </w:r>
    </w:p>
    <w:p>
      <w:pPr>
        <w:spacing w:after="0" w:line="166" w:lineRule="exact"/>
        <w:rPr>
          <w:rFonts w:ascii="Arial" w:cs="Arial" w:eastAsia="Arial" w:hAnsi="Arial"/>
          <w:sz w:val="16"/>
          <w:szCs w:val="16"/>
          <w:color w:val="auto"/>
        </w:rPr>
      </w:pPr>
    </w:p>
    <w:p>
      <w:pPr>
        <w:ind w:left="2340" w:hanging="387"/>
        <w:spacing w:after="0"/>
        <w:tabs>
          <w:tab w:leader="none" w:pos="2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Performance Goals.</w:t>
      </w:r>
    </w:p>
    <w:p>
      <w:pPr>
        <w:spacing w:after="0" w:line="225" w:lineRule="exact"/>
        <w:rPr>
          <w:rFonts w:ascii="Arial" w:cs="Arial" w:eastAsia="Arial" w:hAnsi="Arial"/>
          <w:sz w:val="18"/>
          <w:szCs w:val="18"/>
          <w:color w:val="auto"/>
        </w:rPr>
      </w:pPr>
    </w:p>
    <w:p>
      <w:pPr>
        <w:jc w:val="both"/>
        <w:ind w:firstLine="2601"/>
        <w:spacing w:after="0" w:line="259" w:lineRule="auto"/>
        <w:tabs>
          <w:tab w:leader="none" w:pos="30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Performance goals will be based on a pre-established objective formula or standard that specifies the manner of determining the number of shares of Common Stock under the Performance Award that will be granted or will vest if the performance goal is attained. The Administrator will determine the performance goals before the time that 25% of the service period has elapsed, but not later than 90 days after the commencement of the service period to which the performance goal relates.</w:t>
      </w:r>
    </w:p>
    <w:p>
      <w:pPr>
        <w:spacing w:after="0" w:line="186" w:lineRule="exact"/>
        <w:rPr>
          <w:rFonts w:ascii="Arial" w:cs="Arial" w:eastAsia="Arial" w:hAnsi="Arial"/>
          <w:sz w:val="18"/>
          <w:szCs w:val="18"/>
          <w:color w:val="auto"/>
        </w:rPr>
      </w:pPr>
    </w:p>
    <w:p>
      <w:pPr>
        <w:jc w:val="both"/>
        <w:ind w:firstLine="2601"/>
        <w:spacing w:after="0" w:line="279" w:lineRule="auto"/>
        <w:tabs>
          <w:tab w:leader="none" w:pos="301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Performance goals may be based on one or more business criteria that apply to a Participant, a business unit or the Company and its Affiliates. Such business criteria include the following: revenue; sales; earnings before all or any of interest expense, taxes, depreciation and/or amortization (“EBIT,” “EBITA,” or “EBITDA”); funds from operations; funds from operations per share; operating income; operating income per share; pre-tax or after-tax income; net cash provided by operating activities; cash available for distribution; cash available for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8" w:name="page119"/>
    <w:bookmarkEnd w:id="118"/>
    <w:p>
      <w:pPr>
        <w:jc w:val="both"/>
        <w:spacing w:after="0" w:line="255" w:lineRule="auto"/>
        <w:rPr>
          <w:sz w:val="20"/>
          <w:szCs w:val="20"/>
          <w:color w:val="auto"/>
        </w:rPr>
      </w:pPr>
      <w:r>
        <w:rPr>
          <w:rFonts w:ascii="Arial" w:cs="Arial" w:eastAsia="Arial" w:hAnsi="Arial"/>
          <w:sz w:val="18"/>
          <w:szCs w:val="18"/>
          <w:color w:val="auto"/>
        </w:rPr>
        <w:t>distribution per share; working capital and components thereof; sales (net or gross) measured by product line, territory, customer or customers, or other category; return on equity or average stockholders’ equity; return on assets; return on capital; enterprise value or economic value added; share price performance; improvements in the Company’s attainment of expense levels; implementation or completion of critical projects; improvement in cash-flow (before or after tax); net earnings; earnings per share; earnings from continuing operations; net worth; credit rating; levels of expense, cost, or liability by category, operating unit, or any other delineation; or any increase or decrease of one or more of the foregoing over a specified period; or the occurrence of a Change in Control.</w:t>
      </w:r>
    </w:p>
    <w:p>
      <w:pPr>
        <w:spacing w:after="0" w:line="193" w:lineRule="exact"/>
        <w:rPr>
          <w:sz w:val="20"/>
          <w:szCs w:val="20"/>
          <w:color w:val="auto"/>
        </w:rPr>
      </w:pPr>
    </w:p>
    <w:p>
      <w:pPr>
        <w:jc w:val="both"/>
        <w:ind w:firstLine="2601"/>
        <w:spacing w:after="0" w:line="290" w:lineRule="auto"/>
        <w:tabs>
          <w:tab w:leader="none" w:pos="299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performance goal may be measured over a performance period on a periodic, annual, cumulative or average basis and may be established on a corporate-wide basis or established with respect to one or more operating units, divisions, subsidiaries, acquired businesses, minority investments, partnerships or joint ventures. More than one performance goal may be incorporated in a performance objective, in which case achievement with respect to each performance goal may be assessed individually or in combination with each other. The Administrator may, in connection with the establishment of performance goals for a performance period, establish a matrix setting forth the relationship between performance on two or more performance goals and the amount of the Performance Award payable for that performance period. The level or levels of performance specified with respect to a performance goal may be established in absolute terms, as objectives relative to performance in prior periods, as an objective compared to the performance of one or more comparable companies or an index covering multiple companies, or otherwise as the Administrator may determine.</w:t>
      </w:r>
    </w:p>
    <w:p>
      <w:pPr>
        <w:spacing w:after="0" w:line="166" w:lineRule="exact"/>
        <w:rPr>
          <w:rFonts w:ascii="Arial" w:cs="Arial" w:eastAsia="Arial" w:hAnsi="Arial"/>
          <w:sz w:val="16"/>
          <w:szCs w:val="16"/>
          <w:color w:val="auto"/>
        </w:rPr>
      </w:pPr>
    </w:p>
    <w:p>
      <w:pPr>
        <w:jc w:val="both"/>
        <w:ind w:firstLine="2601"/>
        <w:spacing w:after="0" w:line="291" w:lineRule="auto"/>
        <w:tabs>
          <w:tab w:leader="none" w:pos="309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Performance goals will be objective and, if the Company is required to be registered under Section 12 of the Exchange Act, will otherwise meet the requirements of Section 162(m) of the Code. Performance goals may differ for Performance Awards granted to any one Participant or to different Participants. A Performance Award to a Participant who is a Covered Employee will (unless the Administrator determines otherwise) provide that if the Participant’s Continuous Service ceases prior to the end of the performance period for any reason, such Award will be payable only (i) if the applicable performance objectives are achieved and (ii) to the extent, if any, determined by the Administrator. Such objective performance goals are not required to be based on increases in a specific business criterion, but may be based on maintaining the status quo or limiting economic losses. With respect to Participants who are not Covered Employees, the Administrator may establish additional objective or subjective performance goals.</w:t>
      </w:r>
    </w:p>
    <w:p>
      <w:pPr>
        <w:spacing w:after="0" w:line="167" w:lineRule="exact"/>
        <w:rPr>
          <w:rFonts w:ascii="Arial" w:cs="Arial" w:eastAsia="Arial" w:hAnsi="Arial"/>
          <w:sz w:val="16"/>
          <w:szCs w:val="16"/>
          <w:color w:val="auto"/>
        </w:rPr>
      </w:pPr>
    </w:p>
    <w:p>
      <w:pPr>
        <w:ind w:firstLine="1953"/>
        <w:spacing w:after="0" w:line="277" w:lineRule="auto"/>
        <w:tabs>
          <w:tab w:leader="none" w:pos="2419"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Performance Awards and all rights with respect to such Performance Awards may not be sold, assigned, transferred, pledged or otherwise encumbered.</w:t>
      </w:r>
    </w:p>
    <w:p>
      <w:pPr>
        <w:spacing w:after="0" w:line="170" w:lineRule="exact"/>
        <w:rPr>
          <w:rFonts w:ascii="Arial" w:cs="Arial" w:eastAsia="Arial" w:hAnsi="Arial"/>
          <w:sz w:val="18"/>
          <w:szCs w:val="18"/>
          <w:color w:val="auto"/>
        </w:rPr>
      </w:pPr>
    </w:p>
    <w:p>
      <w:pPr>
        <w:jc w:val="both"/>
        <w:ind w:firstLine="1953"/>
        <w:spacing w:after="0" w:line="289" w:lineRule="auto"/>
        <w:tabs>
          <w:tab w:leader="none" w:pos="237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Satisfaction of Performance Goals</w:t>
      </w:r>
      <w:r>
        <w:rPr>
          <w:rFonts w:ascii="Arial" w:cs="Arial" w:eastAsia="Arial" w:hAnsi="Arial"/>
          <w:sz w:val="16"/>
          <w:szCs w:val="16"/>
          <w:color w:val="auto"/>
        </w:rPr>
        <w:t>. A Participant will be entitled to receive a stock certificate evidencing the acquisition of shares of Common Stock under a Performance Award only upon satisfaction of all conditions specified in the written instrument evidencing the Performance Award (or in a performance plan adopted by the Administrator), including, without limitation, the Participant’s satisfaction of applicable tax withholding obligations attributable to the Award. With respect only to a Performance Award that is denominated in hypothetical Common Stock units, the Common Stock certificate will be issued and delivered and the Participant will be entitled to the beneficial ownership rights of such Common Stock (i) not later than (x) the date that is 2 ½ months after the end of the Participant’s taxable year for which the Administrator certifies that the Performance Award conditions have been satisfied and the Performance Award is no longer subject to a substantial risk of forfeiture; or (y) the date that is 2 ½ months after the end of the Company’s taxable year for which the Administrator certifies that the Performance Award conditions have been satisfied and the Performance Award is no longer subject to a substantial risk of forfeiture; or (ii) such other date as may be necessary to avoid application of Code Section 409A to such Award.</w:t>
      </w:r>
    </w:p>
    <w:p>
      <w:pPr>
        <w:spacing w:after="0" w:line="166" w:lineRule="exact"/>
        <w:rPr>
          <w:rFonts w:ascii="Arial" w:cs="Arial" w:eastAsia="Arial" w:hAnsi="Arial"/>
          <w:sz w:val="16"/>
          <w:szCs w:val="16"/>
          <w:color w:val="auto"/>
        </w:rPr>
      </w:pPr>
    </w:p>
    <w:p>
      <w:pPr>
        <w:jc w:val="both"/>
        <w:ind w:firstLine="1953"/>
        <w:spacing w:after="0" w:line="264" w:lineRule="auto"/>
        <w:tabs>
          <w:tab w:leader="none" w:pos="233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at any time, a Participant’s rights in all Performance Awards will automatically terminate upon the Participant’s termination of employment (or business relationship) with the Company and its Affiliates for any reason.</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31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Acceleration, Waiver, Etc</w:t>
      </w:r>
      <w:r>
        <w:rPr>
          <w:rFonts w:ascii="Arial" w:cs="Arial" w:eastAsia="Arial" w:hAnsi="Arial"/>
          <w:sz w:val="18"/>
          <w:szCs w:val="18"/>
          <w:color w:val="auto"/>
        </w:rPr>
        <w:t>. Before the first date on which any class of the Company’s common equity securities is required to be registered under Section 12 of the Exchange Act or after such date with respect to Participants who are not Covered Employees, at any time before the Participant’s termination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19" w:name="page120"/>
    <w:bookmarkEnd w:id="119"/>
    <w:p>
      <w:pPr>
        <w:jc w:val="both"/>
        <w:spacing w:after="0" w:line="255" w:lineRule="auto"/>
        <w:rPr>
          <w:sz w:val="20"/>
          <w:szCs w:val="20"/>
          <w:color w:val="auto"/>
        </w:rPr>
      </w:pPr>
      <w:r>
        <w:rPr>
          <w:rFonts w:ascii="Arial" w:cs="Arial" w:eastAsia="Arial" w:hAnsi="Arial"/>
          <w:sz w:val="18"/>
          <w:szCs w:val="18"/>
          <w:color w:val="auto"/>
        </w:rPr>
        <w:t xml:space="preserve">Continuous Service by the Company and its Affiliates, the Administrator may in its sole discretion accelerate, waive or,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 amend any or all of the goals, restrictions or conditions imposed under any Performance Award. The Administrator in its discretion may provide for an acceleration of vesting in the terms of any Performance Award at any time, including upon a Change in Control. Notwithstanding the foregoing, with respect to a Covered Employee, after the first date on which any class of the Company’s common equity securities is required to be registered under Section 12 of the Exchange Act, no amendment or waiver of the performance goal will be permitted, and no acceleration of payment (other than in the form of Common Stock) will be permitted unless the performance goal has been attained and the Award is discounted to reasonably reflect the time value of money attributable to such acceleration.</w:t>
      </w:r>
    </w:p>
    <w:p>
      <w:pPr>
        <w:spacing w:after="0" w:line="189" w:lineRule="exact"/>
        <w:rPr>
          <w:sz w:val="20"/>
          <w:szCs w:val="20"/>
          <w:color w:val="auto"/>
        </w:rPr>
      </w:pPr>
    </w:p>
    <w:p>
      <w:pPr>
        <w:jc w:val="both"/>
        <w:ind w:firstLine="1953"/>
        <w:spacing w:after="0" w:line="259" w:lineRule="auto"/>
        <w:tabs>
          <w:tab w:leader="none" w:pos="234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Following the completion of each performance period, the Administrator shall certify in writing, in accordance with the requirements of Section 162(m) of the Code, whether the performance objectives and other material terms of a Performance Award have been achieved or met. Unless the Administrator determines otherwise, Performance Awards will not be settled until the Administrator has made the certification specified under this </w:t>
      </w:r>
      <w:r>
        <w:rPr>
          <w:rFonts w:ascii="Arial" w:cs="Arial" w:eastAsia="Arial" w:hAnsi="Arial"/>
          <w:sz w:val="18"/>
          <w:szCs w:val="18"/>
          <w:u w:val="single" w:color="auto"/>
          <w:color w:val="auto"/>
        </w:rPr>
        <w:t>Section 7.2(g)</w:t>
      </w:r>
      <w:r>
        <w:rPr>
          <w:rFonts w:ascii="Arial" w:cs="Arial" w:eastAsia="Arial" w:hAnsi="Arial"/>
          <w:sz w:val="18"/>
          <w:szCs w:val="18"/>
          <w:color w:val="auto"/>
        </w:rPr>
        <w:t>.</w:t>
      </w:r>
    </w:p>
    <w:p>
      <w:pPr>
        <w:spacing w:after="0" w:line="187"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9" w:lineRule="auto"/>
        <w:tabs>
          <w:tab w:leader="none" w:pos="2365"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Stock Appreciation Rights may be granted either alone (</w:t>
      </w:r>
      <w:r>
        <w:rPr>
          <w:rFonts w:ascii="Arial" w:cs="Arial" w:eastAsia="Arial" w:hAnsi="Arial"/>
          <w:sz w:val="18"/>
          <w:szCs w:val="18"/>
          <w:b w:val="1"/>
          <w:bCs w:val="1"/>
          <w:i w:val="1"/>
          <w:iCs w:val="1"/>
          <w:color w:val="auto"/>
        </w:rPr>
        <w:t>“Free Standing SARs”</w:t>
      </w:r>
      <w:r>
        <w:rPr>
          <w:rFonts w:ascii="Arial" w:cs="Arial" w:eastAsia="Arial" w:hAnsi="Arial"/>
          <w:sz w:val="18"/>
          <w:szCs w:val="18"/>
          <w:color w:val="auto"/>
        </w:rPr>
        <w:t xml:space="preserve">) or, provided the requirements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are satisfied, in tandem with all or part of any Option granted under the Plan (</w:t>
      </w:r>
      <w:r>
        <w:rPr>
          <w:rFonts w:ascii="Arial" w:cs="Arial" w:eastAsia="Arial" w:hAnsi="Arial"/>
          <w:sz w:val="18"/>
          <w:szCs w:val="18"/>
          <w:b w:val="1"/>
          <w:bCs w:val="1"/>
          <w:i w:val="1"/>
          <w:iCs w:val="1"/>
          <w:color w:val="auto"/>
        </w:rPr>
        <w:t>“Tandem SARs”</w:t>
      </w:r>
      <w:r>
        <w:rPr>
          <w:rFonts w:ascii="Arial" w:cs="Arial" w:eastAsia="Arial" w:hAnsi="Arial"/>
          <w:sz w:val="18"/>
          <w:szCs w:val="18"/>
          <w:color w:val="auto"/>
        </w:rPr>
        <w:t>). In the case of a Nonstatutory Stock Option, Tandem SARs may be granted either at or after the time of the grant of such Option. In the case of an Incentive Stock Option, Tandem SARs may be granted only at the time of the grant of the Incentive Stock Option.</w:t>
      </w:r>
    </w:p>
    <w:p>
      <w:pPr>
        <w:spacing w:after="0" w:line="186" w:lineRule="exact"/>
        <w:rPr>
          <w:rFonts w:ascii="Arial" w:cs="Arial" w:eastAsia="Arial" w:hAnsi="Arial"/>
          <w:sz w:val="18"/>
          <w:szCs w:val="18"/>
          <w:color w:val="auto"/>
        </w:rPr>
      </w:pPr>
    </w:p>
    <w:p>
      <w:pPr>
        <w:jc w:val="both"/>
        <w:ind w:firstLine="1953"/>
        <w:spacing w:after="0" w:line="255" w:lineRule="auto"/>
        <w:tabs>
          <w:tab w:leader="none" w:pos="2348"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Grant Requirements</w:t>
      </w:r>
      <w:r>
        <w:rPr>
          <w:rFonts w:ascii="Arial" w:cs="Arial" w:eastAsia="Arial" w:hAnsi="Arial"/>
          <w:sz w:val="18"/>
          <w:szCs w:val="18"/>
          <w:color w:val="auto"/>
        </w:rPr>
        <w:t>. A Stock Appreciation Right may only be granted if it does not provide for the deferral of compensation within the meaning of Code Section 409A. A Stock Appreciation Right does not provide for a deferral of compensation if: (A) the Strike Price may never be less than the Fair Market Value per share of the underlying Common Stock on the Date of Grant, (B) the compensation payable under the Stock Appreciation Right can never be greater than the difference between the Strike Price and the Fair Market Value of the Common Stock on the date the Stock Appreciation Right is exercised, (C) the number of shares of Common Stock subject to the Stock Appreciation Right is fixed on the Date of Grant of the Stock Appreciation Right, and (D) the Stock Appreciation Right does not include any feature for the deferral of compensation other than the deferral of recognition of income until the exercise of the SAR.</w:t>
      </w:r>
    </w:p>
    <w:p>
      <w:pPr>
        <w:spacing w:after="0" w:line="189" w:lineRule="exact"/>
        <w:rPr>
          <w:rFonts w:ascii="Arial" w:cs="Arial" w:eastAsia="Arial" w:hAnsi="Arial"/>
          <w:sz w:val="18"/>
          <w:szCs w:val="18"/>
          <w:color w:val="auto"/>
        </w:rPr>
      </w:pPr>
    </w:p>
    <w:p>
      <w:pPr>
        <w:jc w:val="both"/>
        <w:ind w:firstLine="1953"/>
        <w:spacing w:after="0" w:line="288" w:lineRule="auto"/>
        <w:tabs>
          <w:tab w:leader="none" w:pos="2378"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Exercise and Payment</w:t>
      </w:r>
      <w:r>
        <w:rPr>
          <w:rFonts w:ascii="Arial" w:cs="Arial" w:eastAsia="Arial" w:hAnsi="Arial"/>
          <w:sz w:val="16"/>
          <w:szCs w:val="16"/>
          <w:color w:val="auto"/>
        </w:rPr>
        <w:t>. Upon delivery to the Administrator of a written request to exercise a Stock Appreciation Right the holder of such SAR will be entitled to receive from the Company, an amount equal to the product of (i) the excess of the Fair Market Value, on the date of such exercise, of one share of Common Stock over the Strike Price per share specified in such Stock Appreciation Right or its related Option; multiplied by</w:t>
      </w:r>
    </w:p>
    <w:p>
      <w:pPr>
        <w:jc w:val="both"/>
        <w:ind w:firstLine="8"/>
        <w:spacing w:after="0" w:line="254" w:lineRule="auto"/>
        <w:tabs>
          <w:tab w:leader="none" w:pos="2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shares for which such Stock Appreciation Right is exercised. Payment with respect to the exercise of a Stock Appreciation Right will be paid on the date of exercise and made in shares of Common Stock valued at Fair Market Value on the date of exercise. Payment may be made in the form of shares of Common Stock (with or without restrictions as to substantial risk of forfeiture and transferability, as determined by the Administrator in its sole discretion), cash or a combination thereof, as determined by the Administrator in its sole discretion.</w:t>
      </w:r>
    </w:p>
    <w:p>
      <w:pPr>
        <w:spacing w:after="0" w:line="189" w:lineRule="exact"/>
        <w:rPr>
          <w:rFonts w:ascii="Arial" w:cs="Arial" w:eastAsia="Arial" w:hAnsi="Arial"/>
          <w:sz w:val="18"/>
          <w:szCs w:val="18"/>
          <w:color w:val="auto"/>
        </w:rPr>
      </w:pPr>
    </w:p>
    <w:p>
      <w:pPr>
        <w:jc w:val="both"/>
        <w:ind w:firstLine="1953"/>
        <w:spacing w:after="0" w:line="273" w:lineRule="auto"/>
        <w:tabs>
          <w:tab w:leader="none" w:pos="2348"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Strike Price</w:t>
      </w:r>
      <w:r>
        <w:rPr>
          <w:rFonts w:ascii="Arial" w:cs="Arial" w:eastAsia="Arial" w:hAnsi="Arial"/>
          <w:sz w:val="17"/>
          <w:szCs w:val="17"/>
          <w:color w:val="auto"/>
        </w:rPr>
        <w:t xml:space="preserve">. The Administrator will determine the Strike Price of a Free Standing SAR, which may not be less than 100% of the Fair Market Value per share of Common Stock on the Date of Grant of such Stock Appreciation Right. The Strike Price of a Tandem SAR granted simultaneously with or subsequent to the grant of an Option and in conjunction therewith or in the alternative thereto will be the Exercise Price of the related Option. A Tandem SAR will be transferable only upon the same terms and conditions as the related Option, and will be exercisable only to the same extent as the related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Tandem SAR, by its terms, will be exercisable only when the Fair Market Value per share of Common Stock subject to the Tandem SAR and related Option exceeds the Strike Price per share thereof.</w:t>
      </w:r>
    </w:p>
    <w:p>
      <w:pPr>
        <w:spacing w:after="0" w:line="178" w:lineRule="exact"/>
        <w:rPr>
          <w:rFonts w:ascii="Arial" w:cs="Arial" w:eastAsia="Arial" w:hAnsi="Arial"/>
          <w:sz w:val="17"/>
          <w:szCs w:val="17"/>
          <w:color w:val="auto"/>
        </w:rPr>
      </w:pPr>
    </w:p>
    <w:p>
      <w:pPr>
        <w:ind w:right="20" w:firstLine="1953"/>
        <w:spacing w:after="0" w:line="277" w:lineRule="auto"/>
        <w:tabs>
          <w:tab w:leader="none" w:pos="2419"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Reduction in the Underlying Option Shares</w:t>
      </w:r>
      <w:r>
        <w:rPr>
          <w:rFonts w:ascii="Arial" w:cs="Arial" w:eastAsia="Arial" w:hAnsi="Arial"/>
          <w:sz w:val="18"/>
          <w:szCs w:val="18"/>
          <w:color w:val="auto"/>
        </w:rPr>
        <w:t>. Upon any exercise of a Stock Appreciation Right, the number of shares of Common Stock for which any related Option will be exercisable will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0" w:name="page121"/>
    <w:bookmarkEnd w:id="120"/>
    <w:p>
      <w:pPr>
        <w:jc w:val="both"/>
        <w:spacing w:after="0" w:line="264" w:lineRule="auto"/>
        <w:rPr>
          <w:sz w:val="20"/>
          <w:szCs w:val="20"/>
          <w:color w:val="auto"/>
        </w:rPr>
      </w:pPr>
      <w:r>
        <w:rPr>
          <w:rFonts w:ascii="Arial" w:cs="Arial" w:eastAsia="Arial" w:hAnsi="Arial"/>
          <w:sz w:val="18"/>
          <w:szCs w:val="18"/>
          <w:color w:val="auto"/>
        </w:rPr>
        <w:t>reduced by the number of shares for which the Stock Appreciation Right will have been exercised. The number of shares of Common Stock for which a Stock Appreciation Right will be exercisable will be reduced upon any exercise of any related Option by the number of shares of Common Stock for which such Option has been exercised.</w:t>
      </w:r>
    </w:p>
    <w:p>
      <w:pPr>
        <w:spacing w:after="0" w:line="181" w:lineRule="exact"/>
        <w:rPr>
          <w:sz w:val="20"/>
          <w:szCs w:val="20"/>
          <w:color w:val="auto"/>
        </w:rPr>
      </w:pPr>
    </w:p>
    <w:p>
      <w:pPr>
        <w:jc w:val="both"/>
        <w:ind w:firstLine="1953"/>
        <w:spacing w:after="0" w:line="289" w:lineRule="auto"/>
        <w:tabs>
          <w:tab w:leader="none" w:pos="2332"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Written Request</w:t>
      </w:r>
      <w:r>
        <w:rPr>
          <w:rFonts w:ascii="Arial" w:cs="Arial" w:eastAsia="Arial" w:hAnsi="Arial"/>
          <w:sz w:val="16"/>
          <w:szCs w:val="16"/>
          <w:color w:val="auto"/>
        </w:rPr>
        <w:t>. Unless otherwise determined by the Administrator in its sole discretion, Stock Appreciation Rights will be settled in the form of Common Stock. If permitted in the Award Agreement, a Participant may request that any exercise of a Stock Appreciation Right be settled for cash, but a Participant will not have any right to demand a cash settlement. A request for cash settlement may be made only by a written request filed with the Corporate Secretary of the Company during the period beginning on the third business day following the date of release for publication by the Company of quarterly or annual summary statements of earnings and ending on the twelfth business day following such date. Within 30 days of the receipt by the Company of a written request to receive cash in full or partial settlement of a Stock Appreciation Right or to exercise such Stock Appreciation Right for cash, the Administrator shall, in its sole discretion, either consent to or disapprove, in whole or in part, such written request. A written request to receive cash in full or partial settlement of a Stock Appreciation Right or to exercise a Stock Appreciation Right for cash may provide that, if the Administrator disapproves such written request, such written request will be deemed to be an exercise of such Stock Appreciation Right for shares of Common Stock.</w:t>
      </w:r>
    </w:p>
    <w:p>
      <w:pPr>
        <w:spacing w:after="0" w:line="166" w:lineRule="exact"/>
        <w:rPr>
          <w:rFonts w:ascii="Arial" w:cs="Arial" w:eastAsia="Arial" w:hAnsi="Arial"/>
          <w:sz w:val="16"/>
          <w:szCs w:val="16"/>
          <w:color w:val="auto"/>
        </w:rPr>
      </w:pPr>
    </w:p>
    <w:p>
      <w:pPr>
        <w:jc w:val="both"/>
        <w:ind w:firstLine="1953"/>
        <w:spacing w:after="0" w:line="276" w:lineRule="auto"/>
        <w:tabs>
          <w:tab w:leader="none" w:pos="2389"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Disapproval by Administrator</w:t>
      </w:r>
      <w:r>
        <w:rPr>
          <w:rFonts w:ascii="Arial" w:cs="Arial" w:eastAsia="Arial" w:hAnsi="Arial"/>
          <w:sz w:val="17"/>
          <w:szCs w:val="17"/>
          <w:color w:val="auto"/>
        </w:rPr>
        <w:t>. If the Administrator disapproves in whole or in part any request by a Participant to receive cash in full or partial settlement of a Stock Appreciation Right or to exercise such Stock Appreciation Right for cash, such disapproval will not affect such Participant’s right to exercise such Stock Appreciation Right at a later date, to the extent that such Stock Appreciation Right will be otherwise exercisable, or to request a cash form of payment at a later date, provided that a request to receive cash upon such later exercise will be subject to the approval of the Administrator. Additionally, such disapproval will not affect such Participant’s right to exercise any related Option.</w:t>
      </w:r>
    </w:p>
    <w:p>
      <w:pPr>
        <w:spacing w:after="0" w:line="172" w:lineRule="exact"/>
        <w:rPr>
          <w:rFonts w:ascii="Arial" w:cs="Arial" w:eastAsia="Arial" w:hAnsi="Arial"/>
          <w:sz w:val="17"/>
          <w:szCs w:val="17"/>
          <w:color w:val="auto"/>
        </w:rPr>
      </w:pPr>
    </w:p>
    <w:p>
      <w:pPr>
        <w:ind w:firstLine="1953"/>
        <w:spacing w:after="0" w:line="277" w:lineRule="auto"/>
        <w:tabs>
          <w:tab w:leader="none" w:pos="2389"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Stock Appreciation Rights and all rights with respect to such Awards may not be sold, assigned, transferred, pledged, or otherwise encumbered.</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22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Availability of Shares</w:t>
      </w:r>
      <w:r>
        <w:rPr>
          <w:rFonts w:ascii="Arial" w:cs="Arial" w:eastAsia="Arial" w:hAnsi="Arial"/>
          <w:sz w:val="18"/>
          <w:szCs w:val="18"/>
          <w:color w:val="auto"/>
        </w:rPr>
        <w:t>. During the terms of the Awards, the Company shall keep available at all times the number of shares of Common Stock required to satisfy such Awards.</w:t>
      </w:r>
    </w:p>
    <w:p>
      <w:pPr>
        <w:spacing w:after="0" w:line="17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xml:space="preserve">. Each Award Agreement will provide that no shares of Common Stock may be purchased or sold thereunder unless and until any then applicable requirements of state, federal or applicable foreign laws and regulatory agencies have been fully complied with to the satisfaction of the Company and its counsel.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undertaking will not require the Company to register under the Securities Act the Plan, any Award or any Common Stock issued or issuable pursuant to any such Award. If, after reasonable efforts,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Awards unless and until such authority is obtained.</w:t>
      </w:r>
    </w:p>
    <w:p>
      <w:pPr>
        <w:spacing w:after="0" w:line="162"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Stock.</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Proceeds from the sale of Common Stock pursuant to Awards will constitute general funds of the Company.</w:t>
      </w:r>
    </w:p>
    <w:p>
      <w:pPr>
        <w:spacing w:after="0" w:line="22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Acceleration of Exercisability and Vesting</w:t>
      </w:r>
      <w:r>
        <w:rPr>
          <w:rFonts w:ascii="Arial" w:cs="Arial" w:eastAsia="Arial" w:hAnsi="Arial"/>
          <w:sz w:val="18"/>
          <w:szCs w:val="18"/>
          <w:color w:val="auto"/>
        </w:rPr>
        <w:t>. The Administrator will have the power to accelerate the time at which an Award may first be exercised or the time during which an Award or any part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1" w:name="page122"/>
    <w:bookmarkEnd w:id="121"/>
    <w:p>
      <w:pPr>
        <w:jc w:val="both"/>
        <w:spacing w:after="0" w:line="277" w:lineRule="auto"/>
        <w:rPr>
          <w:sz w:val="20"/>
          <w:szCs w:val="20"/>
          <w:color w:val="auto"/>
        </w:rPr>
      </w:pPr>
      <w:r>
        <w:rPr>
          <w:rFonts w:ascii="Arial" w:cs="Arial" w:eastAsia="Arial" w:hAnsi="Arial"/>
          <w:sz w:val="18"/>
          <w:szCs w:val="18"/>
          <w:color w:val="auto"/>
        </w:rPr>
        <w:t>will vest in accordance with the Plan, notwithstanding the provisions in the Award stating the time at which it may first be exercised or the time during which it will vest.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Stockholder Rights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or as otherwise provided in an Award Agreement, no Participant will be deemed to be the holder of, or to have any of the rights of a holder with respect to, any shares of Common Stock subject to an Award unless and until the Participant has satisfied all requirements for exercise, payment or delivery of the Award, as applicable, pursuant to its terms and no adjustment will be made for dividends (ordinary or extraordinary, whether in cash, securities or other property) or distributions of other rights for which the record date is prior to the date of issue of a Common Stock certificate.</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Plan or any instrument executed or Award granted pursuant thereto will confer upon any Participant any right to continue to serve the Company or an Affiliate in the capacity in effect at the time the Award was granted or will affect the right of the Company or an Affiliate to terminate (a) the employment of an Employee with or without notice and with or without Cause, (b) the service of a Consultant pursuant to the terms of such Consultant’s agreement with the Company or an Affiliate or (c) the service of a Director pursuant to the Bylaws of the Company or an Affiliate, and any applicable provisions of the corporate law of the state in which the Company or the Affiliate is incorporated, as the case may be.</w:t>
      </w:r>
    </w:p>
    <w:p>
      <w:pPr>
        <w:spacing w:after="0" w:line="19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Investment Assurances</w:t>
      </w:r>
      <w:r>
        <w:rPr>
          <w:rFonts w:ascii="Arial" w:cs="Arial" w:eastAsia="Arial" w:hAnsi="Arial"/>
          <w:sz w:val="16"/>
          <w:szCs w:val="16"/>
          <w:color w:val="auto"/>
        </w:rPr>
        <w:t>. The Company may require a Participant, as a condition of exercising or acquiring Common Stock under any Award, (a)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(b)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(i) the issuance of the shares of Common Stock upon the exercise or acquisition of Common Stock under the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xml:space="preserve">. To the extent provided by the terms of an Award Agreement and subject to the discretion of the Administrator,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Fair Market Value of shares of Common Stock withheld does not exceed the minimum amount of tax required to be withheld by law; (c) delivering to the Company previously owned and unencumbered shares of Common Stock; or (d) by execution of a recourse promissory note by a Participant. Notwithstanding the foregoing, during any period for which the Company has any class of its securities listed on a national securities exchange in the United States, has securities registered under Section 12 of the Exchange Act, is required to file reports under Section 13(a) or 15(d) of the Exchange Act, or has a registration statement pending under the Securities Act, payment of the tax withholding with a promissory note or other transaction by a Participant that involves or may involve a Prohibited Personal Loan is prohibited with respect to any Award. Unless otherwise provided in the terms of an Option Agreement, payment of the tax withholding by a Participant who is an Insider by delivering previously owned and unencumbered shares of Common Stock or in the form of share withholding is subject to pre-approval by the Administrator, in its sole discretion. The Administrator will document any such pre-approval in the case of a participant who is an Officer, Director or other Insider in a manner that complies with the specificity requirements of Rule 16b-3, including the name of the Participant involved in the transaction, the nature of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transaction, the number of shares to be acquired or disposed of by the Participant and the material terms of the Award involved in the transaction.</w:t>
      </w:r>
    </w:p>
    <w:p>
      <w:pPr>
        <w:spacing w:after="0" w:line="23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Right of Repurchase</w:t>
      </w:r>
      <w:r>
        <w:rPr>
          <w:rFonts w:ascii="Arial" w:cs="Arial" w:eastAsia="Arial" w:hAnsi="Arial"/>
          <w:sz w:val="16"/>
          <w:szCs w:val="16"/>
          <w:color w:val="auto"/>
        </w:rPr>
        <w:t xml:space="preserve">. Each Award Agreement may provide that, following a termination of the Participant’s Continuous Service, the Company may repurchase the Participant’s unvested Common Stock acquired under the Plan as provided in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“Right of Repurchase”</w:t>
      </w:r>
      <w:r>
        <w:rPr>
          <w:rFonts w:ascii="Arial" w:cs="Arial" w:eastAsia="Arial" w:hAnsi="Arial"/>
          <w:sz w:val="16"/>
          <w:szCs w:val="16"/>
          <w:color w:val="auto"/>
        </w:rPr>
        <w:t>). The Right of Repurchase for unvested Common Stock will be exercisable at a price equal to the lesser of the purchase price at which such Common Stock was acquired under the Plan or the Fair Market Value of such Common Stock (if an Award is granted solely in consideration of past services without payment of any additional consideration, the unvested Common Stock will be forfeited without any repurchase). The Award Agreement may specify the period following a termination of the Participant’s Continuous Service during which the Right of Repurchase may be exercised.</w:t>
      </w:r>
    </w:p>
    <w:p>
      <w:pPr>
        <w:spacing w:after="0" w:line="161"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Stock.</w:t>
      </w:r>
    </w:p>
    <w:p>
      <w:pPr>
        <w:spacing w:after="0" w:line="22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Capitalization Adjustments</w:t>
      </w:r>
      <w:r>
        <w:rPr>
          <w:rFonts w:ascii="Arial" w:cs="Arial" w:eastAsia="Arial" w:hAnsi="Arial"/>
          <w:sz w:val="17"/>
          <w:szCs w:val="17"/>
          <w:color w:val="auto"/>
        </w:rPr>
        <w:t xml:space="preserve">. If any change is made in the Common Stock subject to the Plan, or subject to any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then the Administrator shall proportionately adjust (a) the aggregate number of shares of Common Stock or class of shares that may be purchased pursuant to Awards granted hereunder; (b) the aggregate number of shares of Common Stock or class of shares that may be purchased pursuant to Incentive Stock Options granted hereunder; (c) the number and/or class of shares of Common Stock covered by outstanding Options and Awards; (d) the maximum number of shares of Common Stock with respect to which Options and Stock Appreciation Rights may be granted to any single holder during any calendar year; and (e) the Exercise Price of any Option and the Strike Price of any Stock Appreciation Right in effect prior to such change shall be proportionately adjusted by the Administrator to reflect any increase or decrease in the number of issued shares of Common Stock or change in the Fair Market Value of such Common Stock resulting from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fractional shares resulting from the adjustment may be eliminated by a cash payment. The Administrator shall make such adjustments in a manner that will provide an appropriate adjustment that neither increases nor decreases the value of such Award as in effect immediately prior to such corporate change, and its determination will be final, binding and conclusive. The conversion of any securities of the Company that are by their terms convertible will not be treated as a transaction “without receipt of consideration” by the Company.</w:t>
      </w:r>
    </w:p>
    <w:p>
      <w:pPr>
        <w:spacing w:after="0" w:line="18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xml:space="preserve">. In the event of a dissolution or liquidation of the Company, then, subject to </w:t>
      </w:r>
      <w:r>
        <w:rPr>
          <w:rFonts w:ascii="Arial" w:cs="Arial" w:eastAsia="Arial" w:hAnsi="Arial"/>
          <w:sz w:val="18"/>
          <w:szCs w:val="18"/>
          <w:u w:val="single" w:color="auto"/>
          <w:color w:val="auto"/>
        </w:rPr>
        <w:t>Section 11.3</w:t>
      </w:r>
      <w:r>
        <w:rPr>
          <w:rFonts w:ascii="Arial" w:cs="Arial" w:eastAsia="Arial" w:hAnsi="Arial"/>
          <w:sz w:val="18"/>
          <w:szCs w:val="18"/>
          <w:color w:val="auto"/>
        </w:rPr>
        <w:t>, all outstanding Awards will terminate immediately prior to such event.</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Change in Control – Asset Sale, Merger, Consolidation or Reverse Merger</w:t>
      </w:r>
      <w:r>
        <w:rPr>
          <w:rFonts w:ascii="Arial" w:cs="Arial" w:eastAsia="Arial" w:hAnsi="Arial"/>
          <w:sz w:val="16"/>
          <w:szCs w:val="16"/>
          <w:color w:val="auto"/>
        </w:rPr>
        <w:t xml:space="preserve">. In the event of a Change in Control, a dissolution or liquidation of the Company, an exchange of shares, or any corporate separation or division, including, but not limited to, a split-up, a split-off or a spin-off, or a sale, in one or a series of related transactions, of all or substantially all of the assets of the Company; a merger or consolidation in which the Company is not the Surviving Entity; or a reverse merger in which the Company is the Surviving Entity, but the shares of Common Stock outstanding immediately preceding the merger are converted by virtue of the merger into other property, whether in the form of securities, cash or otherwise, then the Company, to the extent permitted by applicable law, but otherwise in the sole discretion of the Administrator may provide for: (a) the continuation of outstanding Awards by the Company (if the Company is the Surviving Entity); (b) the assumption of the Plan and such outstanding Awards by the Surviving Entity or its parent; (c) the substitution by the Surviving Entity or its parent of awards with substantially the same terms (including an award to acquire the same consideration paid to the stockholders in the transaction described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for such outstanding Awards and, if appropriate, subject to the equitable adjustment provisions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(d) the cancellation of such outstanding Awards in consideration for a payment (in the form of stock or cash) equal in value to the Fair Market Value of vested Awards, or in the case of an Option, the difference between the Fair Market Value and the Exercise Price for all shares of Common Stock subject to exercise (</w:t>
      </w:r>
      <w:r>
        <w:rPr>
          <w:rFonts w:ascii="Arial" w:cs="Arial" w:eastAsia="Arial" w:hAnsi="Arial"/>
          <w:sz w:val="16"/>
          <w:szCs w:val="16"/>
          <w:i w:val="1"/>
          <w:iCs w:val="1"/>
          <w:color w:val="auto"/>
        </w:rPr>
        <w:t>i.e.</w:t>
      </w:r>
      <w:r>
        <w:rPr>
          <w:rFonts w:ascii="Arial" w:cs="Arial" w:eastAsia="Arial" w:hAnsi="Arial"/>
          <w:sz w:val="16"/>
          <w:szCs w:val="16"/>
          <w:color w:val="auto"/>
        </w:rPr>
        <w:t>, to the extent vested) under any outstanding Option; or (e) the cancellation of such outstanding Awards without payment of any consideration. If such Awards would be canceled without consideration for vested Awards, the Participant will have the right, exercisable during the later of the 10-day period ending on the fifth day prior to such merger or consolidation or 10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3" w:name="page124"/>
    <w:bookmarkEnd w:id="123"/>
    <w:p>
      <w:pPr>
        <w:ind w:right="20"/>
        <w:spacing w:after="0" w:line="277" w:lineRule="auto"/>
        <w:rPr>
          <w:sz w:val="20"/>
          <w:szCs w:val="20"/>
          <w:color w:val="auto"/>
        </w:rPr>
      </w:pPr>
      <w:r>
        <w:rPr>
          <w:rFonts w:ascii="Arial" w:cs="Arial" w:eastAsia="Arial" w:hAnsi="Arial"/>
          <w:sz w:val="18"/>
          <w:szCs w:val="18"/>
          <w:color w:val="auto"/>
        </w:rPr>
        <w:t>days after the Administrator provides the Award holder a notice of cancellation, to exercise such Awards in whole or in part without regard to any installment exercise provisions in the Option Agreement.</w:t>
      </w:r>
    </w:p>
    <w:p>
      <w:pPr>
        <w:spacing w:after="0" w:line="166"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and Awards.</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Amendment of Plan</w:t>
      </w:r>
      <w:r>
        <w:rPr>
          <w:rFonts w:ascii="Arial" w:cs="Arial" w:eastAsia="Arial" w:hAnsi="Arial"/>
          <w:sz w:val="17"/>
          <w:szCs w:val="17"/>
          <w:color w:val="auto"/>
        </w:rPr>
        <w:t xml:space="preserve">. The Board at any time may amend or terminate the Plan. However, except as provided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relating to adjustments upon changes in Common Stock, no amendment will be effective unless approved by the stockholders of the Company to the extent stockholder approval is necessary to satisfy any applicable law or any securities exchange listing requirements. At the time of such amendment, the Board shall determine, upon advice from counsel, whether such amendment will be contingent on stockholder approval.</w:t>
      </w:r>
    </w:p>
    <w:p>
      <w:pPr>
        <w:spacing w:after="0" w:line="17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Board may, in its sole discretion, submit any other amendment to the Plan for stockholder approval, including, but not limited to, amendments to the Plan intended to satisfy the requirements of Section 162(m) of the Code and the regulations thereunder regarding the exclusion of performance-based compensation from the limit on corporate deductibility of compensation paid to certain executive officers.</w:t>
      </w:r>
    </w:p>
    <w:p>
      <w:pPr>
        <w:spacing w:after="0" w:line="166"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Contemplated Amendments</w:t>
      </w:r>
      <w:r>
        <w:rPr>
          <w:rFonts w:ascii="Arial" w:cs="Arial" w:eastAsia="Arial" w:hAnsi="Arial"/>
          <w:sz w:val="16"/>
          <w:szCs w:val="16"/>
          <w:color w:val="auto"/>
        </w:rPr>
        <w:t>.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or to the nonqualified deferred compensation provisions of Section 409A of the Code and to bring the Plan and Awards granted hereunder into compliance therewith. Notwithstanding the foregoing, neither the Board nor the Company nor any Affiliate will have any liability to any Participant or any other Person as to (a) any tax consequences expected, but not realized, by a Participant or any other person due to the receipt, exercise, or settlement of any Award granted hereunder; or (b) the failure of any Award to comply with Section 409A of the Code.</w:t>
      </w:r>
    </w:p>
    <w:p>
      <w:pPr>
        <w:spacing w:after="0" w:line="16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Amendment of Awards; No Impairment of Rights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72" w:lineRule="auto"/>
        <w:tabs>
          <w:tab w:leader="none" w:pos="238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The Administrator at any time may amend the terms of any one or more Awards. However, subject to </w:t>
      </w:r>
      <w:r>
        <w:rPr>
          <w:rFonts w:ascii="Arial" w:cs="Arial" w:eastAsia="Arial" w:hAnsi="Arial"/>
          <w:sz w:val="17"/>
          <w:szCs w:val="17"/>
          <w:u w:val="single" w:color="auto"/>
          <w:color w:val="auto"/>
        </w:rPr>
        <w:t>Section 12.4(b)</w:t>
      </w:r>
      <w:r>
        <w:rPr>
          <w:rFonts w:ascii="Arial" w:cs="Arial" w:eastAsia="Arial" w:hAnsi="Arial"/>
          <w:sz w:val="17"/>
          <w:szCs w:val="17"/>
          <w:color w:val="auto"/>
        </w:rPr>
        <w:t xml:space="preserve">, no amendment may impair rights under any Award granted before such amendment. Except as otherwise permitted under </w:t>
      </w:r>
      <w:r>
        <w:rPr>
          <w:rFonts w:ascii="Arial" w:cs="Arial" w:eastAsia="Arial" w:hAnsi="Arial"/>
          <w:sz w:val="17"/>
          <w:szCs w:val="17"/>
          <w:u w:val="single" w:color="auto"/>
          <w:color w:val="auto"/>
        </w:rPr>
        <w:t>Section 11</w:t>
      </w:r>
      <w:r>
        <w:rPr>
          <w:rFonts w:ascii="Arial" w:cs="Arial" w:eastAsia="Arial" w:hAnsi="Arial"/>
          <w:sz w:val="17"/>
          <w:szCs w:val="17"/>
          <w:color w:val="auto"/>
        </w:rPr>
        <w:t>, unless stockholder approval is obtained: (i) no amendment or modification may reduce the Exercise Price of any Option or the Strike Price of any SAR; (ii) the Committee may not cancel any outstanding Option or SAR and replace it with a new Option or SAR, another Award or cash if such action will be considered a “repricing” for purposes of the shareholder approval rules of the applicable securities exchange or inter-dealer quotation system on which the Common Stock is listed or quoted; and (iii) the Committee may not take any other action that is considered a “repricing” for purposes of the shareholder approval rules of the applicable securities exchange or inter-dealer quotation system on which the Common Stock is listed or quoted.</w:t>
      </w:r>
    </w:p>
    <w:p>
      <w:pPr>
        <w:spacing w:after="0" w:line="177" w:lineRule="exact"/>
        <w:rPr>
          <w:rFonts w:ascii="Arial" w:cs="Arial" w:eastAsia="Arial" w:hAnsi="Arial"/>
          <w:sz w:val="17"/>
          <w:szCs w:val="17"/>
          <w:color w:val="auto"/>
        </w:rPr>
      </w:pPr>
    </w:p>
    <w:p>
      <w:pPr>
        <w:jc w:val="both"/>
        <w:ind w:firstLine="1953"/>
        <w:spacing w:after="0" w:line="257" w:lineRule="auto"/>
        <w:tabs>
          <w:tab w:leader="none" w:pos="238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amendment of the Plan or an Award may impair rights under any Award granted before such amendment unless (i) the Company requests the consent of the Participant and (ii) the Participant consents in writing. For the avoidance of doubt, a cancellation of an Award where the Participant receives a payment equal in value to the Fair Market Value of the vested Award or, in the case of vested Options or Stock Appreciation Rights, the difference between the Fair Market Value and the Exercise Price or Strike Price, is not an impairment of the Participant’s rights that requires consent of the Participant.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Other Compensation Arrangements</w:t>
      </w:r>
      <w:r>
        <w:rPr>
          <w:rFonts w:ascii="Arial" w:cs="Arial" w:eastAsia="Arial" w:hAnsi="Arial"/>
          <w:sz w:val="17"/>
          <w:szCs w:val="17"/>
          <w:color w:val="auto"/>
        </w:rPr>
        <w:t>. Nothing contained in the Plan will prevent the Board from adopting other or additional</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compensation arrangements, subject to stockholder approval if such approval is required; and such arrangements may be either generally applicable or applicable only in specific cases.</w:t>
      </w:r>
    </w:p>
    <w:p>
      <w:pPr>
        <w:spacing w:after="0" w:line="18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Recapitalizations</w:t>
      </w:r>
      <w:r>
        <w:rPr>
          <w:rFonts w:ascii="Arial" w:cs="Arial" w:eastAsia="Arial" w:hAnsi="Arial"/>
          <w:sz w:val="16"/>
          <w:szCs w:val="16"/>
          <w:color w:val="auto"/>
        </w:rPr>
        <w:t>. Each Award Agreement will contain provisions required to reflect the provisions of</w:t>
      </w:r>
      <w:r>
        <w:rPr>
          <w:rFonts w:ascii="Arial" w:cs="Arial" w:eastAsia="Arial" w:hAnsi="Arial"/>
          <w:sz w:val="16"/>
          <w:szCs w:val="16"/>
          <w:u w:val="single" w:color="auto"/>
          <w:color w:val="auto"/>
        </w:rPr>
        <w:t xml:space="preserve"> Section 11.1</w:t>
      </w:r>
      <w:r>
        <w:rPr>
          <w:rFonts w:ascii="Arial" w:cs="Arial" w:eastAsia="Arial" w:hAnsi="Arial"/>
          <w:sz w:val="16"/>
          <w:szCs w:val="16"/>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4" w:name="page125"/>
    <w:bookmarkEnd w:id="124"/>
    <w:p>
      <w:pPr>
        <w:jc w:val="both"/>
        <w:ind w:firstLine="1297"/>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Delivery</w:t>
      </w:r>
      <w:r>
        <w:rPr>
          <w:rFonts w:ascii="Arial" w:cs="Arial" w:eastAsia="Arial" w:hAnsi="Arial"/>
          <w:sz w:val="18"/>
          <w:szCs w:val="18"/>
          <w:color w:val="auto"/>
        </w:rPr>
        <w:t>. Upon exercise of a right granted pursuant to an Award under the Plan, the Company shall issue Common Stock or pay any amounts due within a reasonable period of time thereafter. Subject to any statutory or regulatory obligations the Company may otherwise have, for purposes of the Plan, 30 days will be considered a reasonable period.</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authorized under the Plan may contain such other provisions not inconsistent with the Plan, including, without limitation, restrictions upon the exercise of the Awards, as the Administrator may deem advisable.</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Cancellation and Rescission of Awards for Detrimental Activity</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7" w:lineRule="auto"/>
        <w:tabs>
          <w:tab w:leader="none" w:pos="234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Upon exercise, payment or delivery pursuant to an Award, the Administrator may require a Participant to certify in a manner acceptable to the Company that the Participant has not engaged in any Detrimental Activity.</w:t>
      </w:r>
    </w:p>
    <w:p>
      <w:pPr>
        <w:spacing w:after="0" w:line="170" w:lineRule="exact"/>
        <w:rPr>
          <w:rFonts w:ascii="Arial" w:cs="Arial" w:eastAsia="Arial" w:hAnsi="Arial"/>
          <w:sz w:val="18"/>
          <w:szCs w:val="18"/>
          <w:color w:val="auto"/>
        </w:rPr>
      </w:pPr>
    </w:p>
    <w:p>
      <w:pPr>
        <w:ind w:firstLine="1953"/>
        <w:spacing w:after="0" w:line="277" w:lineRule="auto"/>
        <w:tabs>
          <w:tab w:leader="none" w:pos="241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Unless the Award Agreement specifies otherwise, the Administrator may cancel, rescind, suspend, withhold or otherwise limit or restrict any unexpired, unpaid or deferred Awards at any time if the Participant engages in any Detrimental Activity.</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39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a Participant engages in Detrimental Activity after any exercise, payment or delivery pursuant to an Award, during any period for which any restrictive covenant prohibiting such activity is applicable to the Participant, such exercise, payment or delivery may be rescinded within one year thereafter. In the event of any such rescission, the Participant shall pay to the Company the amount of any gain realized or payment received as a result of the exercise, payment or delivery, in such manner and on such terms and conditions as may be required by the Company. The Company will be entitled to set-off against the amount of any such gain any amount owed to the Participant by the Company.</w:t>
      </w:r>
    </w:p>
    <w:p>
      <w:pPr>
        <w:spacing w:after="0" w:line="168" w:lineRule="exact"/>
        <w:rPr>
          <w:rFonts w:ascii="Arial" w:cs="Arial" w:eastAsia="Arial" w:hAnsi="Arial"/>
          <w:sz w:val="17"/>
          <w:szCs w:val="17"/>
          <w:color w:val="auto"/>
        </w:rPr>
      </w:pPr>
    </w:p>
    <w:p>
      <w:pPr>
        <w:ind w:left="1300" w:hanging="644"/>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Market Stand-Off.</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6"/>
          <w:szCs w:val="16"/>
          <w:color w:val="auto"/>
        </w:rPr>
        <w:t>Each Option Agreement and Award Agreement will provide that, in connection with any underwritten public offering by the Company of its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equity securities, the Participant shall agree not to sell, make any short sale of, loan, hypothecate, pledge, grant any option for the repurchase of, transfer the economic consequences of ownership or otherwise dispose or transfer for value or otherwise agree to engage in any of the foregoing transactions with respect to any Common Stock without the prior written consent of the Company or its underwriters, for such period from and after the effective date of such registration statement as may be requested by the Company or such underwriters (the </w:t>
      </w:r>
      <w:r>
        <w:rPr>
          <w:rFonts w:ascii="Arial" w:cs="Arial" w:eastAsia="Arial" w:hAnsi="Arial"/>
          <w:sz w:val="17"/>
          <w:szCs w:val="17"/>
          <w:b w:val="1"/>
          <w:bCs w:val="1"/>
          <w:i w:val="1"/>
          <w:iCs w:val="1"/>
          <w:color w:val="auto"/>
        </w:rPr>
        <w:t>“Market Stand-Off”</w:t>
      </w:r>
      <w:r>
        <w:rPr>
          <w:rFonts w:ascii="Arial" w:cs="Arial" w:eastAsia="Arial" w:hAnsi="Arial"/>
          <w:sz w:val="17"/>
          <w:szCs w:val="17"/>
          <w:color w:val="auto"/>
        </w:rPr>
        <w:t>). In order to enforce the Market Stand-Off, the Company may impose stop-transfer instructions with respect to the shares of Common Stock acquired under the Plan until the end of the applicable stand-off period. If there is any change in the number of outstanding shares of Common Stock by reason of a stock split, reverse stock split, stock dividend, recapitalization, combination, reclassification, dissolution or liquidation of the Company, any corporate separation or division (including, but not limited to, a split-up, a split-off or a spin-off), a merger or consolidation; a reverse merger or similar transaction, then any new, substituted or additional securities that are by reason of such transaction distributed with respect to any shares of Common Stock subject to the Market Stand-Off, or into which such shares of Common Stock thereby become convertible, will immediately be subject to the Market Stand-Off.</w:t>
      </w:r>
    </w:p>
    <w:p>
      <w:pPr>
        <w:spacing w:after="0" w:line="176"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Plan shall become effective as of the Effective Date, but no Award may be exercised (or, in the case of a stock Award, may be granted) unless and until the Plan has been approved by the stockholders of the Company, which approval must be within 12 months before or after the date the Plan is adopted by the Board.</w:t>
      </w:r>
    </w:p>
    <w:p>
      <w:pPr>
        <w:spacing w:after="0" w:line="177"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Suspension of the Plan.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5" w:name="page126"/>
    <w:bookmarkEnd w:id="125"/>
    <w:p>
      <w:pPr>
        <w:jc w:val="both"/>
        <w:ind w:firstLine="1297"/>
        <w:spacing w:after="0" w:line="286" w:lineRule="auto"/>
        <w:rPr>
          <w:sz w:val="20"/>
          <w:szCs w:val="20"/>
          <w:color w:val="auto"/>
        </w:rPr>
      </w:pPr>
      <w:r>
        <w:rPr>
          <w:rFonts w:ascii="Arial" w:cs="Arial" w:eastAsia="Arial" w:hAnsi="Arial"/>
          <w:sz w:val="17"/>
          <w:szCs w:val="17"/>
          <w:color w:val="auto"/>
        </w:rPr>
        <w:t xml:space="preserve">The Plan will terminate automatically on the day before the 10th anniversary of the Effective Date. No Award may be granted pursuant to the Plan after such date, but Awards theretofore granted may extend beyond that date. The Board may suspend or terminate the Plan at any earlier date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No Awards may be granted under the Plan while the Plan is suspended or after it is terminated.</w:t>
      </w:r>
    </w:p>
    <w:p>
      <w:pPr>
        <w:spacing w:after="0" w:line="162"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the Plan, without regard to such state’s conflict of law rules.</w:t>
      </w:r>
    </w:p>
    <w:p>
      <w:pPr>
        <w:spacing w:after="0" w:line="166"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Company and any Affiliate that is in existence or that hereinafter comes into existence will have no liability to any Participant or any other person as to (a) the non-issuance or sale of shares of Common Stock as to which the Company has been unable to obtain from any regulatory body having jurisdiction the authority deemed by counsel to the Company necessary to the lawful issuance and sale of any shares hereunder; (b) any tax consequences expected, but not realized, by a Participant or any other person due to the receipt, exercise, or settlement of any Award granted hereunder; or (c) the failure of any Award that is determined to constitute “nonqualified deferred compensation” to comply with Section 409A of the Code and the regulations thereunder.</w:t>
      </w:r>
    </w:p>
    <w:p>
      <w:pPr>
        <w:spacing w:after="0" w:line="189"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6"/>
          <w:szCs w:val="16"/>
          <w:color w:val="auto"/>
        </w:rPr>
        <w:t>To record the adoption of the Plan by the Board, the Company has caused its authorized officer to execute the Plan as of the date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8" w:right="239" w:bottom="1440" w:gutter="0" w:footer="0" w:header="0"/>
        </w:sectPr>
      </w:pPr>
    </w:p>
    <w:bookmarkStart w:id="126" w:name="page127"/>
    <w:bookmarkEnd w:id="126"/>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upon authorization of the Board of Directors, the undersigned has caused the Diamondback Energy, Inc. 2012</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Incentive Plan to be executed effective as of the 10th day of October, 2012.</w:t>
      </w:r>
    </w:p>
    <w:p>
      <w:pPr>
        <w:spacing w:after="0" w:line="16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-10160</wp:posOffset>
            </wp:positionV>
            <wp:extent cx="1539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Randall J. Holder,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2012 Equity Incentive Plan</w:t>
      </w:r>
    </w:p>
    <w:p>
      <w:pPr>
        <w:sectPr>
          <w:pgSz w:w="11900" w:h="16838" w:orient="portrait"/>
          <w:cols w:equalWidth="0" w:num="1">
            <w:col w:w="11420"/>
          </w:cols>
          <w:pgMar w:left="240" w:top="364"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ADVISORY SERVICES AGREEMENT</w:t>
      </w:r>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ADVISORY SERVICES AGREEMENT </w:t>
      </w:r>
      <w:r>
        <w:rPr>
          <w:rFonts w:ascii="Arial" w:cs="Arial" w:eastAsia="Arial" w:hAnsi="Arial"/>
          <w:sz w:val="18"/>
          <w:szCs w:val="18"/>
          <w:color w:val="auto"/>
        </w:rPr>
        <w:t>dated as of October 11, 2012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DIAMONDBACK ENERGY,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WEXFORD CAPITAL LP</w:t>
      </w:r>
      <w:r>
        <w:rPr>
          <w:rFonts w:ascii="Arial" w:cs="Arial" w:eastAsia="Arial" w:hAnsi="Arial"/>
          <w:sz w:val="18"/>
          <w:szCs w:val="18"/>
          <w:color w:val="auto"/>
        </w:rPr>
        <w:t>, a Delaware limited partnership (“</w:t>
      </w:r>
      <w:r>
        <w:rPr>
          <w:rFonts w:ascii="Arial" w:cs="Arial" w:eastAsia="Arial" w:hAnsi="Arial"/>
          <w:sz w:val="18"/>
          <w:szCs w:val="18"/>
          <w:u w:val="single" w:color="auto"/>
          <w:color w:val="auto"/>
        </w:rPr>
        <w:t>Wexford</w:t>
      </w:r>
      <w:r>
        <w:rPr>
          <w:rFonts w:ascii="Arial" w:cs="Arial" w:eastAsia="Arial" w:hAnsi="Arial"/>
          <w:sz w:val="18"/>
          <w:szCs w:val="18"/>
          <w:color w:val="auto"/>
        </w:rPr>
        <w:t>”).</w:t>
      </w:r>
    </w:p>
    <w:p>
      <w:pPr>
        <w:spacing w:after="0" w:line="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during the period from the formation of Windsor Permian LLC (“</w:t>
      </w:r>
      <w:r>
        <w:rPr>
          <w:rFonts w:ascii="Arial" w:cs="Arial" w:eastAsia="Arial" w:hAnsi="Arial"/>
          <w:sz w:val="18"/>
          <w:szCs w:val="18"/>
          <w:u w:val="single" w:color="auto"/>
          <w:color w:val="auto"/>
        </w:rPr>
        <w:t>Windsor Permian</w:t>
      </w:r>
      <w:r>
        <w:rPr>
          <w:rFonts w:ascii="Arial" w:cs="Arial" w:eastAsia="Arial" w:hAnsi="Arial"/>
          <w:sz w:val="18"/>
          <w:szCs w:val="18"/>
          <w:color w:val="auto"/>
        </w:rPr>
        <w:t>”) through the Company’s initial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Offering</w:t>
      </w:r>
      <w:r>
        <w:rPr>
          <w:rFonts w:ascii="Arial" w:cs="Arial" w:eastAsia="Arial" w:hAnsi="Arial"/>
          <w:sz w:val="18"/>
          <w:szCs w:val="18"/>
          <w:color w:val="auto"/>
        </w:rPr>
        <w:t>”), Wexford served as the manager of Windsor Permian and certain of its affiliates and, as a result, has extensive background and familiarity with the Company, its business and assets; and</w:t>
      </w:r>
    </w:p>
    <w:p>
      <w:pPr>
        <w:spacing w:after="0" w:line="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Wexford has extensive knowledge and experience with respect to managing public and private businesses, capital markets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transactions, long range planning and business development and other matters that are significant to the future business and operations of the Company; and</w:t>
      </w:r>
    </w:p>
    <w:p>
      <w:pPr>
        <w:spacing w:after="0" w:line="9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benefit from Wexford’s expertise and has requested that Wexford provide assistance and advise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time to time with respect to certain financial and strategic matters related to the business and affairs of the Company and its subsidiaries;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Wexford has agreed to the Company’s request on the terms and conditions specified herein.</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Company and Wexford agree as follows: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Retention of Wexford.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retains Wexford, and Wexford accepts such retention, upon the terms and conditions set forth in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Term; Termination.</w:t>
      </w:r>
    </w:p>
    <w:p>
      <w:pPr>
        <w:spacing w:after="0" w:line="148" w:lineRule="exact"/>
        <w:rPr>
          <w:sz w:val="20"/>
          <w:szCs w:val="20"/>
          <w:color w:val="auto"/>
        </w:rPr>
      </w:pPr>
    </w:p>
    <w:p>
      <w:pPr>
        <w:jc w:val="both"/>
        <w:ind w:firstLine="656"/>
        <w:spacing w:after="0" w:line="259" w:lineRule="auto"/>
        <w:tabs>
          <w:tab w:leader="none" w:pos="106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closing date of the Offering and shall terminate on the second anniversary thereof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Upon expiration of the Initial Term this Agreement shall automatically continue for additional one-year periods unless terminated in writing by either party at least ten days prior to the expiration of the then current Term (each extension period being referred to herein as the “</w:t>
      </w:r>
      <w:r>
        <w:rPr>
          <w:rFonts w:ascii="Arial" w:cs="Arial" w:eastAsia="Arial" w:hAnsi="Arial"/>
          <w:sz w:val="18"/>
          <w:szCs w:val="18"/>
          <w:u w:val="single" w:color="auto"/>
          <w:color w:val="auto"/>
        </w:rPr>
        <w:t>Extension Term</w:t>
      </w:r>
      <w:r>
        <w:rPr>
          <w:rFonts w:ascii="Arial" w:cs="Arial" w:eastAsia="Arial" w:hAnsi="Arial"/>
          <w:sz w:val="18"/>
          <w:szCs w:val="18"/>
          <w:color w:val="auto"/>
        </w:rPr>
        <w:t>,” and together with the Initial Term,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321" w:lineRule="exact"/>
        <w:rPr>
          <w:rFonts w:ascii="Arial" w:cs="Arial" w:eastAsia="Arial" w:hAnsi="Arial"/>
          <w:sz w:val="18"/>
          <w:szCs w:val="18"/>
          <w:color w:val="auto"/>
        </w:rPr>
      </w:pPr>
    </w:p>
    <w:p>
      <w:pPr>
        <w:jc w:val="both"/>
        <w:ind w:firstLine="656"/>
        <w:spacing w:after="0" w:line="286" w:lineRule="auto"/>
        <w:tabs>
          <w:tab w:leader="none" w:pos="107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may be terminated by either party at any time, with or without cause, upon 30 days’ prior written notice to the other party. In the event of termination by the Company, the Company shall be obligated to pay all amounts due to Wexford through the remaining Term of the Agreement. The provisions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shall survive any termination of this Agreement.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Advisory Services.</w:t>
      </w:r>
    </w:p>
    <w:p>
      <w:pPr>
        <w:spacing w:after="0" w:line="148" w:lineRule="exact"/>
        <w:rPr>
          <w:sz w:val="20"/>
          <w:szCs w:val="20"/>
          <w:color w:val="auto"/>
        </w:rPr>
      </w:pPr>
    </w:p>
    <w:p>
      <w:pPr>
        <w:jc w:val="both"/>
        <w:ind w:firstLine="656"/>
        <w:spacing w:after="0" w:line="293" w:lineRule="auto"/>
        <w:tabs>
          <w:tab w:leader="none" w:pos="107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Wexford shall advise the Company concerning such matters that relate to financial and strategic matters of the Company and its subsidiaries (the “</w:t>
      </w:r>
      <w:r>
        <w:rPr>
          <w:rFonts w:ascii="Arial" w:cs="Arial" w:eastAsia="Arial" w:hAnsi="Arial"/>
          <w:sz w:val="16"/>
          <w:szCs w:val="16"/>
          <w:u w:val="single" w:color="auto"/>
          <w:color w:val="auto"/>
        </w:rPr>
        <w:t>Services</w:t>
      </w:r>
      <w:r>
        <w:rPr>
          <w:rFonts w:ascii="Arial" w:cs="Arial" w:eastAsia="Arial" w:hAnsi="Arial"/>
          <w:sz w:val="16"/>
          <w:szCs w:val="16"/>
          <w:color w:val="auto"/>
        </w:rPr>
        <w:t>”), in each case as the Company shall reasonably request by way of notice to Wexford. The Services shall not extend to the day-to-day business or operations of the Company and shall not include any services provided by officers or employees in their capacity as directors of the Company. If requested to provide Services, Wexford shall devote such time to any such request as Wexford shall deem, in its sole discretion, necessary. Such Services, in Wexford’s sole discretion, shall be rendered in person or by telephone or other communication. Wexford shall have no obligation to the Company as to the manner of rendering the Services hereunder, and the Company shall not have any right to dictate or direct the details of the Services rendered hereunder.</w:t>
      </w:r>
    </w:p>
    <w:p>
      <w:pPr>
        <w:spacing w:after="0" w:line="299" w:lineRule="exact"/>
        <w:rPr>
          <w:rFonts w:ascii="Arial" w:cs="Arial" w:eastAsia="Arial" w:hAnsi="Arial"/>
          <w:sz w:val="16"/>
          <w:szCs w:val="16"/>
          <w:color w:val="auto"/>
        </w:rPr>
      </w:pPr>
    </w:p>
    <w:p>
      <w:pPr>
        <w:ind w:firstLine="656"/>
        <w:spacing w:after="0" w:line="277" w:lineRule="auto"/>
        <w:tabs>
          <w:tab w:leader="none" w:pos="108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Wexford shall perform all Services to be provided hereunder as an independent contractor to the Company and not as an employee, agent or representative of the Company. Wexford shall have no authority to act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94" w:right="239" w:bottom="1440" w:gutter="0" w:footer="0" w:header="0"/>
        </w:sectPr>
      </w:pPr>
    </w:p>
    <w:bookmarkStart w:id="128" w:name="page129"/>
    <w:bookmarkEnd w:id="128"/>
    <w:p>
      <w:pPr>
        <w:ind w:right="20"/>
        <w:spacing w:after="0" w:line="277" w:lineRule="auto"/>
        <w:rPr>
          <w:sz w:val="20"/>
          <w:szCs w:val="20"/>
          <w:color w:val="auto"/>
        </w:rPr>
      </w:pPr>
      <w:r>
        <w:rPr>
          <w:rFonts w:ascii="Arial" w:cs="Arial" w:eastAsia="Arial" w:hAnsi="Arial"/>
          <w:sz w:val="18"/>
          <w:szCs w:val="18"/>
          <w:color w:val="auto"/>
        </w:rPr>
        <w:t>or to bind the Company without its prior written consent. Nothing in this Agreement is intended nor shall be deemed to create any partnership, agency or joint venture relationship by or between the parties.</w:t>
      </w:r>
    </w:p>
    <w:p>
      <w:pPr>
        <w:spacing w:after="0" w:line="306" w:lineRule="exact"/>
        <w:rPr>
          <w:sz w:val="20"/>
          <w:szCs w:val="20"/>
          <w:color w:val="auto"/>
        </w:rPr>
      </w:pPr>
    </w:p>
    <w:p>
      <w:pPr>
        <w:jc w:val="both"/>
        <w:ind w:firstLine="656"/>
        <w:spacing w:after="0" w:line="279" w:lineRule="auto"/>
        <w:tabs>
          <w:tab w:leader="none" w:pos="104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This Agreement shall not prohibit, restrict or limit in any manner Wexford or any of its partners or Affiliates or any director, officer, partner or employee of Wexford or any of its partners or Affiliates (collectively, “</w:t>
      </w:r>
      <w:r>
        <w:rPr>
          <w:rFonts w:ascii="Arial" w:cs="Arial" w:eastAsia="Arial" w:hAnsi="Arial"/>
          <w:sz w:val="17"/>
          <w:szCs w:val="17"/>
          <w:u w:val="single" w:color="auto"/>
          <w:color w:val="auto"/>
        </w:rPr>
        <w:t>Wexford Persons</w:t>
      </w:r>
      <w:r>
        <w:rPr>
          <w:rFonts w:ascii="Arial" w:cs="Arial" w:eastAsia="Arial" w:hAnsi="Arial"/>
          <w:sz w:val="17"/>
          <w:szCs w:val="17"/>
          <w:color w:val="auto"/>
        </w:rPr>
        <w:t>”) from engaging in other activities, whether or not competitive with any business of the Company or any of its respective subsidiaries or Affiliates. This Agreement shall not require Wexford or any Wexford Person to make available to the Company any investment or investment opportunity about which Wexford or any Wexford Person shall become aware.</w:t>
      </w:r>
    </w:p>
    <w:p>
      <w:pPr>
        <w:spacing w:after="0" w:line="306" w:lineRule="exact"/>
        <w:rPr>
          <w:rFonts w:ascii="Arial" w:cs="Arial" w:eastAsia="Arial" w:hAnsi="Arial"/>
          <w:sz w:val="17"/>
          <w:szCs w:val="17"/>
          <w:color w:val="auto"/>
        </w:rPr>
      </w:pPr>
    </w:p>
    <w:p>
      <w:pPr>
        <w:jc w:val="both"/>
        <w:ind w:firstLine="656"/>
        <w:spacing w:after="0" w:line="264" w:lineRule="auto"/>
        <w:tabs>
          <w:tab w:leader="none" w:pos="104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the Company is dissatisfied in any manner with the Services provided by Wexford hereunder or with Wexford’s performance under this Agreement, the Company’s sole remedy shall be to terminate this Agreement. Under no circumstances shall the Company have any claim for damages against Wexford or any Wexford Person arising out of or relating to this Agreement.</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Compensation.</w:t>
      </w:r>
    </w:p>
    <w:p>
      <w:pPr>
        <w:spacing w:after="0" w:line="148" w:lineRule="exact"/>
        <w:rPr>
          <w:sz w:val="20"/>
          <w:szCs w:val="20"/>
          <w:color w:val="auto"/>
        </w:rPr>
      </w:pPr>
    </w:p>
    <w:p>
      <w:pPr>
        <w:jc w:val="both"/>
        <w:ind w:firstLine="656"/>
        <w:spacing w:after="0" w:line="264" w:lineRule="auto"/>
        <w:tabs>
          <w:tab w:leader="none" w:pos="105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Advisory Fee</w:t>
      </w:r>
      <w:r>
        <w:rPr>
          <w:rFonts w:ascii="Arial" w:cs="Arial" w:eastAsia="Arial" w:hAnsi="Arial"/>
          <w:sz w:val="18"/>
          <w:szCs w:val="18"/>
          <w:color w:val="auto"/>
        </w:rPr>
        <w:t>. As consideration for the Services provided by Wexford hereunder, the Company agrees to pay to Wexford an annual fee in the amount of $500,000 payable in advance in equal monthly installments, on the first business day of each month during the Term and prorated for any partial calendar month (the “</w:t>
      </w:r>
      <w:r>
        <w:rPr>
          <w:rFonts w:ascii="Arial" w:cs="Arial" w:eastAsia="Arial" w:hAnsi="Arial"/>
          <w:sz w:val="18"/>
          <w:szCs w:val="18"/>
          <w:u w:val="single" w:color="auto"/>
          <w:color w:val="auto"/>
        </w:rPr>
        <w:t>Consulting Fee</w:t>
      </w:r>
      <w:r>
        <w:rPr>
          <w:rFonts w:ascii="Arial" w:cs="Arial" w:eastAsia="Arial" w:hAnsi="Arial"/>
          <w:sz w:val="18"/>
          <w:szCs w:val="18"/>
          <w:color w:val="auto"/>
        </w:rPr>
        <w:t>”).</w:t>
      </w:r>
    </w:p>
    <w:p>
      <w:pPr>
        <w:spacing w:after="0" w:line="316" w:lineRule="exact"/>
        <w:rPr>
          <w:rFonts w:ascii="Arial" w:cs="Arial" w:eastAsia="Arial" w:hAnsi="Arial"/>
          <w:sz w:val="18"/>
          <w:szCs w:val="18"/>
          <w:color w:val="auto"/>
        </w:rPr>
      </w:pPr>
    </w:p>
    <w:p>
      <w:pPr>
        <w:jc w:val="both"/>
        <w:ind w:firstLine="656"/>
        <w:spacing w:after="0" w:line="264" w:lineRule="auto"/>
        <w:tabs>
          <w:tab w:leader="none" w:pos="114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Upon presentation by Wexford to the Company of such documentation as may be reasonably requested by the Company, the Company shall reimburse Wexford for all reasonable out-of-pocket expenses, including, without limitation, reasonable legal fees and expenses, and other disbursements incurred by Wexford or any Wexford Person in the performance of Wexford’s obligations hereunder.</w:t>
      </w:r>
    </w:p>
    <w:p>
      <w:pPr>
        <w:spacing w:after="0" w:line="32" w:lineRule="exact"/>
        <w:rPr>
          <w:rFonts w:ascii="Arial" w:cs="Arial" w:eastAsia="Arial" w:hAnsi="Arial"/>
          <w:sz w:val="18"/>
          <w:szCs w:val="18"/>
          <w:color w:val="auto"/>
        </w:rPr>
      </w:pPr>
    </w:p>
    <w:p>
      <w:pPr>
        <w:jc w:val="both"/>
        <w:ind w:firstLine="656"/>
        <w:spacing w:after="0" w:line="259" w:lineRule="auto"/>
        <w:tabs>
          <w:tab w:leader="none" w:pos="109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Services</w:t>
      </w:r>
      <w:r>
        <w:rPr>
          <w:rFonts w:ascii="Arial" w:cs="Arial" w:eastAsia="Arial" w:hAnsi="Arial"/>
          <w:sz w:val="18"/>
          <w:szCs w:val="18"/>
          <w:color w:val="auto"/>
        </w:rPr>
        <w:t>. If the Company requests that Wexford provide services in addition to the Services, such as those relating to proposed acquisitions or divestitures, and Wexford agrees to provide such additional services, the Company and Wexford shall negotiate the additional market-based fees to be paid by the Company to Wexford or its Affiliates for such additional services, which fees shall be approved by the Company’s independent directors.</w:t>
      </w:r>
    </w:p>
    <w:p>
      <w:pPr>
        <w:spacing w:after="0" w:line="321" w:lineRule="exact"/>
        <w:rPr>
          <w:rFonts w:ascii="Arial" w:cs="Arial" w:eastAsia="Arial" w:hAnsi="Arial"/>
          <w:sz w:val="18"/>
          <w:szCs w:val="18"/>
          <w:color w:val="auto"/>
        </w:rPr>
      </w:pPr>
    </w:p>
    <w:p>
      <w:pPr>
        <w:ind w:firstLine="656"/>
        <w:spacing w:after="0" w:line="277" w:lineRule="auto"/>
        <w:tabs>
          <w:tab w:leader="none" w:pos="114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Non-Exclusive</w:t>
      </w:r>
      <w:r>
        <w:rPr>
          <w:rFonts w:ascii="Arial" w:cs="Arial" w:eastAsia="Arial" w:hAnsi="Arial"/>
          <w:sz w:val="18"/>
          <w:szCs w:val="18"/>
          <w:color w:val="auto"/>
        </w:rPr>
        <w:t>. Nothing in this Agreement shall have the effect of prohibiting Wexford or any of its Affiliates from receiving from the Company or any of its subsidiaries or Affiliates any other fees.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148" w:lineRule="exact"/>
        <w:rPr>
          <w:sz w:val="20"/>
          <w:szCs w:val="20"/>
          <w:color w:val="auto"/>
        </w:rPr>
      </w:pPr>
    </w:p>
    <w:p>
      <w:pPr>
        <w:jc w:val="both"/>
        <w:ind w:firstLine="656"/>
        <w:spacing w:after="0" w:line="286" w:lineRule="auto"/>
        <w:tabs>
          <w:tab w:leader="none" w:pos="11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will indemnify and hold harmless Wexford and each Wexford Person (each such person,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losses, claims, damages, liabilities, costs and expenses, whether joint or several (the “</w:t>
      </w:r>
      <w:r>
        <w:rPr>
          <w:rFonts w:ascii="Arial" w:cs="Arial" w:eastAsia="Arial" w:hAnsi="Arial"/>
          <w:sz w:val="16"/>
          <w:szCs w:val="16"/>
          <w:u w:val="single" w:color="auto"/>
          <w:color w:val="auto"/>
        </w:rPr>
        <w:t>Liabilities</w:t>
      </w:r>
      <w:r>
        <w:rPr>
          <w:rFonts w:ascii="Arial" w:cs="Arial" w:eastAsia="Arial" w:hAnsi="Arial"/>
          <w:sz w:val="16"/>
          <w:szCs w:val="16"/>
          <w:color w:val="auto"/>
        </w:rPr>
        <w:t>”), related to, arising out of or in connection with this Agreement or the Services contemplated by this Agreement or the engagement of Wexford pursuant to, and the performance Wexford of the Services contemplated by, this Agreement, whether or not pending or threatened, whether or not an Indemnified Party is a party, whether or not resulting in any liability and whether or not such action, claim, suit, investigation or proceeding is initiated or brought by or on behalf of the Company. The Company will reimburse any Indemnified Party for all reasonable costs and expenses (including attorneys’ fees and expenses) as they are incurred in connection with investigating, preparing, pursuing, defending or assisting in the defense of any action, claim, suit, investigation or proceeding for which the Indemnified Party would be entitled to indemnification under the terms of the previous sentence, or any action or proceeding arising therefrom, whether or not such Indemnified Party is a party thereto. The Company will not be liable under the foregoing indemnification provision with respect to any particular Liability of an Indemnified Party solely to the extent that such is determined by a court, in a final judgment from which no further appeal may be taken, to have resulted primarily from the gross negligence or willful misconduct of such Indemnified Party. The attorneys’ fees and other expenses of an Indemnified Party shall be paid by the Company as they are incurred upon receipt of an agreement by or on behalf of the Indemnified Party to repay such amounts if it is finally judicially determined that the Liabilities in question resulted primarily from the gross negligence or willful misconduct of such Indemnified Party.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129" w:name="page130"/>
    <w:bookmarkEnd w:id="129"/>
    <w:p>
      <w:pPr>
        <w:jc w:val="both"/>
        <w:ind w:firstLine="656"/>
        <w:spacing w:after="0" w:line="279" w:lineRule="auto"/>
        <w:tabs>
          <w:tab w:leader="none" w:pos="11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acknowledges and agrees that the Indemnified Parties have certain rights to indemnification and/or insurance provided by Wexford and certain of its affiliates and that such additional rights to indemnification and/or insurance are intended to be secondary to the primary obligation of the Company to indemnify the Indemnified Parties hereunder. The Company’s obligations to provide indemnification hereunder shall not be limited in any manner by the availability of such additional indemnification and/or insurance that may be available to the Indemnified Parties.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Accuracy of Information.</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shall furnish or cause to be furnished to Wexford such information as Wexford believes reasonably appropriate in connection with providing the services contemplated by this Agreement (all such information so furnished, the “</w:t>
      </w:r>
      <w:r>
        <w:rPr>
          <w:rFonts w:ascii="Arial" w:cs="Arial" w:eastAsia="Arial" w:hAnsi="Arial"/>
          <w:sz w:val="17"/>
          <w:szCs w:val="17"/>
          <w:u w:val="single" w:color="auto"/>
          <w:color w:val="auto"/>
        </w:rPr>
        <w:t>Information</w:t>
      </w:r>
      <w:r>
        <w:rPr>
          <w:rFonts w:ascii="Arial" w:cs="Arial" w:eastAsia="Arial" w:hAnsi="Arial"/>
          <w:sz w:val="17"/>
          <w:szCs w:val="17"/>
          <w:color w:val="auto"/>
        </w:rPr>
        <w:t>”). The Company recognizes and confirms that Wexford (a) will use and rely primarily on the Information and on information available from generally recognized public sources in performing the services contemplated by this Agreement without independent verification, (b) does not assume responsibility for the accuracy or completeness of the Information and such other information and (c) is entitled to rely upon the Information without independent verification.</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Notices.</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notices, requests, consents and other communications hereunder shall be in writing and shall be deemed sufficient if personally delivered, sent by nationally-recognized overnight courier, or by registered or certified mail, return receipt requested and postage prepaid, addressed as follows:</w:t>
      </w:r>
    </w:p>
    <w:p>
      <w:pPr>
        <w:spacing w:after="0" w:line="309" w:lineRule="exact"/>
        <w:rPr>
          <w:sz w:val="20"/>
          <w:szCs w:val="20"/>
          <w:color w:val="auto"/>
        </w:rPr>
      </w:pPr>
    </w:p>
    <w:p>
      <w:pPr>
        <w:ind w:left="2660" w:right="7300" w:hanging="910"/>
        <w:spacing w:after="0" w:line="352" w:lineRule="auto"/>
        <w:tabs>
          <w:tab w:leader="none" w:pos="2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to Wexford, to: Wexford Capital LP</w:t>
      </w:r>
    </w:p>
    <w:p>
      <w:pPr>
        <w:ind w:left="2660" w:right="6460"/>
        <w:spacing w:after="0" w:line="313" w:lineRule="auto"/>
        <w:rPr>
          <w:rFonts w:ascii="Arial" w:cs="Arial" w:eastAsia="Arial" w:hAnsi="Arial"/>
          <w:sz w:val="16"/>
          <w:szCs w:val="16"/>
          <w:color w:val="auto"/>
        </w:rPr>
      </w:pPr>
      <w:r>
        <w:rPr>
          <w:rFonts w:ascii="Arial" w:cs="Arial" w:eastAsia="Arial" w:hAnsi="Arial"/>
          <w:sz w:val="18"/>
          <w:szCs w:val="18"/>
          <w:color w:val="auto"/>
        </w:rPr>
        <w:t>411 West Putnam Avenue Greenwich, CT 06830 Attention: Jay Maymudes, CFO Telephone: (203) 862-7050 with a copy to:</w:t>
      </w:r>
    </w:p>
    <w:p>
      <w:pPr>
        <w:ind w:left="2660"/>
        <w:spacing w:after="0"/>
        <w:rPr>
          <w:rFonts w:ascii="Arial" w:cs="Arial" w:eastAsia="Arial" w:hAnsi="Arial"/>
          <w:sz w:val="16"/>
          <w:szCs w:val="16"/>
          <w:color w:val="auto"/>
        </w:rPr>
      </w:pPr>
      <w:r>
        <w:rPr>
          <w:rFonts w:ascii="Arial" w:cs="Arial" w:eastAsia="Arial" w:hAnsi="Arial"/>
          <w:sz w:val="18"/>
          <w:szCs w:val="18"/>
          <w:color w:val="auto"/>
        </w:rPr>
        <w:t>Wexford Capital LP</w:t>
      </w:r>
    </w:p>
    <w:p>
      <w:pPr>
        <w:spacing w:after="0" w:line="63" w:lineRule="exact"/>
        <w:rPr>
          <w:rFonts w:ascii="Arial" w:cs="Arial" w:eastAsia="Arial" w:hAnsi="Arial"/>
          <w:sz w:val="16"/>
          <w:szCs w:val="16"/>
          <w:color w:val="auto"/>
        </w:rPr>
      </w:pPr>
    </w:p>
    <w:p>
      <w:pPr>
        <w:ind w:left="2660" w:right="6900"/>
        <w:spacing w:after="0" w:line="352" w:lineRule="auto"/>
        <w:rPr>
          <w:rFonts w:ascii="Arial" w:cs="Arial" w:eastAsia="Arial" w:hAnsi="Arial"/>
          <w:sz w:val="16"/>
          <w:szCs w:val="16"/>
          <w:color w:val="auto"/>
        </w:rPr>
      </w:pPr>
      <w:r>
        <w:rPr>
          <w:rFonts w:ascii="Arial" w:cs="Arial" w:eastAsia="Arial" w:hAnsi="Arial"/>
          <w:sz w:val="16"/>
          <w:szCs w:val="16"/>
          <w:color w:val="auto"/>
        </w:rPr>
        <w:t>411 West Putnam Avenue Greenwich, CT 06830</w:t>
      </w:r>
    </w:p>
    <w:p>
      <w:pPr>
        <w:ind w:left="2660"/>
        <w:spacing w:after="0"/>
        <w:rPr>
          <w:rFonts w:ascii="Arial" w:cs="Arial" w:eastAsia="Arial" w:hAnsi="Arial"/>
          <w:sz w:val="16"/>
          <w:szCs w:val="16"/>
          <w:color w:val="auto"/>
        </w:rPr>
      </w:pPr>
      <w:r>
        <w:rPr>
          <w:rFonts w:ascii="Arial" w:cs="Arial" w:eastAsia="Arial" w:hAnsi="Arial"/>
          <w:sz w:val="18"/>
          <w:szCs w:val="18"/>
          <w:color w:val="auto"/>
        </w:rPr>
        <w:t>Attention: Arthur Amron, General Counsel</w:t>
      </w:r>
    </w:p>
    <w:p>
      <w:pPr>
        <w:spacing w:after="0" w:line="63" w:lineRule="exact"/>
        <w:rPr>
          <w:rFonts w:ascii="Arial" w:cs="Arial" w:eastAsia="Arial" w:hAnsi="Arial"/>
          <w:sz w:val="16"/>
          <w:szCs w:val="16"/>
          <w:color w:val="auto"/>
        </w:rPr>
      </w:pPr>
    </w:p>
    <w:p>
      <w:pPr>
        <w:ind w:left="2660"/>
        <w:spacing w:after="0"/>
        <w:rPr>
          <w:rFonts w:ascii="Arial" w:cs="Arial" w:eastAsia="Arial" w:hAnsi="Arial"/>
          <w:sz w:val="16"/>
          <w:szCs w:val="16"/>
          <w:color w:val="auto"/>
        </w:rPr>
      </w:pPr>
      <w:r>
        <w:rPr>
          <w:rFonts w:ascii="Arial" w:cs="Arial" w:eastAsia="Arial" w:hAnsi="Arial"/>
          <w:sz w:val="18"/>
          <w:szCs w:val="18"/>
          <w:color w:val="auto"/>
        </w:rPr>
        <w:t>Telephone: (203) 862-7012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49" w:right="239" w:bottom="1440" w:gutter="0" w:footer="0" w:header="0"/>
        </w:sectPr>
      </w:pPr>
    </w:p>
    <w:bookmarkStart w:id="130" w:name="page131"/>
    <w:bookmarkEnd w:id="130"/>
    <w:p>
      <w:pPr>
        <w:ind w:left="2660" w:right="6820" w:hanging="910"/>
        <w:spacing w:after="0" w:line="313" w:lineRule="auto"/>
        <w:tabs>
          <w:tab w:leader="none" w:pos="2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to the Company, to: Diamondback Energy, Inc. 500 West Texas</w:t>
      </w:r>
    </w:p>
    <w:p>
      <w:pPr>
        <w:ind w:left="2660" w:right="6780"/>
        <w:spacing w:after="0" w:line="318" w:lineRule="auto"/>
        <w:rPr>
          <w:rFonts w:ascii="Arial" w:cs="Arial" w:eastAsia="Arial" w:hAnsi="Arial"/>
          <w:sz w:val="18"/>
          <w:szCs w:val="18"/>
          <w:color w:val="auto"/>
        </w:rPr>
      </w:pPr>
      <w:r>
        <w:rPr>
          <w:rFonts w:ascii="Arial" w:cs="Arial" w:eastAsia="Arial" w:hAnsi="Arial"/>
          <w:sz w:val="18"/>
          <w:szCs w:val="18"/>
          <w:color w:val="auto"/>
        </w:rPr>
        <w:t>Suite 1225 Midland, TX 79701 Attention: Travis Stice Telephone: (432) 221-7400 with a copy to: Diamondback Energy, Inc. 14301 Caliber Drive Suite 300</w:t>
      </w:r>
    </w:p>
    <w:p>
      <w:pPr>
        <w:spacing w:after="0" w:line="241" w:lineRule="exact"/>
        <w:rPr>
          <w:rFonts w:ascii="Arial" w:cs="Arial" w:eastAsia="Arial" w:hAnsi="Arial"/>
          <w:sz w:val="18"/>
          <w:szCs w:val="18"/>
          <w:color w:val="auto"/>
        </w:rPr>
      </w:pPr>
    </w:p>
    <w:p>
      <w:pPr>
        <w:ind w:left="2660" w:right="6780"/>
        <w:spacing w:after="0" w:line="382" w:lineRule="auto"/>
        <w:rPr>
          <w:rFonts w:ascii="Arial" w:cs="Arial" w:eastAsia="Arial" w:hAnsi="Arial"/>
          <w:sz w:val="18"/>
          <w:szCs w:val="18"/>
          <w:color w:val="auto"/>
        </w:rPr>
      </w:pPr>
      <w:r>
        <w:rPr>
          <w:rFonts w:ascii="Arial" w:cs="Arial" w:eastAsia="Arial" w:hAnsi="Arial"/>
          <w:sz w:val="16"/>
          <w:szCs w:val="16"/>
          <w:color w:val="auto"/>
        </w:rPr>
        <w:t>Oklahoma City, OK 73134 Attention: Randall Holder Telephone: (405) 463-6932</w:t>
      </w: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to such other address as the party to whom notice is to be given may have furnished to each other party in writing in accordance herewith. Any such notice or communication shall be deemed to have been received (i) in the case of personal delivery, on the date of such delivery, (ii) in the case of nationally-recognized overnight courier guaranteeing next day delivery, on the next business day after the date when sent, and (iii) in the case of mailing, on the fifth business day following that on which the piece of mail containing such communication is posted.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Benefits of Agreement.</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This Agreement shall bind and inure to the benefit of Wexford, the Company, the Indemnified Persons and any successors to or assigns of Wexford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may not be assigned by the Company without the prior written consent of Wexford.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Governing Law.</w:t>
      </w:r>
    </w:p>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laws of the State of New York (without giving effect to principles of conflicts of laws).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Headings.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headings are used for convenience only and shall in no way affect the construction of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Entire Agreement; Amendments.</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Agreement contains the entire understanding of the parties with respect to its subject matter and supersedes any and all prior agreements, and neither it nor any part of it may in any way be altered, amended, extended, waived, discharged or terminated except by a written agreement that specifically references this Agreement and the provisions to be so altered, amended, extended, waived, discharged or terminated is signed by each of the parties hereto and specifically states that it is intended to alter, amend, extend, waive, discharge or terminate this agreement or a provision hereof.</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Counterparts.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may be executed and delivered (including by facsimile transmission) in any number of counterparts, and each such counterpart shall be deemed to be an original instrument, but all such counterparts together shall constitute but one agreement. This Agreement shall become effective when each party hereto shall have received a counterpart hereof signed by the other party 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0"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b w:val="1"/>
          <w:bCs w:val="1"/>
          <w:color w:val="auto"/>
        </w:rPr>
        <w:t>Section 13. Confidentiality.</w:t>
      </w:r>
    </w:p>
    <w:p>
      <w:pPr>
        <w:spacing w:after="0" w:line="1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Wexford agrees to maintain the confidentiality of the Confidential Information (as defined below), except that Wexford may disclose Confidential Information (a) to its partners, members, directors, officers, employees and advisors (and those of its Affiliates), including accountants, legal counsel and other advisors (it being understood that the person to whom such disclosure is made will be informed of the confidential nature of such Confidential Information and instructed to keep such Confidential Information confidential), (b) to the extent required by any subpoena or similar legal process, (c) in connection with the exercise of any remedies hereunder or any suit, action or proceeding relating to this Agreement or the enforcement of rights hereunder,</w:t>
      </w:r>
    </w:p>
    <w:p>
      <w:pPr>
        <w:spacing w:after="0" w:line="2" w:lineRule="exact"/>
        <w:rPr>
          <w:sz w:val="20"/>
          <w:szCs w:val="20"/>
          <w:color w:val="auto"/>
        </w:rPr>
      </w:pPr>
    </w:p>
    <w:p>
      <w:pPr>
        <w:jc w:val="both"/>
        <w:ind w:firstLine="8"/>
        <w:spacing w:after="0" w:line="254" w:lineRule="auto"/>
        <w:tabs>
          <w:tab w:leader="none" w:pos="25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the consent of the Company, or (e) to the extent such Confidential Information (i) becomes publicly available other than as a result of a breach of this Agreement, or (ii) becomes available to Wexford on a non-confidential basis from a source other than the Company. For the purposes of this Agreement, “Confidential Information” means all non-public information received from the Company relating to the Company or its business, other than any such information that is available to Wexford on a non-confidential basis from a source other than the Company.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Further Assurances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and Wexford shall execute such documents and other papers and take such further actions as the other may reasonably request in order to carry out the provisions hereof and provide the services 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29" w:right="239" w:bottom="1440" w:gutter="0" w:footer="0" w:header="0"/>
        </w:sectPr>
      </w:pPr>
    </w:p>
    <w:bookmarkStart w:id="132" w:name="page133"/>
    <w:bookmarkEnd w:id="132"/>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Advisory Services Agreement as of the date first above written.</w:t>
      </w:r>
    </w:p>
    <w:p>
      <w:pPr>
        <w:spacing w:after="0" w:line="200" w:lineRule="exact"/>
        <w:rPr>
          <w:sz w:val="20"/>
          <w:szCs w:val="20"/>
          <w:color w:val="auto"/>
        </w:rPr>
      </w:pPr>
    </w:p>
    <w:p>
      <w:pPr>
        <w:spacing w:after="0" w:line="26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163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-19050</wp:posOffset>
            </wp:positionV>
            <wp:extent cx="1027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7430" cy="8890"/>
                    </a:xfrm>
                    <a:prstGeom prst="rect">
                      <a:avLst/>
                    </a:prstGeom>
                    <a:noFill/>
                  </pic:spPr>
                </pic:pic>
              </a:graphicData>
            </a:graphic>
          </wp:anchor>
        </w:drawing>
      </w: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-19050</wp:posOffset>
            </wp:positionV>
            <wp:extent cx="1210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WEXFORD CAPITAL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003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-19050</wp:posOffset>
            </wp:positionV>
            <wp:extent cx="866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-19050</wp:posOffset>
            </wp:positionV>
            <wp:extent cx="920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0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Arial" w:cs="Arial" w:eastAsia="Arial" w:hAnsi="Arial"/>
          <w:sz w:val="16"/>
          <w:szCs w:val="16"/>
          <w:i w:val="1"/>
          <w:iCs w:val="1"/>
          <w:color w:val="auto"/>
        </w:rPr>
        <w:t>Signature Page to Advisory Services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19"/>
          </w:cols>
          <w:pgMar w:left="240" w:top="594"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Merger Agreement, dated as of October 11, 2012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Diamondback Energy LLC, a Delaware limited liability company (“</w:t>
      </w:r>
      <w:r>
        <w:rPr>
          <w:rFonts w:ascii="Arial" w:cs="Arial" w:eastAsia="Arial" w:hAnsi="Arial"/>
          <w:sz w:val="18"/>
          <w:szCs w:val="18"/>
          <w:b w:val="1"/>
          <w:bCs w:val="1"/>
          <w:i w:val="1"/>
          <w:iCs w:val="1"/>
          <w:color w:val="auto"/>
        </w:rPr>
        <w:t>Diamondback LLC</w:t>
      </w:r>
      <w:r>
        <w:rPr>
          <w:rFonts w:ascii="Arial" w:cs="Arial" w:eastAsia="Arial" w:hAnsi="Arial"/>
          <w:sz w:val="18"/>
          <w:szCs w:val="18"/>
          <w:color w:val="auto"/>
        </w:rPr>
        <w:t>”), and Diamondback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656"/>
        <w:spacing w:after="0" w:line="277" w:lineRule="auto"/>
        <w:tabs>
          <w:tab w:leader="none" w:pos="10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has an authorized capital of 100 shares of common stock, par value $0.01 per share (“</w:t>
      </w:r>
      <w:r>
        <w:rPr>
          <w:rFonts w:ascii="Arial" w:cs="Arial" w:eastAsia="Arial" w:hAnsi="Arial"/>
          <w:sz w:val="18"/>
          <w:szCs w:val="18"/>
          <w:b w:val="1"/>
          <w:bCs w:val="1"/>
          <w:i w:val="1"/>
          <w:iCs w:val="1"/>
          <w:color w:val="auto"/>
        </w:rPr>
        <w:t>Old Common Stock</w:t>
      </w:r>
      <w:r>
        <w:rPr>
          <w:rFonts w:ascii="Arial" w:cs="Arial" w:eastAsia="Arial" w:hAnsi="Arial"/>
          <w:sz w:val="18"/>
          <w:szCs w:val="18"/>
          <w:color w:val="auto"/>
        </w:rPr>
        <w:t>”), of which 100 shares are issued and outstanding.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At the Effective Time (defined below), all of the shares of Old Common Stock are owned by Diamondback LLC, its sole stockholder.</w:t>
      </w:r>
    </w:p>
    <w:p>
      <w:pPr>
        <w:spacing w:after="0" w:line="236" w:lineRule="exact"/>
        <w:rPr>
          <w:rFonts w:ascii="Arial" w:cs="Arial" w:eastAsia="Arial" w:hAnsi="Arial"/>
          <w:sz w:val="17"/>
          <w:szCs w:val="17"/>
          <w:color w:val="auto"/>
        </w:rPr>
      </w:pPr>
    </w:p>
    <w:p>
      <w:pPr>
        <w:ind w:firstLine="656"/>
        <w:spacing w:after="0" w:line="277" w:lineRule="auto"/>
        <w:tabs>
          <w:tab w:leader="none" w:pos="11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DB Energy Holdings LLC, a Delaware limited liability company (“</w:t>
      </w:r>
      <w:r>
        <w:rPr>
          <w:rFonts w:ascii="Arial" w:cs="Arial" w:eastAsia="Arial" w:hAnsi="Arial"/>
          <w:sz w:val="18"/>
          <w:szCs w:val="18"/>
          <w:b w:val="1"/>
          <w:bCs w:val="1"/>
          <w:i w:val="1"/>
          <w:iCs w:val="1"/>
          <w:color w:val="auto"/>
        </w:rPr>
        <w:t>DB Holdings</w:t>
      </w:r>
      <w:r>
        <w:rPr>
          <w:rFonts w:ascii="Arial" w:cs="Arial" w:eastAsia="Arial" w:hAnsi="Arial"/>
          <w:sz w:val="18"/>
          <w:szCs w:val="18"/>
          <w:color w:val="auto"/>
        </w:rPr>
        <w:t>”), directly owns 100% of the limited liability company interests in Diamondback LLC (each, a “</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Membership Interests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connection with the initial public offering of the Company’s common stock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the parties desire to merge the Company with and into Diamondback LLC, pursuant to which the Company will continuing as the surviving corporation and the separate existence of Diamondback LLC will cease, upon the terms and subject to the conditions set forth in this Agreement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board of directors of the Company and the sole manager of Diamondback LLC have each determined that the Merger is advisable and in the best interest of the Company and Diamondback LLC and have each approved and adopted this Agreement and recommended that the respective equity holders of the Company and Diamondback LLC approve and adopt this Agreement and approve the Merger.</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holders of the voting equity of each of the Company and Diamondback LLC have unanimously approved and adopted this Agreement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Merger.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respective representations, warranties, covenants and agreements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Diamondback LLC and the Company agree as follows:</w:t>
      </w:r>
    </w:p>
    <w:p>
      <w:pPr>
        <w:spacing w:after="0" w:line="234" w:lineRule="exact"/>
        <w:rPr>
          <w:sz w:val="20"/>
          <w:szCs w:val="20"/>
          <w:color w:val="auto"/>
        </w:rPr>
      </w:pPr>
    </w:p>
    <w:p>
      <w:pPr>
        <w:ind w:left="5800" w:hanging="761"/>
        <w:spacing w:after="0"/>
        <w:tabs>
          <w:tab w:leader="none" w:pos="58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THE MERGER</w:t>
      </w:r>
    </w:p>
    <w:p>
      <w:pPr>
        <w:spacing w:after="0" w:line="239" w:lineRule="exact"/>
        <w:rPr>
          <w:sz w:val="20"/>
          <w:szCs w:val="20"/>
          <w:color w:val="auto"/>
        </w:rPr>
      </w:pPr>
    </w:p>
    <w:p>
      <w:pPr>
        <w:jc w:val="both"/>
        <w:ind w:firstLine="729"/>
        <w:spacing w:after="0" w:line="28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Merger</w:t>
      </w:r>
      <w:r>
        <w:rPr>
          <w:rFonts w:ascii="Arial" w:cs="Arial" w:eastAsia="Arial" w:hAnsi="Arial"/>
          <w:sz w:val="17"/>
          <w:szCs w:val="17"/>
          <w:color w:val="auto"/>
        </w:rPr>
        <w:t>. In accordance with the provisions of this Agreement and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at the Effective Time (as defined below), the Company will be merged with and into Diamondback LLC, Diamondback LLC’s separate existence will cease and the Company will be the surviving corporation in the Merger and shall succeed to and assume all the rights and obligations of Diamondback LLC. The Company, as the surviving corporation after the Merger, is herein sometimes referred to as the “</w:t>
      </w:r>
      <w:r>
        <w:rPr>
          <w:rFonts w:ascii="Arial" w:cs="Arial" w:eastAsia="Arial" w:hAnsi="Arial"/>
          <w:sz w:val="17"/>
          <w:szCs w:val="17"/>
          <w:b w:val="1"/>
          <w:bCs w:val="1"/>
          <w:i w:val="1"/>
          <w:iCs w:val="1"/>
          <w:color w:val="auto"/>
        </w:rPr>
        <w:t>Surviving Corporation</w:t>
      </w:r>
      <w:r>
        <w:rPr>
          <w:rFonts w:ascii="Arial" w:cs="Arial" w:eastAsia="Arial" w:hAnsi="Arial"/>
          <w:sz w:val="17"/>
          <w:szCs w:val="17"/>
          <w:color w:val="auto"/>
        </w:rPr>
        <w:t>.”</w:t>
      </w:r>
    </w:p>
    <w:p>
      <w:pPr>
        <w:spacing w:after="0" w:line="165" w:lineRule="exact"/>
        <w:rPr>
          <w:sz w:val="20"/>
          <w:szCs w:val="20"/>
          <w:color w:val="auto"/>
        </w:rPr>
      </w:pPr>
    </w:p>
    <w:p>
      <w:pPr>
        <w:jc w:val="both"/>
        <w:ind w:firstLine="729"/>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Filing and Effectiveness</w:t>
      </w:r>
      <w:r>
        <w:rPr>
          <w:rFonts w:ascii="Arial" w:cs="Arial" w:eastAsia="Arial" w:hAnsi="Arial"/>
          <w:sz w:val="17"/>
          <w:szCs w:val="17"/>
          <w:color w:val="auto"/>
        </w:rPr>
        <w:t>. The parties will cause a Certificate of Merger (the “</w:t>
      </w:r>
      <w:r>
        <w:rPr>
          <w:rFonts w:ascii="Arial" w:cs="Arial" w:eastAsia="Arial" w:hAnsi="Arial"/>
          <w:sz w:val="17"/>
          <w:szCs w:val="17"/>
          <w:b w:val="1"/>
          <w:bCs w:val="1"/>
          <w:i w:val="1"/>
          <w:iCs w:val="1"/>
          <w:color w:val="auto"/>
        </w:rPr>
        <w:t>Certificate of Merger</w:t>
      </w:r>
      <w:r>
        <w:rPr>
          <w:rFonts w:ascii="Arial" w:cs="Arial" w:eastAsia="Arial" w:hAnsi="Arial"/>
          <w:sz w:val="17"/>
          <w:szCs w:val="17"/>
          <w:color w:val="auto"/>
        </w:rPr>
        <w:t xml:space="preserve">”)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meeting the requirements of the DGCL, to be executed and filed with the Secretary of State of the State of Delaware. The Merger will become effective at the time when the Certificate of Merger has been duly filed with the Secretary of State of the State of Delaware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w:t>
      </w:r>
    </w:p>
    <w:p>
      <w:pPr>
        <w:spacing w:after="0" w:line="158" w:lineRule="exact"/>
        <w:rPr>
          <w:sz w:val="20"/>
          <w:szCs w:val="20"/>
          <w:color w:val="auto"/>
        </w:rPr>
      </w:pPr>
    </w:p>
    <w:p>
      <w:pPr>
        <w:ind w:left="740"/>
        <w:spacing w:after="0"/>
        <w:tabs>
          <w:tab w:leader="none" w:pos="11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Effects of the Merger</w:t>
      </w:r>
      <w:r>
        <w:rPr>
          <w:rFonts w:ascii="Arial" w:cs="Arial" w:eastAsia="Arial" w:hAnsi="Arial"/>
          <w:sz w:val="16"/>
          <w:szCs w:val="16"/>
          <w:color w:val="auto"/>
        </w:rPr>
        <w:t>.</w:t>
      </w:r>
    </w:p>
    <w:p>
      <w:pPr>
        <w:spacing w:after="0" w:line="229" w:lineRule="exact"/>
        <w:rPr>
          <w:sz w:val="20"/>
          <w:szCs w:val="20"/>
          <w:color w:val="auto"/>
        </w:rPr>
      </w:pPr>
    </w:p>
    <w:p>
      <w:pPr>
        <w:ind w:left="1680" w:hanging="375"/>
        <w:spacing w:after="0"/>
        <w:tabs>
          <w:tab w:leader="none" w:pos="16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Merger will have the effects specified in Section 259 of the DGCL.</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739"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Certificate of Incorporation and Bylaws</w:t>
      </w:r>
      <w:r>
        <w:rPr>
          <w:rFonts w:ascii="Arial" w:cs="Arial" w:eastAsia="Arial" w:hAnsi="Arial"/>
          <w:sz w:val="17"/>
          <w:szCs w:val="17"/>
          <w:color w:val="auto"/>
        </w:rPr>
        <w:t xml:space="preserve">. At the Effective Time, (i) the Company’s certificate of incorporation shall be amended and restated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xml:space="preserve">”) and shall continue to be the certificate of incorporation of the Surviving Corporation until thereafter amended in accordance with the provisions thereof and applicable law and (ii) the Company’s bylaws shall be amended and restated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and shall continue to</w:t>
      </w:r>
    </w:p>
    <w:p>
      <w:pPr>
        <w:sectPr>
          <w:pgSz w:w="11900" w:h="16838" w:orient="portrait"/>
          <w:cols w:equalWidth="0" w:num="1">
            <w:col w:w="11420"/>
          </w:cols>
          <w:pgMar w:left="240" w:top="877"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be the bylaws of the Surviving Corporation until thereafter amended in accordance with the provisions thereof and applicable law.</w:t>
      </w:r>
    </w:p>
    <w:p>
      <w:pPr>
        <w:spacing w:after="0" w:line="225" w:lineRule="exact"/>
        <w:rPr>
          <w:sz w:val="20"/>
          <w:szCs w:val="20"/>
          <w:color w:val="auto"/>
        </w:rPr>
      </w:pPr>
    </w:p>
    <w:p>
      <w:pPr>
        <w:jc w:val="both"/>
        <w:ind w:left="660" w:firstLine="645"/>
        <w:spacing w:after="0" w:line="279" w:lineRule="auto"/>
        <w:tabs>
          <w:tab w:leader="none" w:pos="1715"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Following the Effective Time, the directors of the Company immediately prior to the Effective Time shall be the directors of the Surviving Corporation, and the officers of the Company immediately prior to the Effective Time shall be the officers of the Surviving Corporation, in each case until their respective successors are duly elected or appointed and qualified or until their earlier death, resignation, retirement, disqualification or removal in accordance with applicable law and the Certificate of Incorporation and Bylaws.</w:t>
      </w:r>
    </w:p>
    <w:p>
      <w:pPr>
        <w:spacing w:after="0" w:line="171" w:lineRule="exact"/>
        <w:rPr>
          <w:rFonts w:ascii="Arial" w:cs="Arial" w:eastAsia="Arial" w:hAnsi="Arial"/>
          <w:sz w:val="17"/>
          <w:szCs w:val="17"/>
          <w:color w:val="auto"/>
        </w:rPr>
      </w:pPr>
    </w:p>
    <w:p>
      <w:pPr>
        <w:jc w:val="both"/>
        <w:ind w:left="660" w:firstLine="645"/>
        <w:spacing w:after="0" w:line="264" w:lineRule="auto"/>
        <w:tabs>
          <w:tab w:leader="none" w:pos="171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Effect on Capital Stock</w:t>
      </w:r>
      <w:r>
        <w:rPr>
          <w:rFonts w:ascii="Arial" w:cs="Arial" w:eastAsia="Arial" w:hAnsi="Arial"/>
          <w:sz w:val="18"/>
          <w:szCs w:val="18"/>
          <w:color w:val="auto"/>
        </w:rPr>
        <w:t>. At and as of the Effective Time, without any action on the part of Diamondback LLC or the Company, as the case may be, or of any holder of any shares of capital stock of or other equity interest in Diamondback LLC or the Company, the shares of capital stock and other securities of Diamondback LLC and the Company will be treated as follows:</w:t>
      </w:r>
    </w:p>
    <w:p>
      <w:pPr>
        <w:spacing w:after="0" w:line="181" w:lineRule="exact"/>
        <w:rPr>
          <w:rFonts w:ascii="Arial" w:cs="Arial" w:eastAsia="Arial" w:hAnsi="Arial"/>
          <w:sz w:val="18"/>
          <w:szCs w:val="18"/>
          <w:color w:val="auto"/>
        </w:rPr>
      </w:pPr>
    </w:p>
    <w:p>
      <w:pPr>
        <w:ind w:left="1300" w:firstLine="653"/>
        <w:spacing w:after="0" w:line="277" w:lineRule="auto"/>
        <w:tabs>
          <w:tab w:leader="none" w:pos="2325"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Cancellation of Old Common Stock</w:t>
      </w:r>
      <w:r>
        <w:rPr>
          <w:rFonts w:ascii="Arial" w:cs="Arial" w:eastAsia="Arial" w:hAnsi="Arial"/>
          <w:sz w:val="18"/>
          <w:szCs w:val="18"/>
          <w:color w:val="auto"/>
        </w:rPr>
        <w:t>. Each share of Old Common Stock outstanding immediately prior to the Effective Time will be canceled without payment of any consideration therefor and shall cease to exist.</w:t>
      </w:r>
    </w:p>
    <w:p>
      <w:pPr>
        <w:spacing w:after="0" w:line="170" w:lineRule="exact"/>
        <w:rPr>
          <w:rFonts w:ascii="Arial" w:cs="Arial" w:eastAsia="Arial" w:hAnsi="Arial"/>
          <w:sz w:val="18"/>
          <w:szCs w:val="18"/>
          <w:color w:val="auto"/>
        </w:rPr>
      </w:pPr>
    </w:p>
    <w:p>
      <w:pPr>
        <w:jc w:val="both"/>
        <w:ind w:left="1300" w:right="20" w:firstLine="653"/>
        <w:spacing w:after="0" w:line="264" w:lineRule="auto"/>
        <w:tabs>
          <w:tab w:leader="none" w:pos="2443"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Conversion of the Membership Interests</w:t>
      </w:r>
      <w:r>
        <w:rPr>
          <w:rFonts w:ascii="Arial" w:cs="Arial" w:eastAsia="Arial" w:hAnsi="Arial"/>
          <w:sz w:val="18"/>
          <w:szCs w:val="18"/>
          <w:color w:val="auto"/>
        </w:rPr>
        <w:t>. All the Membership Interests issued and outstanding immediately prior to the Effective Time will be converted into and exchanged for 14,697,496 validly issued, fully paid and nonassessable shares of the common stock of the Surviving Corporation, par value $0.01 per share (“</w:t>
      </w:r>
      <w:r>
        <w:rPr>
          <w:rFonts w:ascii="Arial" w:cs="Arial" w:eastAsia="Arial" w:hAnsi="Arial"/>
          <w:sz w:val="18"/>
          <w:szCs w:val="18"/>
          <w:b w:val="1"/>
          <w:bCs w:val="1"/>
          <w:i w:val="1"/>
          <w:iCs w:val="1"/>
          <w:color w:val="auto"/>
        </w:rPr>
        <w:t>Surviving Common Stock</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firstLine="653"/>
        <w:spacing w:after="0" w:line="277" w:lineRule="auto"/>
        <w:tabs>
          <w:tab w:leader="none" w:pos="2547"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Surrender of Old Common Stock.</w:t>
      </w:r>
      <w:r>
        <w:rPr>
          <w:rFonts w:ascii="Arial" w:cs="Arial" w:eastAsia="Arial" w:hAnsi="Arial"/>
          <w:sz w:val="18"/>
          <w:szCs w:val="18"/>
          <w:color w:val="auto"/>
        </w:rPr>
        <w:t xml:space="preserve"> At or before the Effective Time, Diamondback LLC shall surrender any and all outstanding certificates representing shares of Old Common Stock to the Surviving Corporation.</w:t>
      </w:r>
    </w:p>
    <w:p>
      <w:pPr>
        <w:spacing w:after="0" w:line="166" w:lineRule="exact"/>
        <w:rPr>
          <w:sz w:val="20"/>
          <w:szCs w:val="20"/>
          <w:color w:val="auto"/>
        </w:rPr>
      </w:pPr>
    </w:p>
    <w:p>
      <w:pPr>
        <w:jc w:val="both"/>
        <w:ind w:firstLine="729"/>
        <w:spacing w:after="0" w:line="298"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color w:val="auto"/>
        </w:rPr>
        <w:t>Taking of Necessary Action; Further Action</w:t>
      </w:r>
      <w:r>
        <w:rPr>
          <w:rFonts w:ascii="Arial" w:cs="Arial" w:eastAsia="Arial" w:hAnsi="Arial"/>
          <w:sz w:val="16"/>
          <w:szCs w:val="16"/>
          <w:color w:val="auto"/>
        </w:rPr>
        <w:t>. Prior to the Effective Time, the Company and Diamondback LLC shall take all such action as shall be necessary or appropriate to effectuate the Merger. If, at any time after the Effective Time, any such further action is necessary or desirable to carry out the purposes of this Agreement and to vest the Surviving Corporation with full right, title and possession to all assets, property, rights, privileges, powers, and franchises of the Company and Diamondback LLC, the officers and directors of the Surviving Corporation are fully authorized, in the name of and on behalf of the Company and Diamondback LLC, to take, and the Company will cause them to take, all such lawful and necessary action.</w:t>
      </w:r>
    </w:p>
    <w:p>
      <w:pPr>
        <w:spacing w:after="0" w:line="154" w:lineRule="exact"/>
        <w:rPr>
          <w:sz w:val="20"/>
          <w:szCs w:val="20"/>
          <w:color w:val="auto"/>
        </w:rPr>
      </w:pPr>
    </w:p>
    <w:p>
      <w:pPr>
        <w:jc w:val="center"/>
        <w:ind w:left="660"/>
        <w:spacing w:after="0"/>
        <w:tabs>
          <w:tab w:leader="none" w:pos="16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GENERAL</w:t>
      </w:r>
    </w:p>
    <w:p>
      <w:pPr>
        <w:spacing w:after="0" w:line="225"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Termination</w:t>
      </w:r>
      <w:r>
        <w:rPr>
          <w:rFonts w:ascii="Arial" w:cs="Arial" w:eastAsia="Arial" w:hAnsi="Arial"/>
          <w:sz w:val="18"/>
          <w:szCs w:val="18"/>
          <w:color w:val="auto"/>
        </w:rPr>
        <w:t>. Diamondback LLC and the Company, by written agreement, may terminate this Agreement as to all parties and the Merger may be abandoned for any reason whatsoever, at any time prior to the Effective Time.</w:t>
      </w:r>
    </w:p>
    <w:p>
      <w:pPr>
        <w:spacing w:after="0" w:line="162" w:lineRule="exact"/>
        <w:rPr>
          <w:sz w:val="20"/>
          <w:szCs w:val="20"/>
          <w:color w:val="auto"/>
        </w:rPr>
      </w:pPr>
    </w:p>
    <w:p>
      <w:pPr>
        <w:ind w:left="740"/>
        <w:spacing w:after="0"/>
        <w:tabs>
          <w:tab w:leader="none" w:pos="1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No Third Party Beneficiaries</w:t>
      </w:r>
      <w:r>
        <w:rPr>
          <w:rFonts w:ascii="Arial" w:cs="Arial" w:eastAsia="Arial" w:hAnsi="Arial"/>
          <w:sz w:val="16"/>
          <w:szCs w:val="16"/>
          <w:color w:val="auto"/>
        </w:rPr>
        <w:t>. There are no third party beneficiaries having rights under or with respect to this Agreement.</w:t>
      </w:r>
    </w:p>
    <w:p>
      <w:pPr>
        <w:spacing w:after="0" w:line="225"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governed by and construed in accordance with the laws of the State of Delaware, without giving effect to any choice of law principles.</w:t>
      </w:r>
    </w:p>
    <w:p>
      <w:pPr>
        <w:spacing w:after="0" w:line="162" w:lineRule="exact"/>
        <w:rPr>
          <w:sz w:val="20"/>
          <w:szCs w:val="20"/>
          <w:color w:val="auto"/>
        </w:rPr>
      </w:pPr>
    </w:p>
    <w:p>
      <w:pPr>
        <w:ind w:left="740"/>
        <w:spacing w:after="0"/>
        <w:tabs>
          <w:tab w:leader="none" w:pos="1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Amendments</w:t>
      </w:r>
      <w:r>
        <w:rPr>
          <w:rFonts w:ascii="Arial" w:cs="Arial" w:eastAsia="Arial" w:hAnsi="Arial"/>
          <w:sz w:val="16"/>
          <w:szCs w:val="16"/>
          <w:color w:val="auto"/>
        </w:rPr>
        <w:t>. This Agreement may not be amended or modified except by a writing signed by all of the parties.</w:t>
      </w:r>
    </w:p>
    <w:p>
      <w:pPr>
        <w:spacing w:after="0" w:line="225" w:lineRule="exact"/>
        <w:rPr>
          <w:sz w:val="20"/>
          <w:szCs w:val="20"/>
          <w:color w:val="auto"/>
        </w:rPr>
      </w:pPr>
    </w:p>
    <w:p>
      <w:pPr>
        <w:jc w:val="both"/>
        <w:ind w:firstLine="729"/>
        <w:spacing w:after="0" w:line="26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together with the Exhibits hereto, constitutes the entire agreement and understanding of the parties in respect of its subject matter and supersedes all prior understandings, agreements or representations by or among the parties, written or oral, to the extent they relate in any way to the subject matter 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35" w:name="page136"/>
    <w:bookmarkEnd w:id="135"/>
    <w:p>
      <w:pPr>
        <w:ind w:firstLine="729"/>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will be deemed to be an original and all of which together will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4" w:right="25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authorized representative as of the date stated in the introductory paragraph of this Agreement.</w:t>
      </w:r>
    </w:p>
    <w:p>
      <w:pPr>
        <w:spacing w:after="0" w:line="200" w:lineRule="exact"/>
        <w:rPr>
          <w:sz w:val="20"/>
          <w:szCs w:val="20"/>
          <w:color w:val="auto"/>
        </w:rPr>
      </w:pPr>
    </w:p>
    <w:p>
      <w:pPr>
        <w:spacing w:after="0" w:line="39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DIAMONDBACK ENERGY LLC</w:t>
      </w:r>
    </w:p>
    <w:p>
      <w:pPr>
        <w:spacing w:after="0" w:line="229"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Wexford Capital LP, its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Wexford GP LLC, its general partner</w:t>
      </w:r>
    </w:p>
    <w:p>
      <w:pPr>
        <w:spacing w:after="0" w:line="225"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Maymudes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-10160</wp:posOffset>
            </wp:positionV>
            <wp:extent cx="128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Jay Maymudes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Vice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15113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1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Randall J. Holder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Merger Agreement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Signature Page</w:t>
      </w:r>
    </w:p>
    <w:p>
      <w:pPr>
        <w:sectPr>
          <w:pgSz w:w="11900" w:h="16838" w:orient="portrait"/>
          <w:cols w:equalWidth="0" w:num="1">
            <w:col w:w="11420"/>
          </w:cols>
          <w:pgMar w:left="240" w:top="368"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MERGER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364" w:right="1440" w:bottom="1440" w:gutter="0" w:footer="0" w:header="0"/>
        </w:sectPr>
      </w:pPr>
    </w:p>
    <w:bookmarkStart w:id="138" w:name="page139"/>
    <w:bookmarkEnd w:id="138"/>
    <w:p>
      <w:pPr>
        <w:jc w:val="center"/>
        <w:ind w:left="660"/>
        <w:spacing w:after="0"/>
        <w:rPr>
          <w:sz w:val="20"/>
          <w:szCs w:val="20"/>
          <w:color w:val="auto"/>
        </w:rPr>
      </w:pPr>
      <w:r>
        <w:rPr>
          <w:rFonts w:ascii="Arial" w:cs="Arial" w:eastAsia="Arial" w:hAnsi="Arial"/>
          <w:sz w:val="18"/>
          <w:szCs w:val="18"/>
          <w:b w:val="1"/>
          <w:bCs w:val="1"/>
          <w:color w:val="auto"/>
        </w:rPr>
        <w:t>CERTIFICATE OF MERGER</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DIAMONDBACK ENERGY LLC</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WITH AND INTO</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DIAMONDBACK ENERGY, INC.</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Pursuant to Title 8, Section 264(c) of the Delaware General Corporation Law and Title 6, Section 18-209 of the Delaware Limited Liability Company Act, the undersigned corporation, hereby certifies that:</w:t>
      </w:r>
    </w:p>
    <w:p>
      <w:pPr>
        <w:spacing w:after="0" w:line="58"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surviving corporation is Diamondback Energy, Inc., a Delaware corporation, and the name of the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being merged into this surviving corporation is Diamondback Energy LLC, a Delaware limited liability company.</w:t>
      </w:r>
    </w:p>
    <w:p>
      <w:pPr>
        <w:spacing w:after="0" w:line="54"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An agreement of merger has been approved, adopted, certified, executed and acknowledged by the surviving corporation and the merging</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in accordance with the requirements of Delaware law.</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name of the surviving corporation is Diamondback Energy, Inc.,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merger is to become effective upon the filing of this certificate of merger.</w:t>
      </w:r>
    </w:p>
    <w:p>
      <w:pPr>
        <w:spacing w:after="0" w:line="11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Company’s certificate of incorporation shall be amended and restated in the merger, and the certificate of incorporation of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shall be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The executed agreement of merger is on file at 14301 Caliber Drive, Suite 300, Oklahoma City, Oklahoma 73134, the address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place of business of the surviving corporation.</w:t>
      </w:r>
    </w:p>
    <w:p>
      <w:pPr>
        <w:spacing w:after="0" w:line="162"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A copy of the agreement of merger will be furnished by the surviving corporation, on request and without cost, to any stockholder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constituent corporation or member of any constituent limited liability company.</w:t>
      </w:r>
    </w:p>
    <w:p>
      <w:pPr>
        <w:spacing w:after="0" w:line="5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420"/>
          </w:cols>
          <w:pgMar w:left="240" w:top="364" w:right="239" w:bottom="1440" w:gutter="0" w:footer="0" w:header="0"/>
        </w:sectPr>
      </w:pPr>
    </w:p>
    <w:bookmarkStart w:id="139" w:name="page140"/>
    <w:bookmarkEnd w:id="139"/>
    <w:p>
      <w:pPr>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Diamondback Energy, Inc. has caused this certificate to be signed by an authorized officer on this 11th day of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2012.</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45" w:lineRule="exact"/>
        <w:rPr>
          <w:sz w:val="20"/>
          <w:szCs w:val="20"/>
          <w:color w:val="auto"/>
        </w:rPr>
      </w:pPr>
    </w:p>
    <w:p>
      <w:pPr>
        <w:ind w:left="4200"/>
        <w:spacing w:after="0"/>
        <w:tabs>
          <w:tab w:leader="none" w:pos="4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-10160</wp:posOffset>
            </wp:positionV>
            <wp:extent cx="10541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 w:lineRule="exact"/>
        <w:rPr>
          <w:sz w:val="20"/>
          <w:szCs w:val="20"/>
          <w:color w:val="auto"/>
        </w:rPr>
      </w:pPr>
    </w:p>
    <w:p>
      <w:pPr>
        <w:ind w:left="4200"/>
        <w:spacing w:after="0"/>
        <w:tabs>
          <w:tab w:leader="none" w:pos="4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Randall J.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-19050</wp:posOffset>
            </wp:positionV>
            <wp:extent cx="917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420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-19050</wp:posOffset>
            </wp:positionV>
            <wp:extent cx="77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ectPr>
          <w:pgSz w:w="11900" w:h="16838" w:orient="portrait"/>
          <w:cols w:equalWidth="0" w:num="1">
            <w:col w:w="11060"/>
          </w:cols>
          <w:pgMar w:left="580" w:top="796" w:right="25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AMENDED AND RESTATED CERTIFICATE OF INCORPORATION</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364" w:right="1440"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I</w:t>
      </w:r>
    </w:p>
    <w:p>
      <w:pPr>
        <w:spacing w:after="0" w:line="4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Diamondback Energy,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right"/>
        <w:ind w:right="53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street address of the registered office of the Corporation in the State of Delaware is 2711 Centerville Road, Suite 400, County of New Castle, City of Wilmington, Delaware 19808 and the name of the Corporation’s registered agent at such address is Corporation Service Company.</w:t>
      </w:r>
    </w:p>
    <w:p>
      <w:pPr>
        <w:spacing w:after="0" w:line="14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capital stock that the Corporation is authorized to issue is 110,000,000 shares, divided into two classes consisting of 100,000,000 shares of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10,000,000 shares of preferred stock, par value $0.01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Preferred Stock</w:t>
      </w:r>
    </w:p>
    <w:p>
      <w:pPr>
        <w:spacing w:after="0" w:line="225" w:lineRule="exact"/>
        <w:rPr>
          <w:sz w:val="20"/>
          <w:szCs w:val="20"/>
          <w:color w:val="auto"/>
        </w:rPr>
      </w:pPr>
    </w:p>
    <w:p>
      <w:pPr>
        <w:jc w:val="both"/>
        <w:ind w:firstLine="656"/>
        <w:spacing w:after="0" w:line="255" w:lineRule="auto"/>
        <w:tabs>
          <w:tab w:leader="none" w:pos="10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included in a certificate of designations (a “</w:t>
      </w:r>
      <w:r>
        <w:rPr>
          <w:rFonts w:ascii="Arial" w:cs="Arial" w:eastAsia="Arial" w:hAnsi="Arial"/>
          <w:sz w:val="18"/>
          <w:szCs w:val="18"/>
          <w:b w:val="1"/>
          <w:bCs w:val="1"/>
          <w:i w:val="1"/>
          <w:iCs w:val="1"/>
          <w:color w:val="auto"/>
        </w:rPr>
        <w:t>Preferred Stock Designation</w:t>
      </w:r>
      <w:r>
        <w:rPr>
          <w:rFonts w:ascii="Arial" w:cs="Arial" w:eastAsia="Arial" w:hAnsi="Arial"/>
          <w:sz w:val="18"/>
          <w:szCs w:val="18"/>
          <w:color w:val="auto"/>
        </w:rPr>
        <w:t>”) filed pursuant to the DGCL, and the Board is hereby expressly vested with the authority, to the full extent now or hereafter provided by law, to adopt any such resolution or resolutions.</w:t>
      </w:r>
    </w:p>
    <w:p>
      <w:pPr>
        <w:spacing w:after="0" w:line="193" w:lineRule="exact"/>
        <w:rPr>
          <w:rFonts w:ascii="Arial" w:cs="Arial" w:eastAsia="Arial" w:hAnsi="Arial"/>
          <w:sz w:val="18"/>
          <w:szCs w:val="18"/>
          <w:color w:val="auto"/>
        </w:rPr>
      </w:pPr>
    </w:p>
    <w:p>
      <w:pPr>
        <w:jc w:val="both"/>
        <w:ind w:firstLine="656"/>
        <w:spacing w:after="0" w:line="297" w:lineRule="auto"/>
        <w:tabs>
          <w:tab w:leader="none" w:pos="115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Subject to the rights of the holders of any series of Preferred Stock pursuant to the terms of this Amended and Restated Certificate of Incorporation (this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(including any Preferred Stock Designation),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any series thereof, irrespective of the provisions of Section 242(b)(2) of the DGCL, unless a vote of any such holders of Preferred Stock is required pursuant to another provision of this Certificate (including any Preferred Stock Designation).</w:t>
      </w:r>
    </w:p>
    <w:p>
      <w:pPr>
        <w:spacing w:after="0" w:line="15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p>
    <w:p>
      <w:pPr>
        <w:spacing w:after="0" w:line="225" w:lineRule="exact"/>
        <w:rPr>
          <w:sz w:val="20"/>
          <w:szCs w:val="20"/>
          <w:color w:val="auto"/>
        </w:rPr>
      </w:pPr>
    </w:p>
    <w:p>
      <w:pPr>
        <w:jc w:val="both"/>
        <w:ind w:firstLine="656"/>
        <w:spacing w:after="0" w:line="257" w:lineRule="auto"/>
        <w:tabs>
          <w:tab w:leader="none" w:pos="10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42" w:name="page143"/>
    <w:bookmarkEnd w:id="142"/>
    <w:p>
      <w:pPr>
        <w:jc w:val="both"/>
        <w:spacing w:after="0" w:line="312" w:lineRule="auto"/>
        <w:rPr>
          <w:sz w:val="20"/>
          <w:szCs w:val="20"/>
          <w:color w:val="auto"/>
        </w:rPr>
      </w:pPr>
      <w:r>
        <w:rPr>
          <w:rFonts w:ascii="Arial" w:cs="Arial" w:eastAsia="Arial" w:hAnsi="Arial"/>
          <w:sz w:val="16"/>
          <w:szCs w:val="16"/>
          <w:color w:val="auto"/>
        </w:rPr>
        <w:t>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147" w:lineRule="exact"/>
        <w:rPr>
          <w:sz w:val="20"/>
          <w:szCs w:val="20"/>
          <w:color w:val="auto"/>
        </w:rPr>
      </w:pPr>
    </w:p>
    <w:p>
      <w:pPr>
        <w:jc w:val="both"/>
        <w:ind w:firstLine="656"/>
        <w:spacing w:after="0" w:line="286" w:lineRule="auto"/>
        <w:tabs>
          <w:tab w:leader="none" w:pos="107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18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are inserted for the management of the business and for the conduct of the affairs of the Corporation, and the same are in furtherance of and not in limitation of the powers conferred by law:</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No contract or other transaction of the Corporation with any other person, firm, corporation or other entity in which the Corporation has an interest, shall be affected or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 Each person who may become a director or officer of the Corporation is hereby relieved from any liability that might otherwise arise by reason of his or her contracting with the Corporation for the benefit of himself or herself or any firm or corporation in which he or she may be in any way interested.</w:t>
      </w:r>
    </w:p>
    <w:p>
      <w:pPr>
        <w:spacing w:after="0" w:line="19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Corporate Opportunities.</w:t>
      </w:r>
    </w:p>
    <w:p>
      <w:pPr>
        <w:spacing w:after="0" w:line="225" w:lineRule="exact"/>
        <w:rPr>
          <w:sz w:val="20"/>
          <w:szCs w:val="20"/>
          <w:color w:val="auto"/>
        </w:rPr>
      </w:pPr>
    </w:p>
    <w:p>
      <w:pPr>
        <w:jc w:val="both"/>
        <w:ind w:firstLine="656"/>
        <w:spacing w:after="0" w:line="269" w:lineRule="auto"/>
        <w:tabs>
          <w:tab w:leader="none" w:pos="109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principals, officers, employees and/or other representatives of DB Energy Holdings LLC and Gulfport Energy Corporation (together, the “</w:t>
      </w:r>
      <w:r>
        <w:rPr>
          <w:rFonts w:ascii="Arial" w:cs="Arial" w:eastAsia="Arial" w:hAnsi="Arial"/>
          <w:sz w:val="17"/>
          <w:szCs w:val="17"/>
          <w:b w:val="1"/>
          <w:bCs w:val="1"/>
          <w:i w:val="1"/>
          <w:iCs w:val="1"/>
          <w:color w:val="auto"/>
        </w:rPr>
        <w:t>Original Stockholders</w:t>
      </w:r>
      <w:r>
        <w:rPr>
          <w:rFonts w:ascii="Arial" w:cs="Arial" w:eastAsia="Arial" w:hAnsi="Arial"/>
          <w:sz w:val="17"/>
          <w:szCs w:val="17"/>
          <w:color w:val="auto"/>
        </w:rPr>
        <w:t>”) and their respective Affiliates (as defined below) may serve as directors or officers of the Corporation, (ii) the Original Stockholders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of the Corporation (“</w:t>
      </w:r>
      <w:r>
        <w:rPr>
          <w:rFonts w:ascii="Arial" w:cs="Arial" w:eastAsia="Arial" w:hAnsi="Arial"/>
          <w:sz w:val="17"/>
          <w:szCs w:val="17"/>
          <w:b w:val="1"/>
          <w:bCs w:val="1"/>
          <w:i w:val="1"/>
          <w:iCs w:val="1"/>
          <w:color w:val="auto"/>
        </w:rPr>
        <w:t>Non-Employee Directors</w:t>
      </w:r>
      <w:r>
        <w:rPr>
          <w:rFonts w:ascii="Arial" w:cs="Arial" w:eastAsia="Arial" w:hAnsi="Arial"/>
          <w:sz w:val="17"/>
          <w:szCs w:val="17"/>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Section 5.2 are set forth to regulate and define the conduct of certain affairs of the Corporation with respect to certain classes or categories of business opportunities as they may involve the Original Stockholders, the Non-Employee Directors or their respective Affiliates and the powers, rights, duties and liabilities of the Corporation and its directors, officers and stockholders in connection therewith.</w:t>
      </w:r>
    </w:p>
    <w:p>
      <w:pPr>
        <w:spacing w:after="0" w:line="182" w:lineRule="exact"/>
        <w:rPr>
          <w:rFonts w:ascii="Arial" w:cs="Arial" w:eastAsia="Arial" w:hAnsi="Arial"/>
          <w:sz w:val="17"/>
          <w:szCs w:val="17"/>
          <w:color w:val="auto"/>
        </w:rPr>
      </w:pPr>
    </w:p>
    <w:p>
      <w:pPr>
        <w:jc w:val="both"/>
        <w:ind w:firstLine="656"/>
        <w:spacing w:after="0" w:line="271" w:lineRule="auto"/>
        <w:tabs>
          <w:tab w:leader="none" w:pos="104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None of (i) any Original Stockholder or any of its Affiliates or (ii) any Non-Employee Director or his or her Affiliates (the Persons (as defined below) identified in (i) and (ii) above being referred to, collectively, as “</w:t>
      </w:r>
      <w:r>
        <w:rPr>
          <w:rFonts w:ascii="Arial" w:cs="Arial" w:eastAsia="Arial" w:hAnsi="Arial"/>
          <w:sz w:val="17"/>
          <w:szCs w:val="17"/>
          <w:b w:val="1"/>
          <w:bCs w:val="1"/>
          <w:i w:val="1"/>
          <w:iCs w:val="1"/>
          <w:color w:val="auto"/>
        </w:rPr>
        <w:t>Identified Persons</w:t>
      </w:r>
      <w:r>
        <w:rPr>
          <w:rFonts w:ascii="Arial" w:cs="Arial" w:eastAsia="Arial" w:hAnsi="Arial"/>
          <w:sz w:val="17"/>
          <w:szCs w:val="17"/>
          <w:color w:val="auto"/>
        </w:rPr>
        <w:t>” and, individually, as an “</w:t>
      </w:r>
      <w:r>
        <w:rPr>
          <w:rFonts w:ascii="Arial" w:cs="Arial" w:eastAsia="Arial" w:hAnsi="Arial"/>
          <w:sz w:val="17"/>
          <w:szCs w:val="17"/>
          <w:b w:val="1"/>
          <w:bCs w:val="1"/>
          <w:i w:val="1"/>
          <w:iCs w:val="1"/>
          <w:color w:val="auto"/>
        </w:rPr>
        <w:t>Identified Person</w:t>
      </w:r>
      <w:r>
        <w:rPr>
          <w:rFonts w:ascii="Arial" w:cs="Arial" w:eastAsia="Arial" w:hAnsi="Arial"/>
          <w:sz w:val="17"/>
          <w:szCs w:val="17"/>
          <w:color w:val="auto"/>
        </w:rPr>
        <w:t>”) shall have any duty to refrain from directly or indirectly (x) engaging in a corporate opportunity in the same or similar business activities or lines of business in which the Corporation or any of its Affiliates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18"/>
          <w:szCs w:val="18"/>
          <w:color w:val="auto"/>
        </w:rPr>
        <w:t>in being offered an opportunity to participate in, any business opportunity which may be a corporate opportunity for an Identified Person and the Corporation or any of its Affiliates, except as provided in paragraph (c) of this Section 5.2. In the event that any Identified Person acquires knowledge of a potential transaction or other business opportunity which may be a corporate opportunity for itself or himself and the Corporation or any of its Affiliates, such Identified Person shall have no duty to communicate or offer such transaction or other business opportunity to the Corporation or any of its Affiliates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197" w:lineRule="exact"/>
        <w:rPr>
          <w:sz w:val="20"/>
          <w:szCs w:val="20"/>
          <w:color w:val="auto"/>
        </w:rPr>
      </w:pPr>
    </w:p>
    <w:p>
      <w:pPr>
        <w:jc w:val="both"/>
        <w:ind w:firstLine="656"/>
        <w:spacing w:after="0" w:line="264"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5.2(b) shall not apply to any such corporate opportunity.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Section 5.2,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86" w:lineRule="exact"/>
        <w:rPr>
          <w:rFonts w:ascii="Arial" w:cs="Arial" w:eastAsia="Arial" w:hAnsi="Arial"/>
          <w:sz w:val="18"/>
          <w:szCs w:val="18"/>
          <w:color w:val="auto"/>
        </w:rPr>
      </w:pPr>
    </w:p>
    <w:p>
      <w:pPr>
        <w:jc w:val="both"/>
        <w:ind w:firstLine="656"/>
        <w:spacing w:after="0" w:line="272" w:lineRule="auto"/>
        <w:tabs>
          <w:tab w:leader="none" w:pos="107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For purposes of this Section 5.2, (i) “Affiliate” shall mean (A) in respect of an Original Stockholder, any Person that, directly or indirectly, is controlled by such Original Stockholder, controls such Original Stockholder or is under common control with such Original Stockholder and shall include any principal, member, director, partner, shareholder,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77" w:lineRule="exact"/>
        <w:rPr>
          <w:rFonts w:ascii="Arial" w:cs="Arial" w:eastAsia="Arial" w:hAnsi="Arial"/>
          <w:sz w:val="17"/>
          <w:szCs w:val="17"/>
          <w:color w:val="auto"/>
        </w:rPr>
      </w:pPr>
    </w:p>
    <w:p>
      <w:pPr>
        <w:ind w:firstLine="656"/>
        <w:spacing w:after="0" w:line="277" w:lineRule="auto"/>
        <w:tabs>
          <w:tab w:leader="none" w:pos="11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Section 5.2.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The business and affairs of the Corporation shall be managed by, or under the direction of, the Board. In addition to the powers and authority expressly conferred upon the Board by statute, this Certificate or the Bylaws of the Corporation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Bylaws hereafter adopted by the stockholders shall invalidate any prior act of the Board that would have been valid if such Bylaws had not been adopted.</w:t>
      </w:r>
    </w:p>
    <w:p>
      <w:pPr>
        <w:spacing w:after="0" w:line="17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02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number of directors constituting the Board shall be not fewer than five (5) nor more than thirteen (13).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directors the Corporation would have if there were no vacancies.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44" w:name="page145"/>
    <w:bookmarkEnd w:id="144"/>
    <w:p>
      <w:pPr>
        <w:ind w:right="20" w:firstLine="656"/>
        <w:spacing w:after="0" w:line="308" w:lineRule="auto"/>
        <w:tabs>
          <w:tab w:leader="none" w:pos="108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6.5</w:t>
      </w:r>
      <w:r>
        <w:rPr>
          <w:rFonts w:ascii="Arial" w:cs="Arial" w:eastAsia="Arial" w:hAnsi="Arial"/>
          <w:sz w:val="17"/>
          <w:szCs w:val="17"/>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any or all of the directors may be removed from office at any time, but only by the affirmative vote of holders of a 66⅔% of the voting power of all then outstanding shares of capital stock of the Corporation entitled to vote generally in the election of directors, voting together as a single class.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Preferred Stock – Directors</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unless expressly provided by such terms.</w:t>
      </w:r>
    </w:p>
    <w:p>
      <w:pPr>
        <w:spacing w:after="0" w:line="18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addition to any vote of the holders of any class or series of capital stock of the Corporation required by law or by this Certificate (including any Preferred Stock Designation), the affirmative vote of the holders of at least 66⅔%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17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Action by Written Consent</w:t>
      </w:r>
      <w:r>
        <w:rPr>
          <w:rFonts w:ascii="Arial" w:cs="Arial" w:eastAsia="Arial" w:hAnsi="Arial"/>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of the taking of such action by means of written consent of the stockholders.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or the terms of any one or more series of Preferred Stock, special meetings of stockholders of the Corporation may be called only by the Chairman of the Board, Chief Executive Officer, or the Board pursuant to a resolution adopted by a majority of the Whole Board, and the ability of the stockholders to call a special meeting is hereby specifically denied.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45" w:name="page146"/>
    <w:bookmarkEnd w:id="145"/>
    <w:p>
      <w:pPr>
        <w:jc w:val="center"/>
        <w:ind w:right="2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DIRECTOR LIABILITY; INDEMNIFICATION AND ADVANCEMENT OF EXPENSES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To the fullest extent that the DGCL or any other law of the State of Delaware as the same exists or is hereafter amended permits the limitation or elimination of the liability of directors, no person who is or was a director of the Corporation shall be personally liable to the Corporation or any of its stockholders for monetary damages for breach of fiduciary duty as a director. Any repeal or amendment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by the stockholders of the Corporation or by changes in law, or the adoption of any other provision of this Certificate inconsistent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spacing w:after="0" w:line="19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07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include the right to be paid by the Corporation the expenses incurred in defending or otherwise participating in any such proceeding in advance of its final disposition; provided, however, that, if the DGCL requires, an advancement of expenses shall be made only upon delivery to the Corporation of an undertaking, by or on behalf of the indemnitee, to repay all amounts so advanced if it shall ultimately be determined by final judicial decision from which there is no further right to appeal that the indemnitee is not entitled to be indemnified for the expenses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5" w:lineRule="exact"/>
        <w:rPr>
          <w:rFonts w:ascii="Arial" w:cs="Arial" w:eastAsia="Arial" w:hAnsi="Arial"/>
          <w:sz w:val="16"/>
          <w:szCs w:val="16"/>
          <w:color w:val="auto"/>
        </w:rPr>
      </w:pPr>
    </w:p>
    <w:p>
      <w:pPr>
        <w:jc w:val="both"/>
        <w:ind w:firstLine="656"/>
        <w:spacing w:after="0" w:line="264" w:lineRule="auto"/>
        <w:tabs>
          <w:tab w:leader="none" w:pos="10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01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Any repeal or amendment of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by the stockholders of the Corporation or by changes in law, or the adoption of any other provision of this Certificate inconsistent with this </w:t>
      </w:r>
      <w:r>
        <w:rPr>
          <w:rFonts w:ascii="Arial" w:cs="Arial" w:eastAsia="Arial" w:hAnsi="Arial"/>
          <w:sz w:val="17"/>
          <w:szCs w:val="17"/>
          <w:u w:val="single" w:color="auto"/>
          <w:color w:val="auto"/>
        </w:rPr>
        <w:t>Section 9.2</w:t>
      </w:r>
      <w:r>
        <w:rPr>
          <w:rFonts w:ascii="Arial" w:cs="Arial" w:eastAsia="Arial" w:hAnsi="Arial"/>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72" w:lineRule="exact"/>
        <w:rPr>
          <w:rFonts w:ascii="Arial" w:cs="Arial" w:eastAsia="Arial" w:hAnsi="Arial"/>
          <w:sz w:val="17"/>
          <w:szCs w:val="17"/>
          <w:color w:val="auto"/>
        </w:rPr>
      </w:pPr>
    </w:p>
    <w:p>
      <w:pPr>
        <w:ind w:firstLine="656"/>
        <w:spacing w:after="0" w:line="277" w:lineRule="auto"/>
        <w:tabs>
          <w:tab w:leader="none" w:pos="10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46" w:name="page147"/>
    <w:bookmarkEnd w:id="146"/>
    <w:p>
      <w:pPr>
        <w:jc w:val="both"/>
        <w:ind w:firstLine="648"/>
        <w:spacing w:after="0" w:line="254" w:lineRule="auto"/>
        <w:rPr>
          <w:sz w:val="20"/>
          <w:szCs w:val="20"/>
          <w:color w:val="auto"/>
        </w:rPr>
      </w:pPr>
      <w:r>
        <w:rPr>
          <w:rFonts w:ascii="Arial" w:cs="Arial" w:eastAsia="Arial" w:hAnsi="Arial"/>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 other provision of this Certificate, and in addition to any other vote that may be required by law or any Preferred Stock Designation, the affirmative vote of the holders of at least 66⅔% of the voting power of all then outstanding shares of capital stock of the Corporation entitled to vote generally in the election of directors, voting together as a single class, shall be required to amend, alter or repeal, or adopt any provision as part of this Certificate inconsistent with the purpose and intent of,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SECTION 203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 shall not be governed by the provisions of Section 203 of the DGCL.</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CHOICE OF FORUM</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this Certificate or Bylaws; or (iv) any action asserting a claim against the Corporation governed by the internal affairs doctrine. Any person or entity purchasing or otherwise acquiring any interest in share of capital stock of the Corporation shall be deemed to have notice of and to have consented to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364" w:right="1440"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AMENDED AND RESTATED BYLAWS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ADOPTED AS OF OCTOBER 11, 2012</w:t>
      </w:r>
    </w:p>
    <w:p>
      <w:pPr>
        <w:sectPr>
          <w:pgSz w:w="11900" w:h="16838" w:orient="portrait"/>
          <w:cols w:equalWidth="0" w:num="1">
            <w:col w:w="9019"/>
          </w:cols>
          <w:pgMar w:left="1440" w:top="1440" w:right="1440"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5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I</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OFFICES</w:t>
      </w:r>
    </w:p>
    <w:p>
      <w:pPr>
        <w:spacing w:after="0" w:line="23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STOCKHOLDERS MEETINGS</w:t>
      </w:r>
    </w:p>
    <w:p>
      <w:pPr>
        <w:spacing w:after="0" w:line="207"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2.1 Annual Meetings</w:t>
      </w:r>
      <w:r>
        <w:rPr>
          <w:rFonts w:ascii="Arial" w:cs="Arial" w:eastAsia="Arial" w:hAnsi="Arial"/>
          <w:sz w:val="17"/>
          <w:szCs w:val="17"/>
          <w:color w:val="auto"/>
        </w:rPr>
        <w:t>. The annual meeting of stockholders shall be held at such place and time and on such date as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7"/>
          <w:szCs w:val="17"/>
          <w:u w:val="single" w:color="auto"/>
          <w:color w:val="auto"/>
        </w:rPr>
        <w:t>Section 9.5(a)</w:t>
      </w:r>
      <w:r>
        <w:rPr>
          <w:rFonts w:ascii="Arial" w:cs="Arial" w:eastAsia="Arial" w:hAnsi="Arial"/>
          <w:sz w:val="17"/>
          <w:szCs w:val="17"/>
          <w:color w:val="auto"/>
        </w:rPr>
        <w:t>. At each annual meeting, the stockholders shall elect directors of the Corporation and may transact any other business as may properly be brought before the meeting.</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Section 2.2 Special Meetings</w:t>
      </w:r>
      <w:r>
        <w:rPr>
          <w:rFonts w:ascii="Arial" w:cs="Arial" w:eastAsia="Arial" w:hAnsi="Arial"/>
          <w:sz w:val="17"/>
          <w:szCs w:val="17"/>
          <w:color w:val="auto"/>
        </w:rPr>
        <w:t>. Except as otherwise required by applicable law or provided in the Corporation’s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as the same may be amended or restated from time to time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xml:space="preserve">”), special meetings of stockholders, for any purpose or purposes, may be called only by the Chairman of the Board, Chief Executive Officer or the Board pursuant to a resolution adopted by a majority of the Whole Board (as defined below). Special meetings of stockholders shall be held at such place and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7"/>
          <w:szCs w:val="17"/>
          <w:u w:val="single" w:color="auto"/>
          <w:color w:val="auto"/>
        </w:rPr>
        <w:t>Section 9.5(a)</w:t>
      </w:r>
      <w:r>
        <w:rPr>
          <w:rFonts w:ascii="Arial" w:cs="Arial" w:eastAsia="Arial" w:hAnsi="Arial"/>
          <w:sz w:val="17"/>
          <w:szCs w:val="17"/>
          <w:color w:val="auto"/>
        </w:rPr>
        <w:t>.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directors the Corporation would have if there were no vacancies.</w:t>
      </w:r>
    </w:p>
    <w:p>
      <w:pPr>
        <w:spacing w:after="0" w:line="17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2.3 Notices</w:t>
      </w:r>
      <w:r>
        <w:rPr>
          <w:rFonts w:ascii="Arial" w:cs="Arial" w:eastAsia="Arial" w:hAnsi="Arial"/>
          <w:sz w:val="16"/>
          <w:szCs w:val="16"/>
          <w:color w:val="auto"/>
        </w:rPr>
        <w:t>. Notice of each stockholders meeting stating the place, if any, date, and time of the meeting, and the means of remote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Such notice shall be given by the Corporation not less than 10 nor more than 60 days before the date of the meeting.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Arial" w:cs="Arial" w:eastAsia="Arial" w:hAnsi="Arial"/>
          <w:sz w:val="16"/>
          <w:szCs w:val="16"/>
          <w:u w:val="single" w:color="auto"/>
          <w:color w:val="auto"/>
        </w:rPr>
        <w:t>Section 2.7(c)</w:t>
      </w:r>
      <w:r>
        <w:rPr>
          <w:rFonts w:ascii="Arial" w:cs="Arial" w:eastAsia="Arial" w:hAnsi="Arial"/>
          <w:sz w:val="16"/>
          <w:szCs w:val="16"/>
          <w:color w:val="auto"/>
        </w:rPr>
        <w:t>) given before the date previously scheduled for such meeting.</w:t>
      </w:r>
    </w:p>
    <w:p>
      <w:pPr>
        <w:spacing w:after="0" w:line="16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2.4 Quorum</w:t>
      </w:r>
      <w:r>
        <w:rPr>
          <w:rFonts w:ascii="Arial" w:cs="Arial" w:eastAsia="Arial" w:hAnsi="Arial"/>
          <w:sz w:val="18"/>
          <w:szCs w:val="18"/>
          <w:color w:val="auto"/>
        </w:rPr>
        <w:t>. Except as otherwise provided by applicable law, the Certificate of Incorporation or these Bylaws, the presence,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50" w:name="page151"/>
    <w:bookmarkEnd w:id="150"/>
    <w:p>
      <w:pPr>
        <w:jc w:val="both"/>
        <w:spacing w:after="0" w:line="273" w:lineRule="auto"/>
        <w:rPr>
          <w:sz w:val="20"/>
          <w:szCs w:val="20"/>
          <w:color w:val="auto"/>
        </w:rPr>
      </w:pPr>
      <w:r>
        <w:rPr>
          <w:rFonts w:ascii="Arial" w:cs="Arial" w:eastAsia="Arial" w:hAnsi="Arial"/>
          <w:sz w:val="17"/>
          <w:szCs w:val="17"/>
          <w:color w:val="auto"/>
        </w:rPr>
        <w:t xml:space="preserve">present or represented by proxy at any meeting of the stockholders, the chairman of the meeting may adjourn the meeting from time to time in the manner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7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Voting of Shares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6" w:lineRule="auto"/>
        <w:tabs>
          <w:tab w:leader="none" w:pos="1703"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If the meeting is to be held at a place, then the list of stockholders entitled to vote at the meeting shall be produced and kept at the time and place of the meeting during the whole time thereof, and may be examined by any stockholder who is present. If a meeting of stockholders is to be held solely by means of remote communication as permitted by </w:t>
      </w:r>
      <w:r>
        <w:rPr>
          <w:rFonts w:ascii="Arial" w:cs="Arial" w:eastAsia="Arial" w:hAnsi="Arial"/>
          <w:sz w:val="16"/>
          <w:szCs w:val="16"/>
          <w:u w:val="single" w:color="auto"/>
          <w:color w:val="auto"/>
        </w:rPr>
        <w:t>Section 9.5(a)</w:t>
      </w:r>
      <w:r>
        <w:rPr>
          <w:rFonts w:ascii="Arial" w:cs="Arial" w:eastAsia="Arial" w:hAnsi="Arial"/>
          <w:sz w:val="16"/>
          <w:szCs w:val="16"/>
          <w:color w:val="auto"/>
        </w:rPr>
        <w:t xml:space="preserve">, then such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to vote in person or by proxy at any meeting of stockholders.</w:t>
      </w:r>
    </w:p>
    <w:p>
      <w:pPr>
        <w:spacing w:after="0" w:line="168" w:lineRule="exact"/>
        <w:rPr>
          <w:rFonts w:ascii="Arial" w:cs="Arial" w:eastAsia="Arial" w:hAnsi="Arial"/>
          <w:sz w:val="16"/>
          <w:szCs w:val="16"/>
          <w:color w:val="auto"/>
        </w:rPr>
      </w:pPr>
    </w:p>
    <w:p>
      <w:pPr>
        <w:jc w:val="both"/>
        <w:ind w:firstLine="1305"/>
        <w:spacing w:after="0" w:line="297" w:lineRule="auto"/>
        <w:tabs>
          <w:tab w:leader="none" w:pos="172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spacing w:after="0" w:line="158" w:lineRule="exact"/>
        <w:rPr>
          <w:rFonts w:ascii="Arial" w:cs="Arial" w:eastAsia="Arial" w:hAnsi="Arial"/>
          <w:sz w:val="16"/>
          <w:szCs w:val="16"/>
          <w:color w:val="auto"/>
        </w:rPr>
      </w:pPr>
    </w:p>
    <w:p>
      <w:pPr>
        <w:jc w:val="both"/>
        <w:ind w:firstLine="1305"/>
        <w:spacing w:after="0" w:line="297" w:lineRule="auto"/>
        <w:tabs>
          <w:tab w:leader="none" w:pos="1703"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158" w:lineRule="exact"/>
        <w:rPr>
          <w:rFonts w:ascii="Arial" w:cs="Arial" w:eastAsia="Arial" w:hAnsi="Arial"/>
          <w:sz w:val="16"/>
          <w:szCs w:val="16"/>
          <w:color w:val="auto"/>
        </w:rPr>
      </w:pPr>
    </w:p>
    <w:p>
      <w:pPr>
        <w:jc w:val="both"/>
        <w:ind w:left="660" w:firstLine="1293"/>
        <w:spacing w:after="0" w:line="286" w:lineRule="auto"/>
        <w:tabs>
          <w:tab w:leader="none" w:pos="234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65" w:lineRule="exact"/>
        <w:rPr>
          <w:rFonts w:ascii="Arial" w:cs="Arial" w:eastAsia="Arial" w:hAnsi="Arial"/>
          <w:sz w:val="17"/>
          <w:szCs w:val="17"/>
          <w:color w:val="auto"/>
        </w:rPr>
      </w:pPr>
    </w:p>
    <w:p>
      <w:pPr>
        <w:jc w:val="both"/>
        <w:ind w:left="660" w:firstLine="1293"/>
        <w:spacing w:after="0" w:line="312" w:lineRule="auto"/>
        <w:tabs>
          <w:tab w:leader="none" w:pos="234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51" w:name="page152"/>
    <w:bookmarkEnd w:id="151"/>
    <w:p>
      <w:pPr>
        <w:ind w:left="660"/>
        <w:spacing w:after="0" w:line="277" w:lineRule="auto"/>
        <w:rPr>
          <w:sz w:val="20"/>
          <w:szCs w:val="20"/>
          <w:color w:val="auto"/>
        </w:rPr>
      </w:pPr>
      <w:r>
        <w:rPr>
          <w:rFonts w:ascii="Arial" w:cs="Arial" w:eastAsia="Arial" w:hAnsi="Arial"/>
          <w:sz w:val="18"/>
          <w:szCs w:val="18"/>
          <w:color w:val="auto"/>
        </w:rPr>
        <w:t>such electronic transmission must either set forth or be submitted with information from which it can be determined that the electronic transmission was authorized by the stockholder.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87" w:lineRule="exact"/>
        <w:rPr>
          <w:sz w:val="20"/>
          <w:szCs w:val="20"/>
          <w:color w:val="auto"/>
        </w:rPr>
      </w:pPr>
    </w:p>
    <w:p>
      <w:pPr>
        <w:jc w:val="both"/>
        <w:ind w:firstLine="1305"/>
        <w:spacing w:after="0" w:line="273" w:lineRule="auto"/>
        <w:tabs>
          <w:tab w:leader="none" w:pos="1727"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of the Corporation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703"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time, whether or not there is a quorum, to reconvene at the same or some other place. Notice need not be given of any such adjourned meeting if the date, time and place, if any, thereof, and the means of remote communication, if any, by which stockholders and proxyholders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16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b w:val="1"/>
          <w:bCs w:val="1"/>
          <w:color w:val="auto"/>
        </w:rPr>
        <w:t>Advance Notice for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91" w:lineRule="auto"/>
        <w:tabs>
          <w:tab w:leader="none" w:pos="173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on the date of the giving of the notice provided for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who is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Except for proposals properly made in accordance with Rule 14a-8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included in the notice of meeting given by or at the direction of the Board, the foregoing clause (iii) shall be the exclusive means for a stockholder to propose business to be brought before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52" w:name="page153"/>
    <w:bookmarkEnd w:id="152"/>
    <w:p>
      <w:pPr>
        <w:ind w:right="20"/>
        <w:spacing w:after="0" w:line="277" w:lineRule="auto"/>
        <w:rPr>
          <w:sz w:val="20"/>
          <w:szCs w:val="20"/>
          <w:color w:val="auto"/>
        </w:rPr>
      </w:pPr>
      <w:r>
        <w:rPr>
          <w:rFonts w:ascii="Arial" w:cs="Arial" w:eastAsia="Arial" w:hAnsi="Arial"/>
          <w:sz w:val="18"/>
          <w:szCs w:val="18"/>
          <w:color w:val="auto"/>
        </w:rPr>
        <w:t xml:space="preserve">an annual meeting of stockholders. Stockholders seeking to nominate persons for election to the Board must comply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not be applicable to nominations.</w:t>
      </w:r>
    </w:p>
    <w:p>
      <w:pPr>
        <w:spacing w:after="0" w:line="170" w:lineRule="exact"/>
        <w:rPr>
          <w:sz w:val="20"/>
          <w:szCs w:val="20"/>
          <w:color w:val="auto"/>
        </w:rPr>
      </w:pPr>
    </w:p>
    <w:p>
      <w:pPr>
        <w:jc w:val="both"/>
        <w:ind w:left="660" w:firstLine="1293"/>
        <w:spacing w:after="0" w:line="285" w:lineRule="auto"/>
        <w:tabs>
          <w:tab w:leader="none" w:pos="248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Arial" w:cs="Arial" w:eastAsia="Arial" w:hAnsi="Arial"/>
          <w:sz w:val="16"/>
          <w:szCs w:val="16"/>
          <w:u w:val="single" w:color="auto"/>
          <w:color w:val="auto"/>
        </w:rPr>
        <w:t>Section 2.7(a)(iv)</w:t>
      </w:r>
      <w:r>
        <w:rPr>
          <w:rFonts w:ascii="Arial" w:cs="Arial" w:eastAsia="Arial" w:hAnsi="Arial"/>
          <w:sz w:val="16"/>
          <w:szCs w:val="16"/>
          <w:color w:val="auto"/>
        </w:rPr>
        <w:t xml:space="preserve">, a stockholder’s notice to the Secretary with respect to such business, to be timely, must (x) comply with the provisions of this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be timely updated by the times and in the manner required by the provisions of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Notwithstanding the previous sentence, for purposes of determining whether a stockholder’s notice shall have been received in a timely manner for the annual meeting of stockholders in 2013, to be timely, a stockholder’s notice must have been received not later than the close of business on March 4, 2013 nor earlier than the opening of business on February 1, 2013,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2013 annual meeting is held more than 30 days earlier or more than 60 days later than June 1, 2013,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stockholder’s notice as described in this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660" w:firstLine="1293"/>
        <w:spacing w:after="0" w:line="284" w:lineRule="auto"/>
        <w:tabs>
          <w:tab w:leader="none" w:pos="243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 as to each such matter such stockholder proposes to bring before the annual meeting (1) a brief description of the business desired to be brought before the annual meeting and any material interest in such business of such stockholder and any Stockholder Associated Person (as defined below), individually or in the aggregate, (2) the text of the proposal or business (including the text of any resolutions proposed for consideration and if such business includes a proposal to amend these Bylaws, the text of the proposed amendment) and (3) the reasons for conducting such business at the annual meeting, (B) the name and address of the stockholder proposing such business, as they appear on the Corporation’s books, and the name and address of any Stockholder Associated Person, (C) the class or series and number of shares of capital stock of the Corporation that are owned of record or are directly or indirectly owned beneficially by such stockholder and by any Stockholder Associated Person, (D)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xml:space="preserve">”)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 (E)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(F) any short interest in any security of the Corporation held by such stockholder or any Stockholder Associated Person (for purposes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(G) any rights owned beneficially by such stockholder or Stockholder Associated Person to dividends on the shares of the Corporation that are separated or separable from the underlying shares of the Corporation, (H) any proportionate interest in shares of the Corporation or Derivative Instruments held, directly or indirectly,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53" w:name="page154"/>
    <w:bookmarkEnd w:id="153"/>
    <w:p>
      <w:pPr>
        <w:jc w:val="both"/>
        <w:ind w:left="660"/>
        <w:spacing w:after="0" w:line="269" w:lineRule="auto"/>
        <w:rPr>
          <w:sz w:val="20"/>
          <w:szCs w:val="20"/>
          <w:color w:val="auto"/>
        </w:rPr>
      </w:pPr>
      <w:r>
        <w:rPr>
          <w:rFonts w:ascii="Arial" w:cs="Arial" w:eastAsia="Arial" w:hAnsi="Arial"/>
          <w:sz w:val="17"/>
          <w:szCs w:val="17"/>
          <w:color w:val="auto"/>
        </w:rPr>
        <w:t>by a general or limited partnership in which such stockholder or any Stockholder Associated Person is a general partner or, directly or indirectly, beneficially owns an interest in a general partner, (I)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(J) a description of all agreements, arrangements or understandings (written or oral) between or among such stockholder, any Stockholder Associated Person or any other person or persons (including their names) in connection with the proposal of such business by such stockholder, (K) 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 (L) a representation that such stockholder intends to appear in person or by proxy at the annual meeting to bring such business before the meeting, and (M) a statement of whether such stockholder or any Stockholder Associated Person intends, or is part of a group that intends, to solicit proxies in connection with the proposal.</w:t>
      </w:r>
    </w:p>
    <w:p>
      <w:pPr>
        <w:spacing w:after="0" w:line="180" w:lineRule="exact"/>
        <w:rPr>
          <w:sz w:val="20"/>
          <w:szCs w:val="20"/>
          <w:color w:val="auto"/>
        </w:rPr>
      </w:pPr>
    </w:p>
    <w:p>
      <w:pPr>
        <w:jc w:val="both"/>
        <w:ind w:left="660" w:firstLine="1293"/>
        <w:spacing w:after="0" w:line="270" w:lineRule="auto"/>
        <w:tabs>
          <w:tab w:leader="none" w:pos="246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spacing w:after="0" w:line="181" w:lineRule="exact"/>
        <w:rPr>
          <w:rFonts w:ascii="Arial" w:cs="Arial" w:eastAsia="Arial" w:hAnsi="Arial"/>
          <w:sz w:val="17"/>
          <w:szCs w:val="17"/>
          <w:color w:val="auto"/>
        </w:rPr>
      </w:pPr>
    </w:p>
    <w:p>
      <w:pPr>
        <w:jc w:val="both"/>
        <w:ind w:left="660" w:firstLine="1293"/>
        <w:spacing w:after="0" w:line="269" w:lineRule="auto"/>
        <w:tabs>
          <w:tab w:leader="none" w:pos="240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The foregoing notice requirements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stockholder’s proposal has been included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provided, however, that once business has been properly brought before the annual meeting in accordance with such procedures, nothing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or that the information provided in a stockholder’s notice does not satisfy the information requirements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such proposal shall not be presented for action at the annual meeting. Notwithstanding the foregoing provisions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79" w:lineRule="exact"/>
        <w:rPr>
          <w:rFonts w:ascii="Arial" w:cs="Arial" w:eastAsia="Arial" w:hAnsi="Arial"/>
          <w:sz w:val="17"/>
          <w:szCs w:val="17"/>
          <w:color w:val="auto"/>
        </w:rPr>
      </w:pPr>
    </w:p>
    <w:p>
      <w:pPr>
        <w:jc w:val="both"/>
        <w:ind w:left="660" w:firstLine="1293"/>
        <w:spacing w:after="0" w:line="259" w:lineRule="auto"/>
        <w:tabs>
          <w:tab w:leader="none" w:pos="24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76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154" w:name="page155"/>
    <w:bookmarkEnd w:id="154"/>
    <w:p>
      <w:pPr>
        <w:jc w:val="both"/>
        <w:ind w:firstLine="1305"/>
        <w:spacing w:after="0" w:line="255" w:lineRule="auto"/>
        <w:tabs>
          <w:tab w:leader="none" w:pos="167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Bylaws,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w:t>
      </w:r>
      <w:r>
        <w:rPr>
          <w:rFonts w:ascii="Arial" w:cs="Arial" w:eastAsia="Arial" w:hAnsi="Arial"/>
          <w:sz w:val="18"/>
          <w:szCs w:val="18"/>
          <w:b w:val="1"/>
          <w:bCs w:val="1"/>
          <w:i w:val="1"/>
          <w:iCs w:val="1"/>
          <w:color w:val="auto"/>
        </w:rPr>
        <w:t>Stockholder Associated Person</w:t>
      </w:r>
      <w:r>
        <w:rPr>
          <w:rFonts w:ascii="Arial" w:cs="Arial" w:eastAsia="Arial" w:hAnsi="Arial"/>
          <w:sz w:val="18"/>
          <w:szCs w:val="18"/>
          <w:color w:val="auto"/>
        </w:rPr>
        <w:t>” shall mean for any stockholder (i) any person controlling, directly or indirectly, or acting in concert with, such stockholder, (ii) any beneficial owner of shares of stock of the Corporation owned of record or beneficially by such stockholder, or (iii) any person controlling, controlled by or under common control with such person referred to in the preceding clauses (i) and (ii).</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7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Section 2.9 Consents in Lieu of Meeting</w:t>
      </w:r>
      <w:r>
        <w:rPr>
          <w:rFonts w:ascii="Arial" w:cs="Arial" w:eastAsia="Arial" w:hAnsi="Arial"/>
          <w:sz w:val="16"/>
          <w:szCs w:val="16"/>
          <w:color w:val="auto"/>
        </w:rPr>
        <w:t>. Except as otherwise expressly provided by the terms of any series of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permitting the 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 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 Delivery made to the Corporation’s registered office shall be made by hand or by certified or registered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55" w:name="page156"/>
    <w:bookmarkEnd w:id="155"/>
    <w:p>
      <w:pPr>
        <w:jc w:val="both"/>
        <w:spacing w:after="0" w:line="254" w:lineRule="auto"/>
        <w:rPr>
          <w:sz w:val="20"/>
          <w:szCs w:val="20"/>
          <w:color w:val="auto"/>
        </w:rPr>
      </w:pPr>
      <w:r>
        <w:rPr>
          <w:rFonts w:ascii="Arial" w:cs="Arial" w:eastAsia="Arial" w:hAnsi="Arial"/>
          <w:sz w:val="18"/>
          <w:szCs w:val="18"/>
          <w:color w:val="auto"/>
        </w:rPr>
        <w:t xml:space="preserve">mail, return receipt requested. Notwithstanding the limitations on delivery in the previous sentence, consents given by electronic transmission 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Section 3.1 Powers</w:t>
      </w:r>
      <w:r>
        <w:rPr>
          <w:rFonts w:ascii="Arial" w:cs="Arial" w:eastAsia="Arial" w:hAnsi="Arial"/>
          <w:sz w:val="17"/>
          <w:szCs w:val="17"/>
          <w:color w:val="auto"/>
        </w:rPr>
        <w:t>. The business and affairs of the Corporation shall be managed by or under the direction of the Board,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158"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Advance Notice for Nomination of Directors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9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Only persons who are nominated in accordance with the following procedures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on the date of the giving of the notice provided for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who is entitled to vote in the election of directors at such meeting and (y) who complies with the notice procedures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1305"/>
        <w:spacing w:after="0" w:line="285" w:lineRule="auto"/>
        <w:tabs>
          <w:tab w:leader="none" w:pos="174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of the Corporation. To be timely, a stockholder’s notice to the Secretary must (x) comply with the provisions of this Section 3.2(b) and (y) be timely updated by the times and in the manner required by the provisions of Section 3.2(e).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Notwithstanding the previous sentence, for purposes of determining whether a stockholder’s notice shall have been received in a timely manner for the annual meeting of stockholders in 2013, to be timely, a stockholder’s notice must have been received not later than the close of business on March 4, 2013 nor earlier than the opening of business on February 1, 2013, provided, further, that if the 2013 annual meeting is held more than 30 days earlier or more than 60 days later than June 1, 2013,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or special meeting shall not commence a new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56" w:name="page157"/>
    <w:bookmarkEnd w:id="156"/>
    <w:p>
      <w:pPr>
        <w:jc w:val="both"/>
        <w:ind w:firstLine="1305"/>
        <w:spacing w:after="0" w:line="272" w:lineRule="auto"/>
        <w:tabs>
          <w:tab w:leader="none" w:pos="168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Notwithstanding anything in paragraph (b) to the contrary, if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77" w:lineRule="exact"/>
        <w:rPr>
          <w:rFonts w:ascii="Arial" w:cs="Arial" w:eastAsia="Arial" w:hAnsi="Arial"/>
          <w:sz w:val="17"/>
          <w:szCs w:val="17"/>
          <w:color w:val="auto"/>
        </w:rPr>
      </w:pPr>
    </w:p>
    <w:p>
      <w:pPr>
        <w:jc w:val="both"/>
        <w:ind w:firstLine="1305"/>
        <w:spacing w:after="0" w:line="283" w:lineRule="auto"/>
        <w:tabs>
          <w:tab w:leader="none" w:pos="178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of record or are directly or indirectly owned beneficially by the person, (D) any Derivative Instrument directly or indirectly owned beneficially by such nominee and any other direct or indirect opportunity to profit or share in any profit derived from any increase or decrease in the value of shares of the Corporation and (E)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address of such stockholder as they appear on the Corporation’s books, and the name and address of any Stockholder Associated Person, (B) the class or series and number of shares of capital stock of the Corporation that are owned of record or directly or indirectly owned beneficially by such Stockholder and any Stockholder Associated Person, (C) 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 (D)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(E) any short interest in any security of the Corporation held by such stockholder or any Stockholder Associated Person (for purposes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beneficially owned, directly or indirectly, by such stockholder or Stockholder Associated Person to dividends on the shares of the Corporation that are separated or separable from the underlying shares of the Corporation, (G)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(H)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(I) a description of all agreements, arrangements or understandings (written or oral) between or among such stockholder, any Stockholder Associated Person, any proposed nominee or any other person or persons (including their names) pursuant to which the nomination or nominations are to be made by such stockholder, (J) a representation that such stockholder intends to appear in person or by proxy at the meeting to nominate the persons named in its notice, (K) 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 (L) a description of all direct and indirect compensation and other material monetary agreements, arrangements and understandings during the past three years, and any other material relationships, between or among such stockholder or any Stockholder Associated Person, or others acting in concert therewith, on the one hand, and each proposed nominee, and his or her respective affiliates and associates, or others acting in concert therewith, on the other hand and (M) a statement of whether such stockholder or any Stockholder Associated Person intends, or is part of a group that intends, to solicit proxies for the election of the proposed nominee. Such notice must be accompanied by a written consent of each proposed nominee to being named as a nominee and to serve as a director if elected.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57" w:name="page158"/>
    <w:bookmarkEnd w:id="157"/>
    <w:p>
      <w:pPr>
        <w:jc w:val="both"/>
        <w:ind w:firstLine="1305"/>
        <w:spacing w:after="0" w:line="287" w:lineRule="auto"/>
        <w:tabs>
          <w:tab w:leader="none" w:pos="174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 stockholder providing notice of a director nomination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and if such information is not furnished within such time period, the notice of such director’s nomination shall not be considered to have been timely given for purposes of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305"/>
        <w:spacing w:after="0" w:line="255" w:lineRule="auto"/>
        <w:tabs>
          <w:tab w:leader="none" w:pos="168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Except as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procedures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If the Board or the chairman of the meeting of stockholders determines that any nomination was not made in accordance with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then such nomination shall not be considered at the meeting in question. Notwithstanding the foregoing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79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spacing w:after="0" w:line="18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3.3 Compensation</w:t>
      </w:r>
      <w:r>
        <w:rPr>
          <w:rFonts w:ascii="Arial" w:cs="Arial" w:eastAsia="Arial" w:hAnsi="Arial"/>
          <w:sz w:val="18"/>
          <w:szCs w:val="18"/>
          <w:color w:val="auto"/>
        </w:rPr>
        <w:t>. Unless otherwise restricted by the Certificate of Incorporation or these Bylaws,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fix the compensation of directors. The directors may be reimbursed their expenses, if any, of attendance at each meeting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BOARD MEETINGS</w:t>
      </w:r>
    </w:p>
    <w:p>
      <w:pPr>
        <w:spacing w:after="0" w:line="20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shall from time to time be determined by the Board.</w:t>
      </w:r>
    </w:p>
    <w:p>
      <w:pPr>
        <w:spacing w:after="0" w:line="16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Section 4.3 Special Meetings</w:t>
      </w:r>
      <w:r>
        <w:rPr>
          <w:rFonts w:ascii="Arial" w:cs="Arial" w:eastAsia="Arial" w:hAnsi="Arial"/>
          <w:sz w:val="17"/>
          <w:szCs w:val="17"/>
          <w:color w:val="auto"/>
        </w:rPr>
        <w:t>. Special meetings of the Board (a) may be called by the Chairman of the Board or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 shall be called by the Chairman of the Board, Chief Executive Officer or Secretary on the written request of at least a majority of directors then in office, or the sole director, as the case may be, and shall be held at such time, date and place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7"/>
          <w:szCs w:val="17"/>
          <w:u w:val="single" w:color="auto"/>
          <w:color w:val="auto"/>
        </w:rPr>
        <w:t>Section 9.3</w:t>
      </w:r>
      <w:r>
        <w:rPr>
          <w:rFonts w:ascii="Arial" w:cs="Arial" w:eastAsia="Arial" w:hAnsi="Arial"/>
          <w:sz w:val="17"/>
          <w:szCs w:val="17"/>
          <w:color w:val="auto"/>
        </w:rPr>
        <w:t>, to each director (i) at least 24 hours before the meeting if such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notice is oral notice given personally or by telephone or written notice given by hand delivery or by means of a form of electronic transmission and delivery;</w:t>
      </w:r>
    </w:p>
    <w:p>
      <w:pPr>
        <w:spacing w:after="0" w:line="46" w:lineRule="exact"/>
        <w:rPr>
          <w:sz w:val="20"/>
          <w:szCs w:val="20"/>
          <w:color w:val="auto"/>
        </w:rPr>
      </w:pPr>
    </w:p>
    <w:p>
      <w:pPr>
        <w:jc w:val="both"/>
        <w:ind w:firstLine="8"/>
        <w:spacing w:after="0" w:line="290" w:lineRule="auto"/>
        <w:tabs>
          <w:tab w:leader="none" w:pos="28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4.4 Quorum; Required Vote</w:t>
      </w:r>
      <w:r>
        <w:rPr>
          <w:rFonts w:ascii="Arial" w:cs="Arial" w:eastAsia="Arial" w:hAnsi="Arial"/>
          <w:sz w:val="18"/>
          <w:szCs w:val="18"/>
          <w:color w:val="auto"/>
        </w:rPr>
        <w:t>. A majority of the Whole Board shall constitute a quorum for the transaction of business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8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Section 4.6 Organization</w:t>
      </w:r>
      <w:r>
        <w:rPr>
          <w:rFonts w:ascii="Arial" w:cs="Arial" w:eastAsia="Arial" w:hAnsi="Arial"/>
          <w:sz w:val="17"/>
          <w:szCs w:val="17"/>
          <w:color w:val="auto"/>
        </w:rPr>
        <w:t>. The Board shall elect a Chairman of the Board from among the directors. The chairman of each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COMMITTEES OF DIRECTORS</w:t>
      </w:r>
    </w:p>
    <w:p>
      <w:pPr>
        <w:spacing w:after="0" w:line="20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Section 5.1 Establishment</w:t>
      </w:r>
      <w:r>
        <w:rPr>
          <w:rFonts w:ascii="Arial" w:cs="Arial" w:eastAsia="Arial" w:hAnsi="Arial"/>
          <w:sz w:val="16"/>
          <w:szCs w:val="16"/>
          <w:color w:val="auto"/>
        </w:rPr>
        <w:t>. The Board may by resolution passed by a majority of the Whole Board designate one or more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4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5.3 Alternate Members</w:t>
      </w:r>
      <w:r>
        <w:rPr>
          <w:rFonts w:ascii="Arial" w:cs="Arial" w:eastAsia="Arial" w:hAnsi="Arial"/>
          <w:sz w:val="18"/>
          <w:szCs w:val="18"/>
          <w:color w:val="auto"/>
        </w:rPr>
        <w:t>. The Board may designate one or more directors as alternate members of any committee, who may</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any absent or disqualified member at any meeting of such committee.</w:t>
      </w:r>
    </w:p>
    <w:p>
      <w:pPr>
        <w:spacing w:after="0" w:line="16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5.4 Procedures</w:t>
      </w:r>
      <w:r>
        <w:rPr>
          <w:rFonts w:ascii="Arial" w:cs="Arial" w:eastAsia="Arial" w:hAnsi="Arial"/>
          <w:sz w:val="17"/>
          <w:szCs w:val="17"/>
          <w:color w:val="auto"/>
        </w:rPr>
        <w:t>. Unless the Board otherwise provides, the time, date, place, if any, and notice of meetings of a committee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9" w:right="239" w:bottom="1440" w:gutter="0" w:footer="0" w:header="0"/>
        </w:sectPr>
      </w:pPr>
    </w:p>
    <w:bookmarkStart w:id="159" w:name="page160"/>
    <w:bookmarkEnd w:id="159"/>
    <w:p>
      <w:pPr>
        <w:jc w:val="both"/>
        <w:spacing w:after="0" w:line="297" w:lineRule="auto"/>
        <w:rPr>
          <w:sz w:val="20"/>
          <w:szCs w:val="20"/>
          <w:color w:val="auto"/>
        </w:rPr>
      </w:pPr>
      <w:r>
        <w:rPr>
          <w:rFonts w:ascii="Arial" w:cs="Arial" w:eastAsia="Arial" w:hAnsi="Arial"/>
          <w:sz w:val="16"/>
          <w:szCs w:val="16"/>
          <w:color w:val="auto"/>
        </w:rPr>
        <w:t xml:space="preserve">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154"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Section 6.1 Officers</w:t>
      </w:r>
      <w:r>
        <w:rPr>
          <w:rFonts w:ascii="Arial" w:cs="Arial" w:eastAsia="Arial" w:hAnsi="Arial"/>
          <w:sz w:val="17"/>
          <w:szCs w:val="17"/>
          <w:color w:val="auto"/>
        </w:rPr>
        <w:t>. The officers of the Corporation elected by the Board may include a Chief Executive Officer, a President,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Treasurer, a 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76" w:lineRule="exact"/>
        <w:rPr>
          <w:sz w:val="20"/>
          <w:szCs w:val="20"/>
          <w:color w:val="auto"/>
        </w:rPr>
      </w:pPr>
    </w:p>
    <w:p>
      <w:pPr>
        <w:jc w:val="both"/>
        <w:ind w:firstLine="1305"/>
        <w:spacing w:after="0" w:line="259" w:lineRule="auto"/>
        <w:tabs>
          <w:tab w:leader="none" w:pos="176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when present at all meetings of the stockholders and (if he or she shall be a director) of the Board.</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1727"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President</w:t>
      </w:r>
      <w:r>
        <w:rPr>
          <w:rFonts w:ascii="Arial" w:cs="Arial" w:eastAsia="Arial" w:hAnsi="Arial"/>
          <w:sz w:val="16"/>
          <w:szCs w:val="16"/>
          <w:color w:val="auto"/>
        </w:rPr>
        <w:t>. The President, if any, shall be subject to the direction and control of the Chief Executive Officer and the Board and shall have such powers and duties as the board of directors, or the Chief Executive Officer may assign to the President. If the absence (or inability or refusal to act) of the Chief Executive Officer, the President shall preside when present at all meetings of the stockholders and (if he or she shall be a director) of the Board.</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1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Specifically, Vice Presidents may include Executive Vice Presidents and Senior Vice Presidents.</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5" w:lineRule="auto"/>
        <w:tabs>
          <w:tab w:leader="none" w:pos="236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9" w:lineRule="exact"/>
        <w:rPr>
          <w:rFonts w:ascii="Arial" w:cs="Arial" w:eastAsia="Arial" w:hAnsi="Arial"/>
          <w:sz w:val="18"/>
          <w:szCs w:val="18"/>
          <w:color w:val="auto"/>
        </w:rPr>
      </w:pPr>
    </w:p>
    <w:p>
      <w:pPr>
        <w:jc w:val="both"/>
        <w:ind w:left="660" w:firstLine="1293"/>
        <w:spacing w:after="0" w:line="259" w:lineRule="auto"/>
        <w:tabs>
          <w:tab w:leader="none" w:pos="24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60" w:name="page161"/>
    <w:bookmarkEnd w:id="160"/>
    <w:p>
      <w:pPr>
        <w:ind w:right="20" w:firstLine="1305"/>
        <w:spacing w:after="0" w:line="308" w:lineRule="auto"/>
        <w:tabs>
          <w:tab w:leader="none" w:pos="168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7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perform all duties commonly incident to that office (including, without limitation, the care and custody of the funds and securities of the Corporation which from time to time may come into the Treasurer’s hands and the deposit of the funds of the Corporation in such banks or trust companies as the Board, the Chief Executive Officer or the President may authorize).</w:t>
      </w:r>
    </w:p>
    <w:p>
      <w:pPr>
        <w:spacing w:after="0" w:line="181" w:lineRule="exact"/>
        <w:rPr>
          <w:rFonts w:ascii="Arial" w:cs="Arial" w:eastAsia="Arial" w:hAnsi="Arial"/>
          <w:sz w:val="18"/>
          <w:szCs w:val="18"/>
          <w:color w:val="auto"/>
        </w:rPr>
      </w:pPr>
    </w:p>
    <w:p>
      <w:pPr>
        <w:ind w:firstLine="1305"/>
        <w:spacing w:after="0" w:line="342" w:lineRule="auto"/>
        <w:tabs>
          <w:tab w:leader="none" w:pos="164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Assistant Treasurers</w:t>
      </w:r>
      <w:r>
        <w:rPr>
          <w:rFonts w:ascii="Arial" w:cs="Arial" w:eastAsia="Arial" w:hAnsi="Arial"/>
          <w:sz w:val="16"/>
          <w:szCs w:val="16"/>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2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elected annually by the Board at its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meeting held after each annual meeting of stockholders. All officers elected by the Board shall hold office until the next annual meeting of the Board and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agents or delegate the power to remove same, as it shall from time to time deem necessary or desirable.</w:t>
      </w:r>
    </w:p>
    <w:p>
      <w:pPr>
        <w:spacing w:after="0" w:line="162"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b w:val="1"/>
          <w:bCs w:val="1"/>
          <w:color w:val="auto"/>
        </w:rPr>
        <w:t>Section 6.4 Multiple Officeholders; Stockholder and Director Officers</w:t>
      </w:r>
      <w:r>
        <w:rPr>
          <w:rFonts w:ascii="Arial" w:cs="Arial" w:eastAsia="Arial" w:hAnsi="Arial"/>
          <w:sz w:val="17"/>
          <w:szCs w:val="17"/>
          <w:color w:val="auto"/>
        </w:rPr>
        <w:t>. Any number of offices may be held by the same person,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or these Bylaws otherwise provide. Officers need not be stockholders or residents of the State of Delaware.</w:t>
      </w:r>
    </w:p>
    <w:p>
      <w:pPr>
        <w:spacing w:after="0" w:line="13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SHARES</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shall be represented by certificates,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representing the number of shares registered in certificate form. The Corporation shall not have power to issue a certificate representing shares in bearer form.</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of any class, the Corporation shall (a) 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1" w:name="page162"/>
    <w:bookmarkEnd w:id="161"/>
    <w:p>
      <w:pPr>
        <w:jc w:val="both"/>
        <w:ind w:firstLine="1297"/>
        <w:spacing w:after="0" w:line="298" w:lineRule="auto"/>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(a) the Chief Executive Officer</w:t>
      </w:r>
      <w:r>
        <w:rPr>
          <w:rFonts w:ascii="Arial" w:cs="Arial" w:eastAsia="Arial" w:hAnsi="Arial"/>
          <w:sz w:val="16"/>
          <w:szCs w:val="16"/>
          <w:b w:val="1"/>
          <w:bCs w:val="1"/>
          <w:color w:val="auto"/>
        </w:rPr>
        <w:t>,</w:t>
      </w:r>
      <w:r>
        <w:rPr>
          <w:rFonts w:ascii="Arial" w:cs="Arial" w:eastAsia="Arial" w:hAnsi="Arial"/>
          <w:sz w:val="16"/>
          <w:szCs w:val="16"/>
          <w:color w:val="auto"/>
        </w:rPr>
        <w:t xml:space="preserve">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5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Consideration and Payment for Shares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6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benefit to the Corporation including cash, promissory notes, services performed, contracts for services to be performed or other securities.</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171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6"/>
          <w:szCs w:val="16"/>
          <w:b w:val="1"/>
          <w:bCs w:val="1"/>
          <w:color w:val="auto"/>
        </w:rPr>
        <w:t>Lost, Destroyed or Wrongfully Taken Certificates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2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3" w:lineRule="exact"/>
        <w:rPr>
          <w:rFonts w:ascii="Arial" w:cs="Arial" w:eastAsia="Arial" w:hAnsi="Arial"/>
          <w:sz w:val="18"/>
          <w:szCs w:val="18"/>
          <w:color w:val="auto"/>
        </w:rPr>
      </w:pPr>
    </w:p>
    <w:p>
      <w:pPr>
        <w:jc w:val="both"/>
        <w:ind w:firstLine="1305"/>
        <w:spacing w:after="0" w:line="279" w:lineRule="auto"/>
        <w:tabs>
          <w:tab w:leader="none" w:pos="183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Transfer of Stock</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9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1" w:lineRule="exact"/>
        <w:rPr>
          <w:rFonts w:ascii="Arial" w:cs="Arial" w:eastAsia="Arial" w:hAnsi="Arial"/>
          <w:sz w:val="18"/>
          <w:szCs w:val="18"/>
          <w:color w:val="auto"/>
        </w:rPr>
      </w:pPr>
    </w:p>
    <w:p>
      <w:pPr>
        <w:ind w:left="2300" w:hanging="347"/>
        <w:spacing w:after="0"/>
        <w:tabs>
          <w:tab w:leader="none" w:pos="2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43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with respect to certificated shares, the indorsement is made by the person specified by the certificate as entitled to such shares; (B) 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62" w:name="page163"/>
    <w:bookmarkEnd w:id="162"/>
    <w:p>
      <w:pPr>
        <w:ind w:left="660" w:right="20" w:firstLine="1293"/>
        <w:spacing w:after="0" w:line="277" w:lineRule="auto"/>
        <w:tabs>
          <w:tab w:leader="none" w:pos="246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indorsement or instruction or such other reasonable assurance that the indorsement or instruction is genuine and authorized as the Corporation may request;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transfer does not violate any restriction on transfer imposed by the Corporation that is enforceable in accordance with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2340" w:hanging="387"/>
        <w:spacing w:after="0"/>
        <w:tabs>
          <w:tab w:leader="none" w:pos="2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sz w:val="20"/>
          <w:szCs w:val="20"/>
          <w:color w:val="auto"/>
        </w:rPr>
      </w:pPr>
    </w:p>
    <w:p>
      <w:pPr>
        <w:jc w:val="both"/>
        <w:ind w:firstLine="1305"/>
        <w:spacing w:after="0" w:line="286" w:lineRule="auto"/>
        <w:tabs>
          <w:tab w:leader="none" w:pos="17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6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color w:val="auto"/>
        </w:rPr>
        <w:t>Effect of the Corporation’s Restriction on Transfer</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6" w:lineRule="auto"/>
        <w:tabs>
          <w:tab w:leader="none" w:pos="179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72" w:lineRule="exact"/>
        <w:rPr>
          <w:rFonts w:ascii="Arial" w:cs="Arial" w:eastAsia="Arial" w:hAnsi="Arial"/>
          <w:sz w:val="17"/>
          <w:szCs w:val="17"/>
          <w:color w:val="auto"/>
        </w:rPr>
      </w:pPr>
    </w:p>
    <w:p>
      <w:pPr>
        <w:jc w:val="both"/>
        <w:ind w:firstLine="1305"/>
        <w:spacing w:after="0" w:line="257" w:lineRule="auto"/>
        <w:tabs>
          <w:tab w:leader="none" w:pos="16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8.1 Right to Indemnification</w:t>
      </w:r>
      <w:r>
        <w:rPr>
          <w:rFonts w:ascii="Arial" w:cs="Arial" w:eastAsia="Arial" w:hAnsi="Arial"/>
          <w:sz w:val="18"/>
          <w:szCs w:val="18"/>
          <w:color w:val="auto"/>
        </w:rPr>
        <w:t>. Each person who was or is made a party or is threatened to be made a party to or is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involved in any threatened, pending or completed action, suit or proceeding, whether civil, criminal, administrative or investigative (hereinafter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whether the basis of such proceeding is alleged action in an official capacity as 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63" w:name="page164"/>
    <w:bookmarkEnd w:id="163"/>
    <w:p>
      <w:pPr>
        <w:jc w:val="both"/>
        <w:spacing w:after="0" w:line="273" w:lineRule="auto"/>
        <w:rPr>
          <w:sz w:val="20"/>
          <w:szCs w:val="20"/>
          <w:color w:val="auto"/>
        </w:rPr>
      </w:pPr>
      <w:r>
        <w:rPr>
          <w:rFonts w:ascii="Arial" w:cs="Arial" w:eastAsia="Arial" w:hAnsi="Arial"/>
          <w:sz w:val="17"/>
          <w:szCs w:val="17"/>
          <w:color w:val="auto"/>
        </w:rPr>
        <w:t xml:space="preserve">director, officer, employee or agent, or in any other capacity while serving as a director, officer, employee or agent, shall be indemnified and held harmless by the Corporation to the fullest extent permitted by applicable law, as the same exists or may hereafter be amended, against all expenses, liability and loss (including, without limitation, attorneys’ fees, judgments, fines, ERISA excise taxes and penalties and amounts paid in settlement) reasonably incurred or suffered by such Covered Person in connection with such proceeding; provided, however, that, except as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with respect to proceedings to enforce rights to indemnification and advancement of expenses, the Corporation shall indemnify a Covered Person in connection with a proceeding (or part thereof) initiated by such Covered Person only if such proceeding (or part thereof) was authorized by the Board.</w:t>
      </w:r>
    </w:p>
    <w:p>
      <w:pPr>
        <w:spacing w:after="0" w:line="1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Section 8.2 Right to Advancement of Expenses</w:t>
      </w:r>
      <w:r>
        <w:rPr>
          <w:rFonts w:ascii="Arial" w:cs="Arial" w:eastAsia="Arial" w:hAnsi="Arial"/>
          <w:sz w:val="16"/>
          <w:szCs w:val="16"/>
          <w:color w:val="auto"/>
        </w:rPr>
        <w:t>. In addition to the right to indemnification conferred in Section 8.1, a Covered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also have the right to be paid by the Corporation the expenses (including, without limitation, attorneys’ fees) incurred in defending, testifying, or otherwise participating in any such proceeding in advance of its final disposition (hereinafter an “</w:t>
      </w:r>
      <w:r>
        <w:rPr>
          <w:rFonts w:ascii="Arial" w:cs="Arial" w:eastAsia="Arial" w:hAnsi="Arial"/>
          <w:sz w:val="16"/>
          <w:szCs w:val="16"/>
          <w:b w:val="1"/>
          <w:bCs w:val="1"/>
          <w:i w:val="1"/>
          <w:iCs w:val="1"/>
          <w:color w:val="auto"/>
        </w:rPr>
        <w:t>advancement of expenses</w:t>
      </w:r>
      <w:r>
        <w:rPr>
          <w:rFonts w:ascii="Arial" w:cs="Arial" w:eastAsia="Arial" w:hAnsi="Arial"/>
          <w:sz w:val="16"/>
          <w:szCs w:val="16"/>
          <w:color w:val="auto"/>
        </w:rPr>
        <w:t>”); provided, however, that, if the Delaware General Corporation Law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Covered Person,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xml:space="preserve">”) that such Covered Person is not entitled to be indemnified for such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w:t>
      </w:r>
    </w:p>
    <w:p>
      <w:pPr>
        <w:spacing w:after="0" w:line="16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Covered Persons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 that any Covered Person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w:t>
      </w:r>
      <w:r>
        <w:rPr>
          <w:rFonts w:ascii="Arial" w:cs="Arial" w:eastAsia="Arial" w:hAnsi="Arial"/>
          <w:sz w:val="17"/>
          <w:szCs w:val="17"/>
          <w:b w:val="1"/>
          <w:bCs w:val="1"/>
          <w:color w:val="auto"/>
        </w:rPr>
        <w:t xml:space="preserve"> </w:t>
      </w:r>
      <w:r>
        <w:rPr>
          <w:rFonts w:ascii="Arial" w:cs="Arial" w:eastAsia="Arial" w:hAnsi="Arial"/>
          <w:sz w:val="17"/>
          <w:szCs w:val="17"/>
          <w:color w:val="auto"/>
        </w:rPr>
        <w:t>agent of the Corporation or another corporation, partnership, joint venture, trust, other enterprise or nonprofit entity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8.6 Indemnification of Other Persons</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limit the right of the Corporation to the extent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permitted by law to indemnify and to advance expenses to persons other than Covered Persons. Without limiting the foregoing, the Corporation may, to the extent authorized from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9" w:right="239" w:bottom="1440" w:gutter="0" w:footer="0" w:header="0"/>
        </w:sectPr>
      </w:pPr>
    </w:p>
    <w:bookmarkStart w:id="164" w:name="page165"/>
    <w:bookmarkEnd w:id="164"/>
    <w:p>
      <w:pPr>
        <w:jc w:val="both"/>
        <w:spacing w:after="0" w:line="279" w:lineRule="auto"/>
        <w:rPr>
          <w:sz w:val="20"/>
          <w:szCs w:val="20"/>
          <w:color w:val="auto"/>
        </w:rPr>
      </w:pPr>
      <w:r>
        <w:rPr>
          <w:rFonts w:ascii="Arial" w:cs="Arial" w:eastAsia="Arial" w:hAnsi="Arial"/>
          <w:sz w:val="17"/>
          <w:szCs w:val="17"/>
          <w:color w:val="auto"/>
        </w:rPr>
        <w:t xml:space="preserve">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with respect to the indemnification and advancement of expenses of Covered Persons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67"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Section 8.7 Amendments</w:t>
      </w:r>
      <w:r>
        <w:rPr>
          <w:rFonts w:ascii="Arial" w:cs="Arial" w:eastAsia="Arial" w:hAnsi="Arial"/>
          <w:sz w:val="16"/>
          <w:szCs w:val="16"/>
          <w:color w:val="auto"/>
        </w:rPr>
        <w:t>. Any repeal or amendment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or the stockholders of the 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changes in applicable law, or the adoption of any other provision of these Bylaws inconsistent with this </w:t>
      </w:r>
      <w:r>
        <w:rPr>
          <w:rFonts w:ascii="Arial" w:cs="Arial" w:eastAsia="Arial" w:hAnsi="Arial"/>
          <w:sz w:val="16"/>
          <w:szCs w:val="16"/>
          <w:u w:val="single" w:color="auto"/>
          <w:color w:val="auto"/>
        </w:rPr>
        <w:t>Article VIII</w:t>
      </w:r>
      <w:r>
        <w:rPr>
          <w:rFonts w:ascii="Arial" w:cs="Arial" w:eastAsia="Arial" w:hAnsi="Arial"/>
          <w:sz w:val="16"/>
          <w:szCs w:val="16"/>
          <w:color w:val="auto"/>
        </w:rPr>
        <w:t>,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5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8.8 Certain Definitions</w:t>
      </w:r>
      <w:r>
        <w:rPr>
          <w:rFonts w:ascii="Arial" w:cs="Arial" w:eastAsia="Arial" w:hAnsi="Arial"/>
          <w:sz w:val="18"/>
          <w:szCs w:val="18"/>
          <w:color w:val="auto"/>
        </w:rPr>
        <w:t>.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(a) references to “other enterprise” shall include any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Covered Persons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(a) shall be contract rights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good and valuable consideration, pursuant to which a Covered Person may bring suit as if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Article VIII, (d) shall continue as to a Covered Person who has ceased to be a director or officer of the Corporation and (e) shall inure to the benefit of the Covered Person’s heirs, executors and administrators.</w:t>
      </w:r>
    </w:p>
    <w:p>
      <w:pPr>
        <w:spacing w:after="0" w:line="18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 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18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3" w:lineRule="auto"/>
        <w:tabs>
          <w:tab w:leader="none" w:pos="173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5" w:name="page166"/>
    <w:bookmarkEnd w:id="165"/>
    <w:p>
      <w:pPr>
        <w:jc w:val="both"/>
        <w:spacing w:after="0" w:line="276" w:lineRule="auto"/>
        <w:rPr>
          <w:sz w:val="20"/>
          <w:szCs w:val="20"/>
          <w:color w:val="auto"/>
        </w:rPr>
      </w:pPr>
      <w:r>
        <w:rPr>
          <w:rFonts w:ascii="Arial" w:cs="Arial" w:eastAsia="Arial" w:hAnsi="Arial"/>
          <w:sz w:val="17"/>
          <w:szCs w:val="17"/>
          <w:color w:val="auto"/>
        </w:rPr>
        <w:t xml:space="preserve">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73" w:lineRule="exact"/>
        <w:rPr>
          <w:sz w:val="20"/>
          <w:szCs w:val="20"/>
          <w:color w:val="auto"/>
        </w:rPr>
      </w:pPr>
    </w:p>
    <w:p>
      <w:pPr>
        <w:jc w:val="both"/>
        <w:ind w:firstLine="1305"/>
        <w:spacing w:after="0" w:line="276" w:lineRule="auto"/>
        <w:tabs>
          <w:tab w:leader="none" w:pos="176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rFonts w:ascii="Arial" w:cs="Arial" w:eastAsia="Arial" w:hAnsi="Arial"/>
          <w:sz w:val="17"/>
          <w:szCs w:val="17"/>
          <w:color w:val="auto"/>
        </w:rPr>
      </w:pPr>
    </w:p>
    <w:p>
      <w:pPr>
        <w:jc w:val="both"/>
        <w:ind w:firstLine="1305"/>
        <w:spacing w:after="0" w:line="289" w:lineRule="auto"/>
        <w:tabs>
          <w:tab w:leader="none" w:pos="170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spacing w:after="0" w:line="163"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Means of Giving Notice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9" w:lineRule="auto"/>
        <w:tabs>
          <w:tab w:leader="none" w:pos="169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Notice to Directors</w:t>
      </w:r>
      <w:r>
        <w:rPr>
          <w:rFonts w:ascii="Arial" w:cs="Arial" w:eastAsia="Arial" w:hAnsi="Arial"/>
          <w:sz w:val="17"/>
          <w:szCs w:val="17"/>
          <w:color w:val="auto"/>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82" w:lineRule="exact"/>
        <w:rPr>
          <w:rFonts w:ascii="Arial" w:cs="Arial" w:eastAsia="Arial" w:hAnsi="Arial"/>
          <w:sz w:val="17"/>
          <w:szCs w:val="17"/>
          <w:color w:val="auto"/>
        </w:rPr>
      </w:pPr>
    </w:p>
    <w:p>
      <w:pPr>
        <w:jc w:val="both"/>
        <w:ind w:firstLine="1305"/>
        <w:spacing w:after="0" w:line="270" w:lineRule="auto"/>
        <w:tabs>
          <w:tab w:leader="none" w:pos="1686"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Notice to Stockholders</w:t>
      </w:r>
      <w:r>
        <w:rPr>
          <w:rFonts w:ascii="Arial" w:cs="Arial" w:eastAsia="Arial" w:hAnsi="Arial"/>
          <w:sz w:val="17"/>
          <w:szCs w:val="17"/>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66" w:name="page167"/>
    <w:bookmarkEnd w:id="166"/>
    <w:p>
      <w:pPr>
        <w:jc w:val="both"/>
        <w:spacing w:after="0" w:line="290" w:lineRule="auto"/>
        <w:rPr>
          <w:sz w:val="20"/>
          <w:szCs w:val="20"/>
          <w:color w:val="auto"/>
        </w:rPr>
      </w:pPr>
      <w:r>
        <w:rPr>
          <w:rFonts w:ascii="Arial" w:cs="Arial" w:eastAsia="Arial" w:hAnsi="Arial"/>
          <w:sz w:val="16"/>
          <w:szCs w:val="16"/>
          <w:color w:val="auto"/>
        </w:rPr>
        <w:t>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66" w:lineRule="exact"/>
        <w:rPr>
          <w:sz w:val="20"/>
          <w:szCs w:val="20"/>
          <w:color w:val="auto"/>
        </w:rPr>
      </w:pPr>
    </w:p>
    <w:p>
      <w:pPr>
        <w:jc w:val="both"/>
        <w:ind w:firstLine="1305"/>
        <w:spacing w:after="0" w:line="259" w:lineRule="auto"/>
        <w:tabs>
          <w:tab w:leader="none" w:pos="186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65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754"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Exceptions to Notice Requirements</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6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w:t>
      </w:r>
      <w:r>
        <w:rPr>
          <w:rFonts w:ascii="MS PGothic" w:cs="MS PGothic" w:eastAsia="MS PGothic" w:hAnsi="MS PGothic"/>
          <w:sz w:val="16"/>
          <w:szCs w:val="16"/>
          <w:color w:val="auto"/>
        </w:rPr>
        <w:t>‑</w:t>
      </w:r>
      <w:r>
        <w:rPr>
          <w:rFonts w:ascii="Arial" w:cs="Arial" w:eastAsia="Arial" w:hAnsi="Arial"/>
          <w:sz w:val="16"/>
          <w:szCs w:val="16"/>
          <w:color w:val="auto"/>
        </w:rPr>
        <w:t>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203"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9.4 Waiver of Notice</w:t>
      </w:r>
      <w:r>
        <w:rPr>
          <w:rFonts w:ascii="Arial" w:cs="Arial" w:eastAsia="Arial" w:hAnsi="Arial"/>
          <w:sz w:val="17"/>
          <w:szCs w:val="17"/>
          <w:color w:val="auto"/>
        </w:rPr>
        <w:t>. Whenever any notice is required to be given under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a person attends for the express purpose of objecting to the transaction of any business on the ground that the meeting was not lawfully called or convened.</w:t>
      </w:r>
    </w:p>
    <w:p>
      <w:pPr>
        <w:spacing w:after="0" w:line="24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color w:val="auto"/>
        </w:rPr>
        <w:t>Meeting Attendance via Remote Communication Equipment</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08" w:lineRule="auto"/>
        <w:tabs>
          <w:tab w:leader="none" w:pos="173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Stockholder Meetings</w:t>
      </w:r>
      <w:r>
        <w:rPr>
          <w:rFonts w:ascii="Arial" w:cs="Arial" w:eastAsia="Arial" w:hAnsi="Arial"/>
          <w:sz w:val="17"/>
          <w:szCs w:val="17"/>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146" w:lineRule="exact"/>
        <w:rPr>
          <w:rFonts w:ascii="Arial" w:cs="Arial" w:eastAsia="Arial" w:hAnsi="Arial"/>
          <w:sz w:val="17"/>
          <w:szCs w:val="17"/>
          <w:color w:val="auto"/>
        </w:rPr>
      </w:pPr>
    </w:p>
    <w:p>
      <w:pPr>
        <w:ind w:left="2300" w:hanging="347"/>
        <w:spacing w:after="0"/>
        <w:tabs>
          <w:tab w:leader="none" w:pos="2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left="660" w:firstLine="1293"/>
        <w:spacing w:after="0" w:line="272" w:lineRule="auto"/>
        <w:tabs>
          <w:tab w:leader="none" w:pos="2379" w:val="left"/>
        </w:tabs>
        <w:numPr>
          <w:ilvl w:val="1"/>
          <w:numId w:val="170"/>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jc w:val="both"/>
        <w:ind w:firstLine="1305"/>
        <w:spacing w:after="0" w:line="257" w:lineRule="auto"/>
        <w:tabs>
          <w:tab w:leader="none" w:pos="176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Section 9.6 Dividends</w:t>
      </w:r>
      <w:r>
        <w:rPr>
          <w:rFonts w:ascii="Arial" w:cs="Arial" w:eastAsia="Arial" w:hAnsi="Arial"/>
          <w:sz w:val="18"/>
          <w:szCs w:val="18"/>
          <w:color w:val="auto"/>
        </w:rPr>
        <w:t>. The Board may from time to time declare, and the Corporation may pay, dividends (payable in cash,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Corporation’s capital stock) on the Corporation’s outstanding shares of capital stock, subject to applicable law and the Certificate of Incorporation.</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proper purpose and may abolish any such reserve.</w:t>
      </w:r>
    </w:p>
    <w:p>
      <w:pPr>
        <w:spacing w:after="0" w:line="16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8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9.9</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the Board.</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causing it or a facsimile thereof to be impressed, affixed or otherwise reproduced.</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place or places as may from time to time be designated by the Board.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9" w:right="239" w:bottom="1440" w:gutter="0" w:footer="0" w:header="0"/>
        </w:sectPr>
      </w:pPr>
    </w:p>
    <w:bookmarkStart w:id="168" w:name="page169"/>
    <w:bookmarkEnd w:id="168"/>
    <w:p>
      <w:pPr>
        <w:jc w:val="both"/>
        <w:ind w:firstLine="1297"/>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the Chief Executive Officer,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18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Section 9.13 Surety Bonds</w:t>
      </w:r>
      <w:r>
        <w:rPr>
          <w:rFonts w:ascii="Arial" w:cs="Arial" w:eastAsia="Arial" w:hAnsi="Arial"/>
          <w:sz w:val="16"/>
          <w:szCs w:val="16"/>
          <w:color w:val="auto"/>
        </w:rPr>
        <w:t>. Such officers, employees and agents of the Corporation (if any) as the Chief Executive Officer,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 or the Board may determine. The premiums on such bonds shall be paid by the Corporation and the bonds so furnished shall be in the custody of the Secretary.</w:t>
      </w:r>
    </w:p>
    <w:p>
      <w:pPr>
        <w:spacing w:after="0" w:line="15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Section 9.14 Securities of Other Corporations</w:t>
      </w:r>
      <w:r>
        <w:rPr>
          <w:rFonts w:ascii="Arial" w:cs="Arial" w:eastAsia="Arial" w:hAnsi="Arial"/>
          <w:sz w:val="16"/>
          <w:szCs w:val="16"/>
          <w:color w:val="auto"/>
        </w:rPr>
        <w:t>. Powers of attorney, proxies, waivers of notice of meeting, consents in writing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relating to securities owned by the Corporation may be executed in the name of and on behalf of the Corporation by the Chief Executive Officer, President or any Vice President.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Bylaws. The affirmative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66⅔% of the voting power of all outstanding shares of capital stock of the Corporation entitled to vote generally in the election of directors, voting together as a single class, shall be required for the stockholders to adopt, amend, alter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November 16, 2012</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November 16, 2012</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right="460" w:firstLine="454"/>
        <w:spacing w:after="0" w:line="277" w:lineRule="auto"/>
        <w:tabs>
          <w:tab w:leader="none" w:pos="70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2012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November 16, 2012</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I, Teresa L. Dick,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right="460" w:firstLine="454"/>
        <w:spacing w:after="0" w:line="277" w:lineRule="auto"/>
        <w:tabs>
          <w:tab w:leader="none" w:pos="70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2012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November 16, 2012</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decimal"/>
      <w:start w:val="1"/>
    </w:lvl>
    <w:lvl w:ilvl="1">
      <w:lvlJc w:val="left"/>
      <w:lvlText w:val="(%2)"/>
      <w:numFmt w:val="decimal"/>
      <w:start w:val="1"/>
    </w:lvl>
  </w:abstractNum>
  <w:abstractNum w:abstractNumId="3">
    <w:nsid w:val="3222E7CD"/>
    <w:multiLevelType w:val="hybridMultilevel"/>
    <w:lvl w:ilvl="0">
      <w:lvlJc w:val="left"/>
      <w:lvlText w:val="%1."/>
      <w:numFmt w:val="decimal"/>
      <w:start w:val="5"/>
    </w:lvl>
    <w:lvl w:ilvl="1">
      <w:lvlJc w:val="left"/>
      <w:lvlText w:val="%2"/>
      <w:numFmt w:val="decimal"/>
      <w:start w:val="1"/>
    </w:lvl>
  </w:abstractNum>
  <w:abstractNum w:abstractNumId="4">
    <w:nsid w:val="74DE0EE3"/>
    <w:multiLevelType w:val="hybridMultilevel"/>
    <w:lvl w:ilvl="0">
      <w:lvlJc w:val="left"/>
      <w:lvlText w:val="(%1)"/>
      <w:numFmt w:val="decimal"/>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1)"/>
      <w:numFmt w:val="decimal"/>
      <w:start w:val="1"/>
    </w:lvl>
  </w:abstractNum>
  <w:abstractNum w:abstractNumId="8">
    <w:nsid w:val="4A2AC315"/>
    <w:multiLevelType w:val="hybridMultilevel"/>
    <w:lvl w:ilvl="0">
      <w:lvlJc w:val="left"/>
      <w:lvlText w:val="(%1)"/>
      <w:numFmt w:val="decimal"/>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1)"/>
      <w:numFmt w:val="lowerLetter"/>
      <w:start w:val="1"/>
    </w:lvl>
  </w:abstractNum>
  <w:abstractNum w:abstractNumId="11">
    <w:nsid w:val="CC1016F"/>
    <w:multiLevelType w:val="hybridMultilevel"/>
    <w:lvl w:ilvl="0">
      <w:lvlJc w:val="left"/>
      <w:lvlText w:val="(%1)"/>
      <w:numFmt w:val="lowerLetter"/>
      <w:start w:val="2"/>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1)"/>
      <w:numFmt w:val="lowerLetter"/>
      <w:start w:val="3"/>
    </w:lvl>
  </w:abstractNum>
  <w:abstractNum w:abstractNumId="14">
    <w:nsid w:val="26F324BA"/>
    <w:multiLevelType w:val="hybridMultilevel"/>
    <w:lvl w:ilvl="0">
      <w:lvlJc w:val="left"/>
      <w:lvlText w:val="(%1)"/>
      <w:numFmt w:val="lowerLetter"/>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1)"/>
      <w:numFmt w:val="lowerLetter"/>
      <w:start w:val="1"/>
    </w:lvl>
  </w:abstractNum>
  <w:abstractNum w:abstractNumId="18">
    <w:nsid w:val="5FB8370B"/>
    <w:multiLevelType w:val="hybridMultilevel"/>
    <w:lvl w:ilvl="0">
      <w:lvlJc w:val="left"/>
      <w:lvlText w:val="(%1)"/>
      <w:numFmt w:val="lowerLetter"/>
      <w:start w:val="1"/>
    </w:lvl>
  </w:abstractNum>
  <w:abstractNum w:abstractNumId="19">
    <w:nsid w:val="50801EE1"/>
    <w:multiLevelType w:val="hybridMultilevel"/>
    <w:lvl w:ilvl="0">
      <w:lvlJc w:val="left"/>
      <w:lvlText w:val="(%1)"/>
      <w:numFmt w:val="lowerLetter"/>
      <w:start w:val="2"/>
    </w:lvl>
  </w:abstractNum>
  <w:abstractNum w:abstractNumId="20">
    <w:nsid w:val="488AC1A"/>
    <w:multiLevelType w:val="hybridMultilevel"/>
    <w:lvl w:ilvl="0">
      <w:lvlJc w:val="left"/>
      <w:lvlText w:val="(%1)"/>
      <w:numFmt w:val="lowerLetter"/>
      <w:start w:val="4"/>
    </w:lvl>
  </w:abstractNum>
  <w:abstractNum w:abstractNumId="21">
    <w:nsid w:val="5FB8011C"/>
    <w:multiLevelType w:val="hybridMultilevel"/>
    <w:lvl w:ilvl="0">
      <w:lvlJc w:val="left"/>
      <w:lvlText w:val="(%1)"/>
      <w:numFmt w:val="lowerLetter"/>
      <w:start w:val="6"/>
    </w:lvl>
  </w:abstractNum>
  <w:abstractNum w:abstractNumId="22">
    <w:nsid w:val="6AA78F7F"/>
    <w:multiLevelType w:val="hybridMultilevel"/>
    <w:lvl w:ilvl="0">
      <w:lvlJc w:val="left"/>
      <w:lvlText w:val="(%1)"/>
      <w:numFmt w:val="lowerLetter"/>
      <w:start w:val="1"/>
    </w:lvl>
  </w:abstractNum>
  <w:abstractNum w:abstractNumId="23">
    <w:nsid w:val="7672BD23"/>
    <w:multiLevelType w:val="hybridMultilevel"/>
    <w:lvl w:ilvl="0">
      <w:lvlJc w:val="left"/>
      <w:lvlText w:val="(%1)"/>
      <w:numFmt w:val="lowerLetter"/>
      <w:start w:val="1"/>
    </w:lvl>
  </w:abstractNum>
  <w:abstractNum w:abstractNumId="24">
    <w:nsid w:val="6FC75AF8"/>
    <w:multiLevelType w:val="hybridMultilevel"/>
    <w:lvl w:ilvl="0">
      <w:lvlJc w:val="left"/>
      <w:lvlText w:val="(%1)"/>
      <w:numFmt w:val="lowerLetter"/>
      <w:start w:val="2"/>
    </w:lvl>
  </w:abstractNum>
  <w:abstractNum w:abstractNumId="25">
    <w:nsid w:val="6A5F7029"/>
    <w:multiLevelType w:val="hybridMultilevel"/>
    <w:lvl w:ilvl="0">
      <w:lvlJc w:val="left"/>
      <w:lvlText w:val="(%1)"/>
      <w:numFmt w:val="lowerLetter"/>
      <w:start w:val="1"/>
    </w:lvl>
    <w:lvl w:ilvl="1">
      <w:lvlJc w:val="left"/>
      <w:lvlText w:val="(%2)"/>
      <w:numFmt w:val="lowerLetter"/>
      <w:start w:val="9"/>
    </w:lvl>
  </w:abstractNum>
  <w:abstractNum w:abstractNumId="26">
    <w:nsid w:val="7D5E18F8"/>
    <w:multiLevelType w:val="hybridMultilevel"/>
    <w:lvl w:ilvl="0">
      <w:lvlJc w:val="left"/>
      <w:lvlText w:val="(%1)"/>
      <w:numFmt w:val="lowerRoman"/>
      <w:start w:val="2"/>
    </w:lvl>
  </w:abstractNum>
  <w:abstractNum w:abstractNumId="27">
    <w:nsid w:val="5F3534A4"/>
    <w:multiLevelType w:val="hybridMultilevel"/>
    <w:lvl w:ilvl="0">
      <w:lvlJc w:val="left"/>
      <w:lvlText w:val="(%1)"/>
      <w:numFmt w:val="lowerLetter"/>
      <w:start w:val="4"/>
    </w:lvl>
  </w:abstractNum>
  <w:abstractNum w:abstractNumId="28">
    <w:nsid w:val="73A1821B"/>
    <w:multiLevelType w:val="hybridMultilevel"/>
    <w:lvl w:ilvl="0">
      <w:lvlJc w:val="left"/>
      <w:lvlText w:val="(%1)"/>
      <w:numFmt w:val="lowerLetter"/>
      <w:start w:val="1"/>
    </w:lvl>
    <w:lvl w:ilvl="1">
      <w:lvlJc w:val="left"/>
      <w:lvlText w:val="(%2)"/>
      <w:numFmt w:val="lowerRoman"/>
      <w:start w:val="3"/>
    </w:lvl>
  </w:abstractNum>
  <w:abstractNum w:abstractNumId="29">
    <w:nsid w:val="7DE67713"/>
    <w:multiLevelType w:val="hybridMultilevel"/>
    <w:lvl w:ilvl="0">
      <w:lvlJc w:val="left"/>
      <w:lvlText w:val="(%1)"/>
      <w:numFmt w:val="lowerRoman"/>
      <w:start w:val="5"/>
    </w:lvl>
  </w:abstractNum>
  <w:abstractNum w:abstractNumId="30">
    <w:nsid w:val="555C55B5"/>
    <w:multiLevelType w:val="hybridMultilevel"/>
    <w:lvl w:ilvl="0">
      <w:lvlJc w:val="left"/>
      <w:lvlText w:val="%1"/>
      <w:numFmt w:val="lowerLetter"/>
      <w:start w:val="1"/>
    </w:lvl>
    <w:lvl w:ilvl="1">
      <w:lvlJc w:val="left"/>
      <w:lvlText w:val="(%2)"/>
      <w:numFmt w:val="lowerRoman"/>
      <w:start w:val="7"/>
    </w:lvl>
  </w:abstractNum>
  <w:abstractNum w:abstractNumId="31">
    <w:nsid w:val="3FA62ACA"/>
    <w:multiLevelType w:val="hybridMultilevel"/>
    <w:lvl w:ilvl="0">
      <w:lvlJc w:val="left"/>
      <w:lvlText w:val="(%1)"/>
      <w:numFmt w:val="lowerLetter"/>
      <w:start w:val="2"/>
    </w:lvl>
    <w:lvl w:ilvl="1">
      <w:lvlJc w:val="left"/>
      <w:lvlText w:val="%2"/>
      <w:numFmt w:val="lowerRoman"/>
      <w:start w:val="1"/>
    </w:lvl>
  </w:abstractNum>
  <w:abstractNum w:abstractNumId="32">
    <w:nsid w:val="14FCE74E"/>
    <w:multiLevelType w:val="hybridMultilevel"/>
    <w:lvl w:ilvl="0">
      <w:lvlJc w:val="left"/>
      <w:lvlText w:val="(%1)"/>
      <w:numFmt w:val="lowerLetter"/>
      <w:start w:val="1"/>
    </w:lvl>
  </w:abstractNum>
  <w:abstractNum w:abstractNumId="33">
    <w:nsid w:val="6A3DD3E8"/>
    <w:multiLevelType w:val="hybridMultilevel"/>
    <w:lvl w:ilvl="0">
      <w:lvlJc w:val="left"/>
      <w:lvlText w:val="(%1)"/>
      <w:numFmt w:val="lowerLetter"/>
      <w:start w:val="3"/>
    </w:lvl>
  </w:abstractNum>
  <w:abstractNum w:abstractNumId="34">
    <w:nsid w:val="71C91298"/>
    <w:multiLevelType w:val="hybridMultilevel"/>
    <w:lvl w:ilvl="0">
      <w:lvlJc w:val="left"/>
      <w:lvlText w:val="(%1)"/>
      <w:numFmt w:val="lowerLetter"/>
      <w:start w:val="5"/>
    </w:lvl>
  </w:abstractNum>
  <w:abstractNum w:abstractNumId="35">
    <w:nsid w:val="9DAF632"/>
    <w:multiLevelType w:val="hybridMultilevel"/>
    <w:lvl w:ilvl="0">
      <w:lvlJc w:val="left"/>
      <w:lvlText w:val="(%1)"/>
      <w:numFmt w:val="lowerLetter"/>
      <w:start w:val="7"/>
    </w:lvl>
  </w:abstractNum>
  <w:abstractNum w:abstractNumId="36">
    <w:nsid w:val="53299938"/>
    <w:multiLevelType w:val="hybridMultilevel"/>
    <w:lvl w:ilvl="0">
      <w:lvlJc w:val="left"/>
      <w:lvlText w:val="(%1)"/>
      <w:numFmt w:val="lowerLetter"/>
      <w:start w:val="6"/>
    </w:lvl>
    <w:lvl w:ilvl="1">
      <w:lvlJc w:val="left"/>
      <w:lvlText w:val="(%2)"/>
      <w:numFmt w:val="lowerRoman"/>
      <w:start w:val="1"/>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lowerLetter"/>
      <w:start w:val="2"/>
    </w:lvl>
  </w:abstractNum>
  <w:abstractNum w:abstractNumId="39">
    <w:nsid w:val="1D545C4D"/>
    <w:multiLevelType w:val="hybridMultilevel"/>
    <w:lvl w:ilvl="0">
      <w:lvlJc w:val="left"/>
      <w:lvlText w:val="(%1)"/>
      <w:numFmt w:val="lowerLetter"/>
      <w:start w:val="1"/>
    </w:lvl>
  </w:abstractNum>
  <w:abstractNum w:abstractNumId="40">
    <w:nsid w:val="59ADEA3D"/>
    <w:multiLevelType w:val="hybridMultilevel"/>
    <w:lvl w:ilvl="0">
      <w:lvlJc w:val="left"/>
      <w:lvlText w:val="(%1)"/>
      <w:numFmt w:val="lowerLetter"/>
      <w:start w:val="1"/>
    </w:lvl>
    <w:lvl w:ilvl="1">
      <w:lvlJc w:val="left"/>
      <w:lvlText w:val="(%2)"/>
      <w:numFmt w:val="lowerRoman"/>
      <w:start w:val="1"/>
    </w:lvl>
  </w:abstractNum>
  <w:abstractNum w:abstractNumId="41">
    <w:nsid w:val="288F1A34"/>
    <w:multiLevelType w:val="hybridMultilevel"/>
    <w:lvl w:ilvl="0">
      <w:lvlJc w:val="left"/>
      <w:lvlText w:val="(%1)"/>
      <w:numFmt w:val="lowerLetter"/>
      <w:start w:val="1"/>
    </w:lvl>
  </w:abstractNum>
  <w:abstractNum w:abstractNumId="42">
    <w:nsid w:val="2A155DBC"/>
    <w:multiLevelType w:val="hybridMultilevel"/>
    <w:lvl w:ilvl="0">
      <w:lvlJc w:val="left"/>
      <w:lvlText w:val="(%1)"/>
      <w:numFmt w:val="lowerLetter"/>
      <w:start w:val="1"/>
    </w:lvl>
  </w:abstractNum>
  <w:abstractNum w:abstractNumId="43">
    <w:nsid w:val="1D9F6E5F"/>
    <w:multiLevelType w:val="hybridMultilevel"/>
    <w:lvl w:ilvl="0">
      <w:lvlJc w:val="left"/>
      <w:lvlText w:val="(%1)"/>
      <w:numFmt w:val="lowerLetter"/>
      <w:start w:val="2"/>
    </w:lvl>
  </w:abstractNum>
  <w:abstractNum w:abstractNumId="44">
    <w:nsid w:val="97E1B4E"/>
    <w:multiLevelType w:val="hybridMultilevel"/>
    <w:lvl w:ilvl="0">
      <w:lvlJc w:val="left"/>
      <w:lvlText w:val="(%1)"/>
      <w:numFmt w:val="lowerLetter"/>
      <w:start w:val="3"/>
    </w:lvl>
  </w:abstractNum>
  <w:abstractNum w:abstractNumId="45">
    <w:nsid w:val="51088277"/>
    <w:multiLevelType w:val="hybridMultilevel"/>
    <w:lvl w:ilvl="0">
      <w:lvlJc w:val="left"/>
      <w:lvlText w:val="(%1)"/>
      <w:numFmt w:val="lowerLetter"/>
      <w:start w:val="5"/>
    </w:lvl>
  </w:abstractNum>
  <w:abstractNum w:abstractNumId="46">
    <w:nsid w:val="1CA0C5FA"/>
    <w:multiLevelType w:val="hybridMultilevel"/>
    <w:lvl w:ilvl="0">
      <w:lvlJc w:val="left"/>
      <w:lvlText w:val="(%1)"/>
      <w:numFmt w:val="lowerLetter"/>
      <w:start w:val="1"/>
    </w:lvl>
    <w:lvl w:ilvl="1">
      <w:lvlJc w:val="left"/>
      <w:lvlText w:val="(%2)"/>
      <w:numFmt w:val="lowerRoman"/>
      <w:start w:val="1"/>
    </w:lvl>
  </w:abstractNum>
  <w:abstractNum w:abstractNumId="47">
    <w:nsid w:val="53584BCB"/>
    <w:multiLevelType w:val="hybridMultilevel"/>
    <w:lvl w:ilvl="0">
      <w:lvlJc w:val="left"/>
      <w:lvlText w:val="%1"/>
      <w:numFmt w:val="lowerLetter"/>
      <w:start w:val="1"/>
    </w:lvl>
    <w:lvl w:ilvl="1">
      <w:lvlJc w:val="left"/>
      <w:lvlText w:val="(%2)"/>
      <w:numFmt w:val="lowerLetter"/>
      <w:start w:val="1"/>
    </w:lvl>
  </w:abstractNum>
  <w:abstractNum w:abstractNumId="48">
    <w:nsid w:val="415E286C"/>
    <w:multiLevelType w:val="hybridMultilevel"/>
    <w:lvl w:ilvl="0">
      <w:lvlJc w:val="left"/>
      <w:lvlText w:val="(%1)"/>
      <w:numFmt w:val="lowerLetter"/>
      <w:start w:val="9"/>
    </w:lvl>
    <w:lvl w:ilvl="1">
      <w:lvlJc w:val="left"/>
      <w:lvlText w:val="(%2)"/>
      <w:numFmt w:val="lowerLetter"/>
      <w:start w:val="3"/>
    </w:lvl>
  </w:abstractNum>
  <w:abstractNum w:abstractNumId="49">
    <w:nsid w:val="7C58FD05"/>
    <w:multiLevelType w:val="hybridMultilevel"/>
    <w:lvl w:ilvl="0">
      <w:lvlJc w:val="left"/>
      <w:lvlText w:val="%1"/>
      <w:numFmt w:val="upperLetter"/>
      <w:start w:val="1"/>
    </w:lvl>
    <w:lvl w:ilvl="1">
      <w:lvlJc w:val="left"/>
      <w:lvlText w:val="(%2)"/>
      <w:numFmt w:val="lowerLetter"/>
      <w:start w:val="4"/>
    </w:lvl>
  </w:abstractNum>
  <w:abstractNum w:abstractNumId="50">
    <w:nsid w:val="23D86AAC"/>
    <w:multiLevelType w:val="hybridMultilevel"/>
    <w:lvl w:ilvl="0">
      <w:lvlJc w:val="left"/>
      <w:lvlText w:val="(%1)"/>
      <w:numFmt w:val="upperLetter"/>
      <w:start w:val="1"/>
    </w:lvl>
    <w:lvl w:ilvl="1">
      <w:lvlJc w:val="left"/>
      <w:lvlText w:val="(%2)"/>
      <w:numFmt w:val="lowerLetter"/>
      <w:start w:val="5"/>
    </w:lvl>
  </w:abstractNum>
  <w:abstractNum w:abstractNumId="51">
    <w:nsid w:val="45E6D486"/>
    <w:multiLevelType w:val="hybridMultilevel"/>
    <w:lvl w:ilvl="0">
      <w:lvlJc w:val="left"/>
      <w:lvlText w:val="(%1)"/>
      <w:numFmt w:val="lowerLetter"/>
      <w:start w:val="1"/>
    </w:lvl>
  </w:abstractNum>
  <w:abstractNum w:abstractNumId="52">
    <w:nsid w:val="5C10FE21"/>
    <w:multiLevelType w:val="hybridMultilevel"/>
    <w:lvl w:ilvl="0">
      <w:lvlJc w:val="left"/>
      <w:lvlText w:val="(%1)"/>
      <w:numFmt w:val="lowerLetter"/>
      <w:start w:val="1"/>
    </w:lvl>
    <w:lvl w:ilvl="1">
      <w:lvlJc w:val="left"/>
      <w:lvlText w:val="(%2)"/>
      <w:numFmt w:val="decimal"/>
      <w:start w:val="1"/>
    </w:lvl>
  </w:abstractNum>
  <w:abstractNum w:abstractNumId="53">
    <w:nsid w:val="E7FFA2B"/>
    <w:multiLevelType w:val="hybridMultilevel"/>
    <w:lvl w:ilvl="0">
      <w:lvlJc w:val="left"/>
      <w:lvlText w:val="(%1)"/>
      <w:numFmt w:val="decimal"/>
      <w:start w:val="4"/>
    </w:lvl>
  </w:abstractNum>
  <w:abstractNum w:abstractNumId="54">
    <w:nsid w:val="3C5991AA"/>
    <w:multiLevelType w:val="hybridMultilevel"/>
    <w:lvl w:ilvl="0">
      <w:lvlJc w:val="left"/>
      <w:lvlText w:val="(%1)"/>
      <w:numFmt w:val="decimal"/>
      <w:start w:val="11"/>
    </w:lvl>
  </w:abstractNum>
  <w:abstractNum w:abstractNumId="55">
    <w:nsid w:val="4BD8591A"/>
    <w:multiLevelType w:val="hybridMultilevel"/>
    <w:lvl w:ilvl="0">
      <w:lvlJc w:val="left"/>
      <w:lvlText w:val="(%1)"/>
      <w:numFmt w:val="lowerLetter"/>
      <w:start w:val="1"/>
    </w:lvl>
  </w:abstractNum>
  <w:abstractNum w:abstractNumId="56">
    <w:nsid w:val="78DF6A55"/>
    <w:multiLevelType w:val="hybridMultilevel"/>
    <w:lvl w:ilvl="0">
      <w:lvlJc w:val="left"/>
      <w:lvlText w:val="(%1)"/>
      <w:numFmt w:val="lowerLetter"/>
      <w:start w:val="1"/>
    </w:lvl>
  </w:abstractNum>
  <w:abstractNum w:abstractNumId="57">
    <w:nsid w:val="39B7AAA2"/>
    <w:multiLevelType w:val="hybridMultilevel"/>
    <w:lvl w:ilvl="0">
      <w:lvlJc w:val="left"/>
      <w:lvlText w:val="(%1)"/>
      <w:numFmt w:val="lowerLetter"/>
      <w:start w:val="2"/>
    </w:lvl>
  </w:abstractNum>
  <w:abstractNum w:abstractNumId="58">
    <w:nsid w:val="2B0D8DBE"/>
    <w:multiLevelType w:val="hybridMultilevel"/>
    <w:lvl w:ilvl="0">
      <w:lvlJc w:val="left"/>
      <w:lvlText w:val="%1"/>
      <w:numFmt w:val="lowerLetter"/>
      <w:start w:val="1"/>
    </w:lvl>
    <w:lvl w:ilvl="1">
      <w:lvlJc w:val="left"/>
      <w:lvlText w:val="(%2)"/>
      <w:numFmt w:val="lowerLetter"/>
      <w:start w:val="4"/>
    </w:lvl>
  </w:abstractNum>
  <w:abstractNum w:abstractNumId="59">
    <w:nsid w:val="6C80EC70"/>
    <w:multiLevelType w:val="hybridMultilevel"/>
    <w:lvl w:ilvl="0">
      <w:lvlJc w:val="left"/>
      <w:lvlText w:val="(%1)"/>
      <w:numFmt w:val="lowerLetter"/>
      <w:start w:val="61"/>
    </w:lvl>
    <w:lvl w:ilvl="1">
      <w:lvlJc w:val="left"/>
      <w:lvlText w:val="(%2)"/>
      <w:numFmt w:val="lowerLetter"/>
      <w:start w:val="5"/>
    </w:lvl>
  </w:abstractNum>
  <w:abstractNum w:abstractNumId="60">
    <w:nsid w:val="379E21B5"/>
    <w:multiLevelType w:val="hybridMultilevel"/>
    <w:lvl w:ilvl="0">
      <w:lvlJc w:val="left"/>
      <w:lvlText w:val="(%1)"/>
      <w:numFmt w:val="lowerLetter"/>
      <w:start w:val="1"/>
    </w:lvl>
  </w:abstractNum>
  <w:abstractNum w:abstractNumId="61">
    <w:nsid w:val="69E373"/>
    <w:multiLevelType w:val="hybridMultilevel"/>
    <w:lvl w:ilvl="0">
      <w:lvlJc w:val="left"/>
      <w:lvlText w:val="(%1)"/>
      <w:numFmt w:val="lowerLetter"/>
      <w:start w:val="1"/>
    </w:lvl>
  </w:abstractNum>
  <w:abstractNum w:abstractNumId="62">
    <w:nsid w:val="2C27173B"/>
    <w:multiLevelType w:val="hybridMultilevel"/>
    <w:lvl w:ilvl="0">
      <w:lvlJc w:val="left"/>
      <w:lvlText w:val="(%1)"/>
      <w:numFmt w:val="lowerLetter"/>
      <w:start w:val="2"/>
    </w:lvl>
  </w:abstractNum>
  <w:abstractNum w:abstractNumId="63">
    <w:nsid w:val="4C9B0904"/>
    <w:multiLevelType w:val="hybridMultilevel"/>
    <w:lvl w:ilvl="0">
      <w:lvlJc w:val="left"/>
      <w:lvlText w:val="(%1)"/>
      <w:numFmt w:val="lowerRoman"/>
      <w:start w:val="1"/>
    </w:lvl>
  </w:abstractNum>
  <w:abstractNum w:abstractNumId="64">
    <w:nsid w:val="6AA7B75C"/>
    <w:multiLevelType w:val="hybridMultilevel"/>
    <w:lvl w:ilvl="0">
      <w:lvlJc w:val="left"/>
      <w:lvlText w:val="(%1)"/>
      <w:numFmt w:val="upperLetter"/>
      <w:start w:val="61"/>
    </w:lvl>
  </w:abstractNum>
  <w:abstractNum w:abstractNumId="65">
    <w:nsid w:val="1DF029D3"/>
    <w:multiLevelType w:val="hybridMultilevel"/>
    <w:lvl w:ilvl="0">
      <w:lvlJc w:val="left"/>
      <w:lvlText w:val="(%1)"/>
      <w:numFmt w:val="lowerLetter"/>
      <w:start w:val="10"/>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1"/>
    </w:lvl>
    <w:lvl w:ilvl="1">
      <w:lvlJc w:val="left"/>
      <w:lvlText w:val="(%2)"/>
      <w:numFmt w:val="lowerLetter"/>
      <w:start w:val="2"/>
    </w:lvl>
  </w:abstractNum>
  <w:abstractNum w:abstractNumId="68">
    <w:nsid w:val="3DB012B3"/>
    <w:multiLevelType w:val="hybridMultilevel"/>
    <w:lvl w:ilvl="0">
      <w:lvlJc w:val="left"/>
      <w:lvlText w:val="(%1)"/>
      <w:numFmt w:val="lowerLetter"/>
      <w:start w:val="9"/>
    </w:lvl>
    <w:lvl w:ilvl="1">
      <w:lvlJc w:val="left"/>
      <w:lvlText w:val="(%2)"/>
      <w:numFmt w:val="lowerLetter"/>
      <w:start w:val="3"/>
    </w:lvl>
  </w:abstractNum>
  <w:abstractNum w:abstractNumId="69">
    <w:nsid w:val="2708C9AF"/>
    <w:multiLevelType w:val="hybridMultilevel"/>
    <w:lvl w:ilvl="0">
      <w:lvlJc w:val="left"/>
      <w:lvlText w:val="(%1)"/>
      <w:numFmt w:val="lowerLetter"/>
      <w:start w:val="7"/>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1"/>
    </w:lvl>
    <w:lvl w:ilvl="1">
      <w:lvlJc w:val="left"/>
      <w:lvlText w:val="(%2)"/>
      <w:numFmt w:val="decimal"/>
      <w:start w:val="1"/>
    </w:lvl>
  </w:abstractNum>
  <w:abstractNum w:abstractNumId="72">
    <w:nsid w:val="4F97E3E4"/>
    <w:multiLevelType w:val="hybridMultilevel"/>
    <w:lvl w:ilvl="0">
      <w:lvlJc w:val="left"/>
      <w:lvlText w:val="(%1)"/>
      <w:numFmt w:val="decimal"/>
      <w:start w:val="4"/>
    </w:lvl>
  </w:abstractNum>
  <w:abstractNum w:abstractNumId="73">
    <w:nsid w:val="53B0A9E"/>
    <w:multiLevelType w:val="hybridMultilevel"/>
    <w:lvl w:ilvl="0">
      <w:lvlJc w:val="left"/>
      <w:lvlText w:val="(%1)"/>
      <w:numFmt w:val="decimal"/>
      <w:start w:val="11"/>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Letter"/>
      <w:start w:val="1"/>
    </w:lvl>
  </w:abstractNum>
  <w:abstractNum w:abstractNumId="76">
    <w:nsid w:val="56438D15"/>
    <w:multiLevelType w:val="hybridMultilevel"/>
    <w:lvl w:ilvl="0">
      <w:lvlJc w:val="left"/>
      <w:lvlText w:val="(%1)"/>
      <w:numFmt w:val="lowerLetter"/>
      <w:start w:val="2"/>
    </w:lvl>
  </w:abstractNum>
  <w:abstractNum w:abstractNumId="77">
    <w:nsid w:val="519E3149"/>
    <w:multiLevelType w:val="hybridMultilevel"/>
    <w:lvl w:ilvl="0">
      <w:lvlJc w:val="left"/>
      <w:lvlText w:val="%1"/>
      <w:numFmt w:val="lowerLetter"/>
      <w:start w:val="1"/>
    </w:lvl>
    <w:lvl w:ilvl="1">
      <w:lvlJc w:val="left"/>
      <w:lvlText w:val="(%2)"/>
      <w:numFmt w:val="lowerLetter"/>
      <w:start w:val="4"/>
    </w:lvl>
  </w:abstractNum>
  <w:abstractNum w:abstractNumId="78">
    <w:nsid w:val="2C6E4AFD"/>
    <w:multiLevelType w:val="hybridMultilevel"/>
    <w:lvl w:ilvl="0">
      <w:lvlJc w:val="left"/>
      <w:lvlText w:val="(%1)"/>
      <w:numFmt w:val="lowerLetter"/>
      <w:start w:val="61"/>
    </w:lvl>
    <w:lvl w:ilvl="1">
      <w:lvlJc w:val="left"/>
      <w:lvlText w:val="(%2)"/>
      <w:numFmt w:val="lowerLetter"/>
      <w:start w:val="5"/>
    </w:lvl>
  </w:abstractNum>
  <w:abstractNum w:abstractNumId="79">
    <w:nsid w:val="17A1B582"/>
    <w:multiLevelType w:val="hybridMultilevel"/>
    <w:lvl w:ilvl="0">
      <w:lvlJc w:val="left"/>
      <w:lvlText w:val="(%1)"/>
      <w:numFmt w:val="lowerLetter"/>
      <w:start w:val="1"/>
    </w:lvl>
  </w:abstractNum>
  <w:abstractNum w:abstractNumId="80">
    <w:nsid w:val="4DF72E4E"/>
    <w:multiLevelType w:val="hybridMultilevel"/>
    <w:lvl w:ilvl="0">
      <w:lvlJc w:val="left"/>
      <w:lvlText w:val="(%1)"/>
      <w:numFmt w:val="lowerLetter"/>
      <w:start w:val="1"/>
    </w:lvl>
    <w:lvl w:ilvl="1">
      <w:lvlJc w:val="left"/>
      <w:lvlText w:val="(%2)"/>
      <w:numFmt w:val="decimal"/>
      <w:start w:val="1"/>
    </w:lvl>
  </w:abstractNum>
  <w:abstractNum w:abstractNumId="81">
    <w:nsid w:val="5046B5A9"/>
    <w:multiLevelType w:val="hybridMultilevel"/>
    <w:lvl w:ilvl="0">
      <w:lvlJc w:val="left"/>
      <w:lvlText w:val="(%1)"/>
      <w:numFmt w:val="lowerLetter"/>
      <w:start w:val="4"/>
    </w:lvl>
    <w:lvl w:ilvl="1">
      <w:lvlJc w:val="left"/>
      <w:lvlText w:val="(%2)"/>
      <w:numFmt w:val="decimal"/>
      <w:start w:val="1"/>
    </w:lvl>
  </w:abstractNum>
  <w:abstractNum w:abstractNumId="82">
    <w:nsid w:val="5D888A08"/>
    <w:multiLevelType w:val="hybridMultilevel"/>
    <w:lvl w:ilvl="0">
      <w:lvlJc w:val="left"/>
      <w:lvlText w:val="%1"/>
      <w:numFmt w:val="lowerLetter"/>
      <w:start w:val="1"/>
    </w:lvl>
    <w:lvl w:ilvl="1">
      <w:lvlJc w:val="left"/>
      <w:lvlText w:val="(%2)"/>
      <w:numFmt w:val="decimal"/>
      <w:start w:val="2"/>
    </w:lvl>
  </w:abstractNum>
  <w:abstractNum w:abstractNumId="83">
    <w:nsid w:val="2A082C70"/>
    <w:multiLevelType w:val="hybridMultilevel"/>
    <w:lvl w:ilvl="0">
      <w:lvlJc w:val="left"/>
      <w:lvlText w:val="(%1)"/>
      <w:numFmt w:val="lowerLetter"/>
      <w:start w:val="11"/>
    </w:lvl>
    <w:lvl w:ilvl="1">
      <w:lvlJc w:val="left"/>
      <w:lvlText w:val="(%2)"/>
      <w:numFmt w:val="decimal"/>
      <w:start w:val="1"/>
    </w:lvl>
  </w:abstractNum>
  <w:abstractNum w:abstractNumId="84">
    <w:nsid w:val="5EC6AFD4"/>
    <w:multiLevelType w:val="hybridMultilevel"/>
    <w:lvl w:ilvl="0">
      <w:lvlJc w:val="left"/>
      <w:lvlText w:val="(%1)"/>
      <w:numFmt w:val="decimal"/>
      <w:start w:val="3"/>
    </w:lvl>
  </w:abstractNum>
  <w:abstractNum w:abstractNumId="85">
    <w:nsid w:val="19E21BB2"/>
    <w:multiLevelType w:val="hybridMultilevel"/>
    <w:lvl w:ilvl="0">
      <w:lvlJc w:val="left"/>
      <w:lvlText w:val="%1"/>
      <w:numFmt w:val="lowerLetter"/>
      <w:start w:val="1"/>
    </w:lvl>
    <w:lvl w:ilvl="1">
      <w:lvlJc w:val="left"/>
      <w:lvlText w:val="(%2)"/>
      <w:numFmt w:val="lowerLetter"/>
      <w:start w:val="1"/>
    </w:lvl>
  </w:abstractNum>
  <w:abstractNum w:abstractNumId="86">
    <w:nsid w:val="75E0858A"/>
    <w:multiLevelType w:val="hybridMultilevel"/>
    <w:lvl w:ilvl="0">
      <w:lvlJc w:val="left"/>
      <w:lvlText w:val="(%1)"/>
      <w:numFmt w:val="lowerLetter"/>
      <w:start w:val="24"/>
    </w:lvl>
    <w:lvl w:ilvl="1">
      <w:lvlJc w:val="left"/>
      <w:lvlText w:val="(%2)"/>
      <w:numFmt w:val="lowerLetter"/>
      <w:start w:val="2"/>
    </w:lvl>
  </w:abstractNum>
  <w:abstractNum w:abstractNumId="87">
    <w:nsid w:val="57A61A29"/>
    <w:multiLevelType w:val="hybridMultilevel"/>
    <w:lvl w:ilvl="0">
      <w:lvlJc w:val="left"/>
      <w:lvlText w:val="(%1)"/>
      <w:numFmt w:val="lowerLetter"/>
      <w:start w:val="7"/>
    </w:lvl>
  </w:abstractNum>
  <w:abstractNum w:abstractNumId="88">
    <w:nsid w:val="5399C654"/>
    <w:multiLevelType w:val="hybridMultilevel"/>
    <w:lvl w:ilvl="0">
      <w:lvlJc w:val="left"/>
      <w:lvlText w:val="(%1)"/>
      <w:numFmt w:val="lowerRoman"/>
      <w:start w:val="1"/>
    </w:lvl>
  </w:abstractNum>
  <w:abstractNum w:abstractNumId="89">
    <w:nsid w:val="20EE1348"/>
    <w:multiLevelType w:val="hybridMultilevel"/>
    <w:lvl w:ilvl="0">
      <w:lvlJc w:val="left"/>
      <w:lvlText w:val="(%1)"/>
      <w:numFmt w:val="lowerLetter"/>
      <w:start w:val="10"/>
    </w:lvl>
  </w:abstractNum>
  <w:abstractNum w:abstractNumId="90">
    <w:nsid w:val="4427069A"/>
    <w:multiLevelType w:val="hybridMultilevel"/>
    <w:lvl w:ilvl="0">
      <w:lvlJc w:val="left"/>
      <w:lvlText w:val="%1."/>
      <w:numFmt w:val="decimal"/>
      <w:start w:val="1"/>
    </w:lvl>
  </w:abstractNum>
  <w:abstractNum w:abstractNumId="91">
    <w:nsid w:val="B37E80A"/>
    <w:multiLevelType w:val="hybridMultilevel"/>
    <w:lvl w:ilvl="0">
      <w:lvlJc w:val="left"/>
      <w:lvlText w:val="(%1)"/>
      <w:numFmt w:val="lowerLetter"/>
      <w:start w:val="2"/>
    </w:lvl>
    <w:lvl w:ilvl="1">
      <w:lvlJc w:val="left"/>
      <w:lvlText w:val="%2."/>
      <w:numFmt w:val="decimal"/>
      <w:start w:val="2"/>
    </w:lvl>
  </w:abstractNum>
  <w:abstractNum w:abstractNumId="92">
    <w:nsid w:val="2157F6BC"/>
    <w:multiLevelType w:val="hybridMultilevel"/>
    <w:lvl w:ilvl="0">
      <w:lvlJc w:val="left"/>
      <w:lvlText w:val="(%1)"/>
      <w:numFmt w:val="lowerLetter"/>
      <w:start w:val="1"/>
    </w:lvl>
  </w:abstractNum>
  <w:abstractNum w:abstractNumId="93">
    <w:nsid w:val="704E1DD5"/>
    <w:multiLevelType w:val="hybridMultilevel"/>
    <w:lvl w:ilvl="0">
      <w:lvlJc w:val="left"/>
      <w:lvlText w:val="(%1)"/>
      <w:numFmt w:val="lowerRoman"/>
      <w:start w:val="3"/>
    </w:lvl>
  </w:abstractNum>
  <w:abstractNum w:abstractNumId="94">
    <w:nsid w:val="57D2F10E"/>
    <w:multiLevelType w:val="hybridMultilevel"/>
    <w:lvl w:ilvl="0">
      <w:lvlJc w:val="left"/>
      <w:lvlText w:val="(%1)"/>
      <w:numFmt w:val="lowerLetter"/>
      <w:start w:val="1"/>
    </w:lvl>
  </w:abstractNum>
  <w:abstractNum w:abstractNumId="95">
    <w:nsid w:val="BFFAE18"/>
    <w:multiLevelType w:val="hybridMultilevel"/>
    <w:lvl w:ilvl="0">
      <w:lvlJc w:val="left"/>
      <w:lvlText w:val="%1."/>
      <w:numFmt w:val="decimal"/>
      <w:start w:val="3"/>
    </w:lvl>
  </w:abstractNum>
  <w:abstractNum w:abstractNumId="96">
    <w:nsid w:val="E3E47A8"/>
    <w:multiLevelType w:val="hybridMultilevel"/>
    <w:lvl w:ilvl="0">
      <w:lvlJc w:val="left"/>
      <w:lvlText w:val="(%1)"/>
      <w:numFmt w:val="lowerLetter"/>
      <w:start w:val="1"/>
    </w:lvl>
  </w:abstractNum>
  <w:abstractNum w:abstractNumId="97">
    <w:nsid w:val="2E48F044"/>
    <w:multiLevelType w:val="hybridMultilevel"/>
    <w:lvl w:ilvl="0">
      <w:lvlJc w:val="left"/>
      <w:lvlText w:val="(%1)"/>
      <w:numFmt w:val="lowerLetter"/>
      <w:start w:val="2"/>
    </w:lvl>
  </w:abstractNum>
  <w:abstractNum w:abstractNumId="98">
    <w:nsid w:val="49D0FEAC"/>
    <w:multiLevelType w:val="hybridMultilevel"/>
    <w:lvl w:ilvl="0">
      <w:lvlJc w:val="left"/>
      <w:lvlText w:val="%1."/>
      <w:numFmt w:val="decimal"/>
      <w:start w:val="4"/>
    </w:lvl>
  </w:abstractNum>
  <w:abstractNum w:abstractNumId="99">
    <w:nsid w:val="4BEE5A5B"/>
    <w:multiLevelType w:val="hybridMultilevel"/>
    <w:lvl w:ilvl="0">
      <w:lvlJc w:val="left"/>
      <w:lvlText w:val="%1."/>
      <w:numFmt w:val="decimal"/>
      <w:start w:val="5"/>
    </w:lvl>
  </w:abstractNum>
  <w:abstractNum w:abstractNumId="100">
    <w:nsid w:val="5551B9F3"/>
    <w:multiLevelType w:val="hybridMultilevel"/>
    <w:lvl w:ilvl="0">
      <w:lvlJc w:val="left"/>
      <w:lvlText w:val="(%1)"/>
      <w:numFmt w:val="lowerLetter"/>
      <w:start w:val="3"/>
    </w:lvl>
    <w:lvl w:ilvl="1">
      <w:lvlJc w:val="left"/>
      <w:lvlText w:val="(%2)"/>
      <w:numFmt w:val="decimal"/>
      <w:start w:val="1"/>
    </w:lvl>
  </w:abstractNum>
  <w:abstractNum w:abstractNumId="101">
    <w:nsid w:val="24F6AB8E"/>
    <w:multiLevelType w:val="hybridMultilevel"/>
    <w:lvl w:ilvl="0">
      <w:lvlJc w:val="left"/>
      <w:lvlText w:val="%1."/>
      <w:numFmt w:val="decimal"/>
      <w:start w:val="6"/>
    </w:lvl>
  </w:abstractNum>
  <w:abstractNum w:abstractNumId="102">
    <w:nsid w:val="634C574C"/>
    <w:multiLevelType w:val="hybridMultilevel"/>
    <w:lvl w:ilvl="0">
      <w:lvlJc w:val="left"/>
      <w:lvlText w:val="%1."/>
      <w:numFmt w:val="decimal"/>
      <w:start w:val="7"/>
    </w:lvl>
  </w:abstractNum>
  <w:abstractNum w:abstractNumId="103">
    <w:nsid w:val="24E99DD7"/>
    <w:multiLevelType w:val="hybridMultilevel"/>
    <w:lvl w:ilvl="0">
      <w:lvlJc w:val="left"/>
      <w:lvlText w:val="(%1)"/>
      <w:numFmt w:val="lowerLetter"/>
      <w:start w:val="6"/>
    </w:lvl>
  </w:abstractNum>
  <w:abstractNum w:abstractNumId="104">
    <w:nsid w:val="2A31B62D"/>
    <w:multiLevelType w:val="hybridMultilevel"/>
    <w:lvl w:ilvl="0">
      <w:lvlJc w:val="left"/>
      <w:lvlText w:val="(%1)"/>
      <w:numFmt w:val="lowerLetter"/>
      <w:start w:val="11"/>
    </w:lvl>
  </w:abstractNum>
  <w:abstractNum w:abstractNumId="105">
    <w:nsid w:val="1849C29B"/>
    <w:multiLevelType w:val="hybridMultilevel"/>
    <w:lvl w:ilvl="0">
      <w:lvlJc w:val="left"/>
      <w:lvlText w:val="(%1)"/>
      <w:numFmt w:val="lowerLetter"/>
      <w:start w:val="1"/>
    </w:lvl>
    <w:lvl w:ilvl="1">
      <w:lvlJc w:val="left"/>
      <w:lvlText w:val="(%2)"/>
      <w:numFmt w:val="decimal"/>
      <w:start w:val="1"/>
    </w:lvl>
  </w:abstractNum>
  <w:abstractNum w:abstractNumId="106">
    <w:nsid w:val="7DFF9D09"/>
    <w:multiLevelType w:val="hybridMultilevel"/>
    <w:lvl w:ilvl="0">
      <w:lvlJc w:val="left"/>
      <w:lvlText w:val="%1"/>
      <w:numFmt w:val="lowerLetter"/>
      <w:start w:val="1"/>
    </w:lvl>
    <w:lvl w:ilvl="1">
      <w:lvlJc w:val="left"/>
      <w:lvlText w:val="(%2)"/>
      <w:numFmt w:val="decimal"/>
      <w:start w:val="3"/>
    </w:lvl>
  </w:abstractNum>
  <w:abstractNum w:abstractNumId="107">
    <w:nsid w:val="754342"/>
    <w:multiLevelType w:val="hybridMultilevel"/>
    <w:lvl w:ilvl="0">
      <w:lvlJc w:val="left"/>
      <w:lvlText w:val="(%1)"/>
      <w:numFmt w:val="lowerLetter"/>
      <w:start w:val="3"/>
    </w:lvl>
    <w:lvl w:ilvl="1">
      <w:lvlJc w:val="left"/>
      <w:lvlText w:val="%2"/>
      <w:numFmt w:val="decimal"/>
      <w:start w:val="1"/>
    </w:lvl>
  </w:abstractNum>
  <w:abstractNum w:abstractNumId="108">
    <w:nsid w:val="69E7F3E5"/>
    <w:multiLevelType w:val="hybridMultilevel"/>
    <w:lvl w:ilvl="0">
      <w:lvlJc w:val="left"/>
      <w:lvlText w:val="(%1)"/>
      <w:numFmt w:val="lowerLetter"/>
      <w:start w:val="7"/>
    </w:lvl>
  </w:abstractNum>
  <w:abstractNum w:abstractNumId="109">
    <w:nsid w:val="2A6DE806"/>
    <w:multiLevelType w:val="hybridMultilevel"/>
    <w:lvl w:ilvl="0">
      <w:lvlJc w:val="left"/>
      <w:lvlText w:val="%1"/>
      <w:numFmt w:val="lowerLetter"/>
      <w:start w:val="1"/>
    </w:lvl>
    <w:lvl w:ilvl="1">
      <w:lvlJc w:val="left"/>
      <w:lvlText w:val="(%2)"/>
      <w:numFmt w:val="lowerLetter"/>
      <w:start w:val="1"/>
    </w:lvl>
  </w:abstractNum>
  <w:abstractNum w:abstractNumId="110">
    <w:nsid w:val="1816F8C4"/>
    <w:multiLevelType w:val="hybridMultilevel"/>
    <w:lvl w:ilvl="0">
      <w:lvlJc w:val="left"/>
      <w:lvlText w:val="(%1)"/>
      <w:numFmt w:val="lowerLetter"/>
      <w:start w:val="35"/>
    </w:lvl>
    <w:lvl w:ilvl="1">
      <w:lvlJc w:val="left"/>
      <w:lvlText w:val="(%2)"/>
      <w:numFmt w:val="lowerLetter"/>
      <w:start w:val="4"/>
    </w:lvl>
  </w:abstractNum>
  <w:abstractNum w:abstractNumId="111">
    <w:nsid w:val="37DF2233"/>
    <w:multiLevelType w:val="hybridMultilevel"/>
    <w:lvl w:ilvl="0">
      <w:lvlJc w:val="left"/>
      <w:lvlText w:val="%1"/>
      <w:numFmt w:val="decimal"/>
      <w:start w:val="1"/>
    </w:lvl>
    <w:lvl w:ilvl="1">
      <w:lvlJc w:val="left"/>
      <w:lvlText w:val="(%2)"/>
      <w:numFmt w:val="lowerLetter"/>
      <w:start w:val="6"/>
    </w:lvl>
  </w:abstractNum>
  <w:abstractNum w:abstractNumId="112">
    <w:nsid w:val="7AB49DAF"/>
    <w:multiLevelType w:val="hybridMultilevel"/>
    <w:lvl w:ilvl="0">
      <w:lvlJc w:val="left"/>
      <w:lvlText w:val="%1."/>
      <w:numFmt w:val="decimal"/>
      <w:start w:val="8"/>
    </w:lvl>
    <w:lvl w:ilvl="1">
      <w:lvlJc w:val="left"/>
      <w:lvlText w:val="%2"/>
      <w:numFmt w:val="lowerLetter"/>
      <w:start w:val="1"/>
    </w:lvl>
  </w:abstractNum>
  <w:abstractNum w:abstractNumId="113">
    <w:nsid w:val="759F82CD"/>
    <w:multiLevelType w:val="hybridMultilevel"/>
    <w:lvl w:ilvl="0">
      <w:lvlJc w:val="left"/>
      <w:lvlText w:val="%1."/>
      <w:numFmt w:val="decimal"/>
      <w:start w:val="9"/>
    </w:lvl>
  </w:abstractNum>
  <w:abstractNum w:abstractNumId="114">
    <w:nsid w:val="61E74EA3"/>
    <w:multiLevelType w:val="hybridMultilevel"/>
    <w:lvl w:ilvl="0">
      <w:lvlJc w:val="left"/>
      <w:lvlText w:val="%1."/>
      <w:numFmt w:val="decimal"/>
      <w:start w:val="11"/>
    </w:lvl>
  </w:abstractNum>
  <w:abstractNum w:abstractNumId="115">
    <w:nsid w:val="597B4D84"/>
    <w:multiLevelType w:val="hybridMultilevel"/>
    <w:lvl w:ilvl="0">
      <w:lvlJc w:val="left"/>
      <w:lvlText w:val="%1."/>
      <w:numFmt w:val="decimal"/>
      <w:start w:val="12"/>
    </w:lvl>
  </w:abstractNum>
  <w:abstractNum w:abstractNumId="116">
    <w:nsid w:val="F819E7F"/>
    <w:multiLevelType w:val="hybridMultilevel"/>
    <w:lvl w:ilvl="0">
      <w:lvlJc w:val="left"/>
      <w:lvlText w:val="%1"/>
      <w:numFmt w:val="decimal"/>
      <w:start w:val="1"/>
    </w:lvl>
    <w:lvl w:ilvl="1">
      <w:lvlJc w:val="left"/>
      <w:lvlText w:val="(%2)"/>
      <w:numFmt w:val="lowerLetter"/>
      <w:start w:val="1"/>
    </w:lvl>
  </w:abstractNum>
  <w:abstractNum w:abstractNumId="117">
    <w:nsid w:val="57C7D42D"/>
    <w:multiLevelType w:val="hybridMultilevel"/>
    <w:lvl w:ilvl="0">
      <w:lvlJc w:val="left"/>
      <w:lvlText w:val="%1."/>
      <w:numFmt w:val="decimal"/>
      <w:start w:val="13"/>
    </w:lvl>
    <w:lvl w:ilvl="1">
      <w:lvlJc w:val="left"/>
      <w:lvlText w:val="%2"/>
      <w:numFmt w:val="lowerLetter"/>
      <w:start w:val="1"/>
    </w:lvl>
  </w:abstractNum>
  <w:abstractNum w:abstractNumId="118">
    <w:nsid w:val="312167AD"/>
    <w:multiLevelType w:val="hybridMultilevel"/>
    <w:lvl w:ilvl="0">
      <w:lvlJc w:val="left"/>
      <w:lvlText w:val="%1"/>
      <w:numFmt w:val="decimal"/>
      <w:start w:val="1"/>
    </w:lvl>
    <w:lvl w:ilvl="1">
      <w:lvlJc w:val="left"/>
      <w:lvlText w:val="(%2)"/>
      <w:numFmt w:val="lowerLetter"/>
      <w:start w:val="1"/>
    </w:lvl>
  </w:abstractNum>
  <w:abstractNum w:abstractNumId="119">
    <w:nsid w:val="631B64D4"/>
    <w:multiLevelType w:val="hybridMultilevel"/>
    <w:lvl w:ilvl="0">
      <w:lvlJc w:val="left"/>
      <w:lvlText w:val="%1."/>
      <w:numFmt w:val="decimal"/>
      <w:start w:val="14"/>
    </w:lvl>
    <w:lvl w:ilvl="1">
      <w:lvlJc w:val="left"/>
      <w:lvlText w:val="%2"/>
      <w:numFmt w:val="lowerLetter"/>
      <w:start w:val="1"/>
    </w:lvl>
  </w:abstractNum>
  <w:abstractNum w:abstractNumId="120">
    <w:nsid w:val="78B5E776"/>
    <w:multiLevelType w:val="hybridMultilevel"/>
    <w:lvl w:ilvl="0">
      <w:lvlJc w:val="left"/>
      <w:lvlText w:val="%1."/>
      <w:numFmt w:val="decimal"/>
      <w:start w:val="15"/>
    </w:lvl>
  </w:abstractNum>
  <w:abstractNum w:abstractNumId="121">
    <w:nsid w:val="75486E47"/>
    <w:multiLevelType w:val="hybridMultilevel"/>
    <w:lvl w:ilvl="0">
      <w:lvlJc w:val="left"/>
      <w:lvlText w:val="%1."/>
      <w:numFmt w:val="decimal"/>
      <w:start w:val="16"/>
    </w:lvl>
  </w:abstractNum>
  <w:abstractNum w:abstractNumId="122">
    <w:nsid w:val="6E534CDE"/>
    <w:multiLevelType w:val="hybridMultilevel"/>
    <w:lvl w:ilvl="0">
      <w:lvlJc w:val="left"/>
      <w:lvlText w:val="%1."/>
      <w:numFmt w:val="decimal"/>
      <w:start w:val="17"/>
    </w:lvl>
  </w:abstractNum>
  <w:abstractNum w:abstractNumId="123">
    <w:nsid w:val="1A0DDE32"/>
    <w:multiLevelType w:val="hybridMultilevel"/>
    <w:lvl w:ilvl="0">
      <w:lvlJc w:val="left"/>
      <w:lvlText w:val="%1."/>
      <w:numFmt w:val="decimal"/>
      <w:start w:val="18"/>
    </w:lvl>
  </w:abstractNum>
  <w:abstractNum w:abstractNumId="124">
    <w:nsid w:val="65968C1C"/>
    <w:multiLevelType w:val="hybridMultilevel"/>
    <w:lvl w:ilvl="0">
      <w:lvlJc w:val="left"/>
      <w:lvlText w:val="%1."/>
      <w:numFmt w:val="decimal"/>
      <w:start w:val="19"/>
    </w:lvl>
  </w:abstractNum>
  <w:abstractNum w:abstractNumId="125">
    <w:nsid w:val="46263DEC"/>
    <w:multiLevelType w:val="hybridMultilevel"/>
    <w:lvl w:ilvl="0">
      <w:lvlJc w:val="left"/>
      <w:lvlText w:val="(%1)"/>
      <w:numFmt w:val="lowerLetter"/>
      <w:start w:val="1"/>
    </w:lvl>
  </w:abstractNum>
  <w:abstractNum w:abstractNumId="126">
    <w:nsid w:val="260D8C4A"/>
    <w:multiLevelType w:val="hybridMultilevel"/>
    <w:lvl w:ilvl="0">
      <w:lvlJc w:val="left"/>
      <w:lvlText w:val="(%1)"/>
      <w:numFmt w:val="lowerLetter"/>
      <w:start w:val="1"/>
    </w:lvl>
  </w:abstractNum>
  <w:abstractNum w:abstractNumId="127">
    <w:nsid w:val="73D4D3C4"/>
    <w:multiLevelType w:val="hybridMultilevel"/>
    <w:lvl w:ilvl="0">
      <w:lvlJc w:val="left"/>
      <w:lvlText w:val="(%1)"/>
      <w:numFmt w:val="lowerLetter"/>
      <w:start w:val="3"/>
    </w:lvl>
  </w:abstractNum>
  <w:abstractNum w:abstractNumId="128">
    <w:nsid w:val="746F2E30"/>
    <w:multiLevelType w:val="hybridMultilevel"/>
    <w:lvl w:ilvl="0">
      <w:lvlJc w:val="left"/>
      <w:lvlText w:val="(%1)"/>
      <w:numFmt w:val="lowerLetter"/>
      <w:start w:val="1"/>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lowerLetter"/>
      <w:start w:val="2"/>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1)"/>
      <w:numFmt w:val="lowerLetter"/>
      <w:start w:val="2"/>
    </w:lvl>
  </w:abstractNum>
  <w:abstractNum w:abstractNumId="133">
    <w:nsid w:val="230F856C"/>
    <w:multiLevelType w:val="hybridMultilevel"/>
    <w:lvl w:ilvl="0">
      <w:lvlJc w:val="left"/>
      <w:lvlText w:val="(%1)"/>
      <w:numFmt w:val="lowerLetter"/>
      <w:start w:val="4"/>
    </w:lvl>
  </w:abstractNum>
  <w:abstractNum w:abstractNumId="134">
    <w:nsid w:val="6EAA85FB"/>
    <w:multiLevelType w:val="hybridMultilevel"/>
    <w:lvl w:ilvl="0">
      <w:lvlJc w:val="left"/>
      <w:lvlText w:val="%1."/>
      <w:numFmt w:val="upperLetter"/>
      <w:start w:val="1"/>
    </w:lvl>
  </w:abstractNum>
  <w:abstractNum w:abstractNumId="135">
    <w:nsid w:val="3F06ECB2"/>
    <w:multiLevelType w:val="hybridMultilevel"/>
    <w:lvl w:ilvl="0">
      <w:lvlJc w:val="left"/>
      <w:lvlText w:val="%1."/>
      <w:numFmt w:val="upperLetter"/>
      <w:start w:val="9"/>
    </w:lvl>
  </w:abstractNum>
  <w:abstractNum w:abstractNumId="136">
    <w:nsid w:val="3B594807"/>
    <w:multiLevelType w:val="hybridMultilevel"/>
    <w:lvl w:ilvl="0">
      <w:lvlJc w:val="left"/>
      <w:lvlText w:val="(%1)"/>
      <w:numFmt w:val="lowerLetter"/>
      <w:start w:val="1"/>
    </w:lvl>
  </w:abstractNum>
  <w:abstractNum w:abstractNumId="137">
    <w:nsid w:val="6CAA2304"/>
    <w:multiLevelType w:val="hybridMultilevel"/>
    <w:lvl w:ilvl="0">
      <w:lvlJc w:val="left"/>
      <w:lvlText w:val="(%1)"/>
      <w:numFmt w:val="lowerLetter"/>
      <w:start w:val="3"/>
    </w:lvl>
    <w:lvl w:ilvl="1">
      <w:lvlJc w:val="left"/>
      <w:lvlText w:val="(%2)"/>
      <w:numFmt w:val="lowerRoman"/>
      <w:start w:val="1"/>
    </w:lvl>
  </w:abstractNum>
  <w:abstractNum w:abstractNumId="138">
    <w:nsid w:val="3F7C2FF4"/>
    <w:multiLevelType w:val="hybridMultilevel"/>
    <w:lvl w:ilvl="0">
      <w:lvlJc w:val="left"/>
      <w:lvlText w:val="(%1)"/>
      <w:numFmt w:val="lowerLetter"/>
      <w:start w:val="1"/>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Letter"/>
      <w:start w:val="2"/>
    </w:lvl>
  </w:abstractNum>
  <w:abstractNum w:abstractNumId="141">
    <w:nsid w:val="579328B9"/>
    <w:multiLevelType w:val="hybridMultilevel"/>
    <w:lvl w:ilvl="0">
      <w:lvlJc w:val="left"/>
      <w:lvlText w:val="(%1)"/>
      <w:numFmt w:val="lowerLetter"/>
      <w:start w:val="4"/>
    </w:lvl>
  </w:abstractNum>
  <w:abstractNum w:abstractNumId="142">
    <w:nsid w:val="5D205E20"/>
    <w:multiLevelType w:val="hybridMultilevel"/>
    <w:lvl w:ilvl="0">
      <w:lvlJc w:val="left"/>
      <w:lvlText w:val="(%1)"/>
      <w:numFmt w:val="lowerLetter"/>
      <w:start w:val="6"/>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Letter"/>
      <w:start w:val="2"/>
    </w:lvl>
  </w:abstractNum>
  <w:abstractNum w:abstractNumId="145">
    <w:nsid w:val="3F07ACC3"/>
    <w:multiLevelType w:val="hybridMultilevel"/>
    <w:lvl w:ilvl="0">
      <w:lvlJc w:val="left"/>
      <w:lvlText w:val="(%1)"/>
      <w:numFmt w:val="lowerLetter"/>
      <w:start w:val="1"/>
    </w:lvl>
  </w:abstractNum>
  <w:abstractNum w:abstractNumId="146">
    <w:nsid w:val="6B47F63E"/>
    <w:multiLevelType w:val="hybridMultilevel"/>
    <w:lvl w:ilvl="0">
      <w:lvlJc w:val="left"/>
      <w:lvlText w:val="(%1)"/>
      <w:numFmt w:val="lowerLetter"/>
      <w:start w:val="1"/>
    </w:lvl>
    <w:lvl w:ilvl="1">
      <w:lvlJc w:val="left"/>
      <w:lvlText w:val="(%2)"/>
      <w:numFmt w:val="lowerRoman"/>
      <w:start w:val="1"/>
    </w:lvl>
  </w:abstractNum>
  <w:abstractNum w:abstractNumId="147">
    <w:nsid w:val="5CB44A05"/>
    <w:multiLevelType w:val="hybridMultilevel"/>
    <w:lvl w:ilvl="0">
      <w:lvlJc w:val="left"/>
      <w:lvlText w:val="(%1)"/>
      <w:numFmt w:val="lowerLetter"/>
      <w:start w:val="4"/>
    </w:lvl>
  </w:abstractNum>
  <w:abstractNum w:abstractNumId="148">
    <w:nsid w:val="16CF80F1"/>
    <w:multiLevelType w:val="hybridMultilevel"/>
    <w:lvl w:ilvl="0">
      <w:lvlJc w:val="left"/>
      <w:lvlText w:val="(%1)"/>
      <w:numFmt w:val="lowerLetter"/>
      <w:start w:val="1"/>
    </w:lvl>
  </w:abstractNum>
  <w:abstractNum w:abstractNumId="149">
    <w:nsid w:val="1C695DEC"/>
    <w:multiLevelType w:val="hybridMultilevel"/>
    <w:lvl w:ilvl="0">
      <w:lvlJc w:val="left"/>
      <w:lvlText w:val="(%1)"/>
      <w:numFmt w:val="lowerRoman"/>
      <w:start w:val="3"/>
    </w:lvl>
  </w:abstractNum>
  <w:abstractNum w:abstractNumId="150">
    <w:nsid w:val="3FCFAED9"/>
    <w:multiLevelType w:val="hybridMultilevel"/>
    <w:lvl w:ilvl="0">
      <w:lvlJc w:val="left"/>
      <w:lvlText w:val="%1"/>
      <w:numFmt w:val="lowerLetter"/>
      <w:start w:val="1"/>
    </w:lvl>
    <w:lvl w:ilvl="1">
      <w:lvlJc w:val="left"/>
      <w:lvlText w:val="(%2)"/>
      <w:numFmt w:val="lowerRoman"/>
      <w:start w:val="5"/>
    </w:lvl>
  </w:abstractNum>
  <w:abstractNum w:abstractNumId="151">
    <w:nsid w:val="F856867"/>
    <w:multiLevelType w:val="hybridMultilevel"/>
    <w:lvl w:ilvl="0">
      <w:lvlJc w:val="left"/>
      <w:lvlText w:val="(%1)"/>
      <w:numFmt w:val="lowerLetter"/>
      <w:start w:val="2"/>
    </w:lvl>
    <w:lvl w:ilvl="1">
      <w:lvlJc w:val="left"/>
      <w:lvlText w:val="%2"/>
      <w:numFmt w:val="lowerRoman"/>
      <w:start w:val="1"/>
    </w:lvl>
  </w:abstractNum>
  <w:abstractNum w:abstractNumId="152">
    <w:nsid w:val="11B1CC33"/>
    <w:multiLevelType w:val="hybridMultilevel"/>
    <w:lvl w:ilvl="0">
      <w:lvlJc w:val="left"/>
      <w:lvlText w:val="(%1)"/>
      <w:numFmt w:val="lowerLetter"/>
      <w:start w:val="3"/>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lowerLetter"/>
      <w:start w:val="3"/>
    </w:lvl>
  </w:abstractNum>
  <w:abstractNum w:abstractNumId="155">
    <w:nsid w:val="77485850"/>
    <w:multiLevelType w:val="hybridMultilevel"/>
    <w:lvl w:ilvl="0">
      <w:lvlJc w:val="left"/>
      <w:lvlText w:val="(%1)"/>
      <w:numFmt w:val="lowerLetter"/>
      <w:start w:val="5"/>
    </w:lvl>
  </w:abstractNum>
  <w:abstractNum w:abstractNumId="156">
    <w:nsid w:val="744939A3"/>
    <w:multiLevelType w:val="hybridMultilevel"/>
    <w:lvl w:ilvl="0">
      <w:lvlJc w:val="left"/>
      <w:lvlText w:val="(%1)"/>
      <w:numFmt w:val="lowerRoman"/>
      <w:start w:val="2"/>
    </w:lvl>
  </w:abstractNum>
  <w:abstractNum w:abstractNumId="157">
    <w:nsid w:val="4FA0D2E3"/>
    <w:multiLevelType w:val="hybridMultilevel"/>
    <w:lvl w:ilvl="0">
      <w:lvlJc w:val="left"/>
      <w:lvlText w:val="(%1)"/>
      <w:numFmt w:val="lowerLetter"/>
      <w:start w:val="6"/>
    </w:lvl>
    <w:lvl w:ilvl="1">
      <w:lvlJc w:val="left"/>
      <w:lvlText w:val="(%2)"/>
      <w:numFmt w:val="lowerRoman"/>
      <w:start w:val="1"/>
    </w:lvl>
  </w:abstractNum>
  <w:abstractNum w:abstractNumId="158">
    <w:nsid w:val="6B1D2C14"/>
    <w:multiLevelType w:val="hybridMultilevel"/>
    <w:lvl w:ilvl="0">
      <w:lvlJc w:val="left"/>
      <w:lvlText w:val="(%1)"/>
      <w:numFmt w:val="lowerLetter"/>
      <w:start w:val="10"/>
    </w:lvl>
  </w:abstractNum>
  <w:abstractNum w:abstractNumId="159">
    <w:nsid w:val="68B867D3"/>
    <w:multiLevelType w:val="hybridMultilevel"/>
    <w:lvl w:ilvl="0">
      <w:lvlJc w:val="left"/>
      <w:lvlText w:val="(%1)"/>
      <w:numFmt w:val="lowerLetter"/>
      <w:start w:val="1"/>
    </w:lvl>
  </w:abstractNum>
  <w:abstractNum w:abstractNumId="160">
    <w:nsid w:val="3F7F5DD9"/>
    <w:multiLevelType w:val="hybridMultilevel"/>
    <w:lvl w:ilvl="0">
      <w:lvlJc w:val="left"/>
      <w:lvlText w:val="(%1)"/>
      <w:numFmt w:val="lowerLetter"/>
      <w:start w:val="1"/>
    </w:lvl>
  </w:abstractNum>
  <w:abstractNum w:abstractNumId="161">
    <w:nsid w:val="2AE05A34"/>
    <w:multiLevelType w:val="hybridMultilevel"/>
    <w:lvl w:ilvl="0">
      <w:lvlJc w:val="left"/>
      <w:lvlText w:val="(%1)"/>
      <w:numFmt w:val="lowerLetter"/>
      <w:start w:val="1"/>
    </w:lvl>
    <w:lvl w:ilvl="1">
      <w:lvlJc w:val="left"/>
      <w:lvlText w:val="(%2)"/>
      <w:numFmt w:val="lowerRoman"/>
      <w:start w:val="1"/>
    </w:lvl>
  </w:abstractNum>
  <w:abstractNum w:abstractNumId="162">
    <w:nsid w:val="32794FF7"/>
    <w:multiLevelType w:val="hybridMultilevel"/>
    <w:lvl w:ilvl="0">
      <w:lvlJc w:val="left"/>
      <w:lvlText w:val="(%1)"/>
      <w:numFmt w:val="lowerRoman"/>
      <w:start w:val="3"/>
    </w:lvl>
  </w:abstractNum>
  <w:abstractNum w:abstractNumId="163">
    <w:nsid w:val="5454945E"/>
    <w:multiLevelType w:val="hybridMultilevel"/>
    <w:lvl w:ilvl="0">
      <w:lvlJc w:val="left"/>
      <w:lvlText w:val="(%1)"/>
      <w:numFmt w:val="lowerLetter"/>
      <w:start w:val="2"/>
    </w:lvl>
  </w:abstractNum>
  <w:abstractNum w:abstractNumId="164">
    <w:nsid w:val="4DEFDFA0"/>
    <w:multiLevelType w:val="hybridMultilevel"/>
    <w:lvl w:ilvl="0">
      <w:lvlJc w:val="left"/>
      <w:lvlText w:val="(%1)"/>
      <w:numFmt w:val="lowerLetter"/>
      <w:start w:val="1"/>
    </w:lvl>
  </w:abstractNum>
  <w:abstractNum w:abstractNumId="165">
    <w:nsid w:val="2123D5F2"/>
    <w:multiLevelType w:val="hybridMultilevel"/>
    <w:lvl w:ilvl="0">
      <w:lvlJc w:val="left"/>
      <w:lvlText w:val="(%1)"/>
      <w:numFmt w:val="lowerLetter"/>
      <w:start w:val="1"/>
    </w:lvl>
  </w:abstractNum>
  <w:abstractNum w:abstractNumId="166">
    <w:nsid w:val="135B8110"/>
    <w:multiLevelType w:val="hybridMultilevel"/>
    <w:lvl w:ilvl="0">
      <w:lvlJc w:val="left"/>
      <w:lvlText w:val="(%1)"/>
      <w:numFmt w:val="lowerLetter"/>
      <w:start w:val="2"/>
    </w:lvl>
  </w:abstractNum>
  <w:abstractNum w:abstractNumId="167">
    <w:nsid w:val="94927A8"/>
    <w:multiLevelType w:val="hybridMultilevel"/>
    <w:lvl w:ilvl="0">
      <w:lvlJc w:val="left"/>
      <w:lvlText w:val="(%1)"/>
      <w:numFmt w:val="lowerLetter"/>
      <w:start w:val="3"/>
    </w:lvl>
  </w:abstractNum>
  <w:abstractNum w:abstractNumId="168">
    <w:nsid w:val="DCDF8F6"/>
    <w:multiLevelType w:val="hybridMultilevel"/>
    <w:lvl w:ilvl="0">
      <w:lvlJc w:val="left"/>
      <w:lvlText w:val="(%1)"/>
      <w:numFmt w:val="lowerLetter"/>
      <w:start w:val="5"/>
    </w:lvl>
  </w:abstractNum>
  <w:abstractNum w:abstractNumId="169">
    <w:nsid w:val="52D7B105"/>
    <w:multiLevelType w:val="hybridMultilevel"/>
    <w:lvl w:ilvl="0">
      <w:lvlJc w:val="left"/>
      <w:lvlText w:val="(%1)"/>
      <w:numFmt w:val="lowerLetter"/>
      <w:start w:val="1"/>
    </w:lvl>
    <w:lvl w:ilvl="1">
      <w:lvlJc w:val="left"/>
      <w:lvlText w:val="(%2)"/>
      <w:numFmt w:val="lowerRoman"/>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2019-12-09T21:10:03Z</dcterms:created>
  <dcterms:modified xsi:type="dcterms:W3CDTF">2019-12-09T21:10:03Z</dcterms:modified>
</cp:coreProperties>
</file>