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303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303645"/>
                    </a:xfrm>
                    <a:prstGeom prst="rect">
                      <a:avLst/>
                    </a:prstGeom>
                    <a:noFill/>
                  </pic:spPr>
                </pic:pic>
              </a:graphicData>
            </a:graphic>
          </wp:anchor>
        </w:drawing>
      </w:r>
    </w:p>
    <w:p>
      <w:pPr>
        <w:spacing w:after="0" w:line="1222" w:lineRule="exact"/>
        <w:rPr>
          <w:sz w:val="24"/>
          <w:szCs w:val="24"/>
          <w:color w:val="auto"/>
        </w:rPr>
      </w:pPr>
    </w:p>
    <w:p>
      <w:pPr>
        <w:sectPr>
          <w:pgSz w:w="11900" w:h="16994"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Meloy Charles Alvin</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Diamondback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FANG</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tcBorders>
              <w:bottom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1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500 WEST TEXAS AVENUE</w:t>
            </w:r>
          </w:p>
        </w:tc>
        <w:tc>
          <w:tcPr>
            <w:tcW w:w="1360" w:type="dxa"/>
            <w:vAlign w:val="bottom"/>
          </w:tcPr>
          <w:p>
            <w:pPr>
              <w:spacing w:after="0"/>
              <w:rPr>
                <w:sz w:val="11"/>
                <w:szCs w:val="11"/>
                <w:color w:val="auto"/>
              </w:rPr>
            </w:pPr>
          </w:p>
        </w:tc>
        <w:tc>
          <w:tcPr>
            <w:tcW w:w="2440" w:type="dxa"/>
            <w:vAlign w:val="bottom"/>
            <w:gridSpan w:val="3"/>
            <w:vMerge w:val="continue"/>
          </w:tcPr>
          <w:p>
            <w:pPr>
              <w:spacing w:after="0"/>
              <w:rPr>
                <w:sz w:val="11"/>
                <w:szCs w:val="11"/>
                <w:color w:val="auto"/>
              </w:rPr>
            </w:pPr>
          </w:p>
        </w:tc>
        <w:tc>
          <w:tcPr>
            <w:tcW w:w="1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100</w:t>
            </w: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994"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MIDLAND</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79701</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994"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3"/>
                <w:szCs w:val="13"/>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3"/>
                <w:szCs w:val="13"/>
                <w:color w:val="auto"/>
              </w:rPr>
            </w:pPr>
          </w:p>
        </w:tc>
        <w:tc>
          <w:tcPr>
            <w:tcW w:w="21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1180" w:type="dxa"/>
            <w:vAlign w:val="bottom"/>
            <w:gridSpan w:val="3"/>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vMerge w:val="continue"/>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3"/>
                <w:szCs w:val="13"/>
                <w:color w:val="auto"/>
              </w:rPr>
            </w:pP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gridSpan w:val="2"/>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Wolfrock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06/16/2026</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480" w:type="dxa"/>
            <w:vAlign w:val="bottom"/>
          </w:tcPr>
          <w:p>
            <w:pPr>
              <w:spacing w:after="0"/>
              <w:rPr>
                <w:sz w:val="18"/>
                <w:szCs w:val="18"/>
                <w:color w:val="auto"/>
              </w:rPr>
            </w:pPr>
          </w:p>
        </w:tc>
        <w:tc>
          <w:tcPr>
            <w:tcW w:w="80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14,538</w:t>
            </w:r>
            <w:r>
              <w:rPr>
                <w:rFonts w:ascii="Times New Roman" w:cs="Times New Roman" w:eastAsia="Times New Roman" w:hAnsi="Times New Roman"/>
                <w:sz w:val="22"/>
                <w:szCs w:val="22"/>
                <w:color w:val="008000"/>
                <w:w w:val="93"/>
                <w:vertAlign w:val="superscript"/>
              </w:rPr>
              <w:t>(1)</w:t>
            </w:r>
          </w:p>
        </w:tc>
        <w:tc>
          <w:tcPr>
            <w:tcW w:w="18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3"/>
          </w:tcPr>
          <w:p>
            <w:pPr>
              <w:jc w:val="center"/>
              <w:spacing w:after="0" w:line="213" w:lineRule="exact"/>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186.365</w:t>
            </w:r>
            <w:r>
              <w:rPr>
                <w:rFonts w:ascii="Times New Roman" w:cs="Times New Roman" w:eastAsia="Times New Roman" w:hAnsi="Times New Roman"/>
                <w:sz w:val="22"/>
                <w:szCs w:val="22"/>
                <w:color w:val="008000"/>
                <w:w w:val="97"/>
                <w:vertAlign w:val="superscript"/>
              </w:rPr>
              <w:t>(2)</w:t>
            </w:r>
          </w:p>
        </w:tc>
        <w:tc>
          <w:tcPr>
            <w:tcW w:w="280" w:type="dxa"/>
            <w:vAlign w:val="bottom"/>
          </w:tcPr>
          <w:p>
            <w:pPr>
              <w:spacing w:after="0"/>
              <w:rPr>
                <w:sz w:val="18"/>
                <w:szCs w:val="18"/>
                <w:color w:val="auto"/>
              </w:rPr>
            </w:pPr>
          </w:p>
        </w:tc>
        <w:tc>
          <w:tcPr>
            <w:tcW w:w="900" w:type="dxa"/>
            <w:vAlign w:val="bottom"/>
            <w:gridSpan w:val="2"/>
          </w:tcPr>
          <w:p>
            <w:pPr>
              <w:jc w:val="center"/>
              <w:ind w:right="277"/>
              <w:spacing w:after="0"/>
              <w:rPr>
                <w:sz w:val="20"/>
                <w:szCs w:val="20"/>
                <w:color w:val="auto"/>
              </w:rPr>
            </w:pPr>
            <w:r>
              <w:rPr>
                <w:rFonts w:ascii="Times New Roman" w:cs="Times New Roman" w:eastAsia="Times New Roman" w:hAnsi="Times New Roman"/>
                <w:sz w:val="17"/>
                <w:szCs w:val="17"/>
                <w:color w:val="0000FF"/>
              </w:rPr>
              <w:t>920,326</w:t>
            </w:r>
          </w:p>
        </w:tc>
        <w:tc>
          <w:tcPr>
            <w:tcW w:w="920" w:type="dxa"/>
            <w:vAlign w:val="bottom"/>
          </w:tcPr>
          <w:p>
            <w:pPr>
              <w:ind w:left="30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Energy,</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Wolfrock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06/16/2026</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480" w:type="dxa"/>
            <w:vAlign w:val="bottom"/>
          </w:tcPr>
          <w:p>
            <w:pPr>
              <w:spacing w:after="0"/>
              <w:rPr>
                <w:sz w:val="18"/>
                <w:szCs w:val="18"/>
                <w:color w:val="auto"/>
              </w:rPr>
            </w:pPr>
          </w:p>
        </w:tc>
        <w:tc>
          <w:tcPr>
            <w:tcW w:w="80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64,747</w:t>
            </w:r>
            <w:r>
              <w:rPr>
                <w:rFonts w:ascii="Times New Roman" w:cs="Times New Roman" w:eastAsia="Times New Roman" w:hAnsi="Times New Roman"/>
                <w:sz w:val="22"/>
                <w:szCs w:val="22"/>
                <w:color w:val="008000"/>
                <w:w w:val="93"/>
                <w:vertAlign w:val="superscript"/>
              </w:rPr>
              <w:t>(1)</w:t>
            </w:r>
          </w:p>
        </w:tc>
        <w:tc>
          <w:tcPr>
            <w:tcW w:w="18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3"/>
          </w:tcPr>
          <w:p>
            <w:pPr>
              <w:jc w:val="center"/>
              <w:spacing w:after="0" w:line="213" w:lineRule="exact"/>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187.2528</w:t>
            </w:r>
            <w:r>
              <w:rPr>
                <w:rFonts w:ascii="Times New Roman" w:cs="Times New Roman" w:eastAsia="Times New Roman" w:hAnsi="Times New Roman"/>
                <w:sz w:val="22"/>
                <w:szCs w:val="22"/>
                <w:color w:val="008000"/>
                <w:w w:val="97"/>
                <w:vertAlign w:val="superscript"/>
              </w:rPr>
              <w:t>(4)</w:t>
            </w:r>
          </w:p>
        </w:tc>
        <w:tc>
          <w:tcPr>
            <w:tcW w:w="280" w:type="dxa"/>
            <w:vAlign w:val="bottom"/>
          </w:tcPr>
          <w:p>
            <w:pPr>
              <w:spacing w:after="0"/>
              <w:rPr>
                <w:sz w:val="18"/>
                <w:szCs w:val="18"/>
                <w:color w:val="auto"/>
              </w:rPr>
            </w:pPr>
          </w:p>
        </w:tc>
        <w:tc>
          <w:tcPr>
            <w:tcW w:w="900" w:type="dxa"/>
            <w:vAlign w:val="bottom"/>
            <w:gridSpan w:val="2"/>
          </w:tcPr>
          <w:p>
            <w:pPr>
              <w:jc w:val="center"/>
              <w:ind w:right="277"/>
              <w:spacing w:after="0"/>
              <w:rPr>
                <w:sz w:val="20"/>
                <w:szCs w:val="20"/>
                <w:color w:val="auto"/>
              </w:rPr>
            </w:pPr>
            <w:r>
              <w:rPr>
                <w:rFonts w:ascii="Times New Roman" w:cs="Times New Roman" w:eastAsia="Times New Roman" w:hAnsi="Times New Roman"/>
                <w:sz w:val="17"/>
                <w:szCs w:val="17"/>
                <w:color w:val="0000FF"/>
              </w:rPr>
              <w:t>855,579</w:t>
            </w:r>
          </w:p>
        </w:tc>
        <w:tc>
          <w:tcPr>
            <w:tcW w:w="920" w:type="dxa"/>
            <w:vAlign w:val="bottom"/>
          </w:tcPr>
          <w:p>
            <w:pPr>
              <w:ind w:left="30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Energy,</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Wolfrock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06/16/2026</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480" w:type="dxa"/>
            <w:vAlign w:val="bottom"/>
          </w:tcPr>
          <w:p>
            <w:pPr>
              <w:spacing w:after="0"/>
              <w:rPr>
                <w:sz w:val="18"/>
                <w:szCs w:val="18"/>
                <w:color w:val="auto"/>
              </w:rPr>
            </w:pPr>
          </w:p>
        </w:tc>
        <w:tc>
          <w:tcPr>
            <w:tcW w:w="80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4,049</w:t>
            </w:r>
            <w:r>
              <w:rPr>
                <w:rFonts w:ascii="Times New Roman" w:cs="Times New Roman" w:eastAsia="Times New Roman" w:hAnsi="Times New Roman"/>
                <w:sz w:val="22"/>
                <w:szCs w:val="22"/>
                <w:color w:val="008000"/>
                <w:w w:val="93"/>
                <w:vertAlign w:val="superscript"/>
              </w:rPr>
              <w:t>(1)</w:t>
            </w:r>
          </w:p>
        </w:tc>
        <w:tc>
          <w:tcPr>
            <w:tcW w:w="18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3"/>
          </w:tcPr>
          <w:p>
            <w:pPr>
              <w:jc w:val="center"/>
              <w:spacing w:after="0" w:line="213" w:lineRule="exact"/>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187.676</w:t>
            </w:r>
            <w:r>
              <w:rPr>
                <w:rFonts w:ascii="Times New Roman" w:cs="Times New Roman" w:eastAsia="Times New Roman" w:hAnsi="Times New Roman"/>
                <w:sz w:val="22"/>
                <w:szCs w:val="22"/>
                <w:color w:val="008000"/>
                <w:w w:val="97"/>
                <w:vertAlign w:val="superscript"/>
              </w:rPr>
              <w:t>(5)</w:t>
            </w:r>
          </w:p>
        </w:tc>
        <w:tc>
          <w:tcPr>
            <w:tcW w:w="280" w:type="dxa"/>
            <w:vAlign w:val="bottom"/>
          </w:tcPr>
          <w:p>
            <w:pPr>
              <w:spacing w:after="0"/>
              <w:rPr>
                <w:sz w:val="18"/>
                <w:szCs w:val="18"/>
                <w:color w:val="auto"/>
              </w:rPr>
            </w:pPr>
          </w:p>
        </w:tc>
        <w:tc>
          <w:tcPr>
            <w:tcW w:w="900" w:type="dxa"/>
            <w:vAlign w:val="bottom"/>
            <w:gridSpan w:val="2"/>
          </w:tcPr>
          <w:p>
            <w:pPr>
              <w:jc w:val="center"/>
              <w:ind w:right="277"/>
              <w:spacing w:after="0"/>
              <w:rPr>
                <w:sz w:val="20"/>
                <w:szCs w:val="20"/>
                <w:color w:val="auto"/>
              </w:rPr>
            </w:pPr>
            <w:r>
              <w:rPr>
                <w:rFonts w:ascii="Times New Roman" w:cs="Times New Roman" w:eastAsia="Times New Roman" w:hAnsi="Times New Roman"/>
                <w:sz w:val="17"/>
                <w:szCs w:val="17"/>
                <w:color w:val="0000FF"/>
              </w:rPr>
              <w:t>851,530</w:t>
            </w:r>
          </w:p>
        </w:tc>
        <w:tc>
          <w:tcPr>
            <w:tcW w:w="920" w:type="dxa"/>
            <w:vAlign w:val="bottom"/>
          </w:tcPr>
          <w:p>
            <w:pPr>
              <w:ind w:left="30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Energy,</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90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320" w:type="dxa"/>
            <w:vAlign w:val="bottom"/>
            <w:tcBorders>
              <w:top w:val="single" w:sz="8" w:color="2C2C2C"/>
            </w:tcBorders>
          </w:tcPr>
          <w:p>
            <w:pPr>
              <w:spacing w:after="0"/>
              <w:rPr>
                <w:sz w:val="23"/>
                <w:szCs w:val="23"/>
                <w:color w:val="auto"/>
              </w:rPr>
            </w:pPr>
          </w:p>
        </w:tc>
        <w:tc>
          <w:tcPr>
            <w:tcW w:w="48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18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jc w:val="center"/>
              <w:ind w:right="357"/>
              <w:spacing w:after="0"/>
              <w:rPr>
                <w:sz w:val="20"/>
                <w:szCs w:val="20"/>
                <w:color w:val="auto"/>
              </w:rPr>
            </w:pPr>
            <w:r>
              <w:rPr>
                <w:rFonts w:ascii="Times New Roman" w:cs="Times New Roman" w:eastAsia="Times New Roman" w:hAnsi="Times New Roman"/>
                <w:sz w:val="17"/>
                <w:szCs w:val="17"/>
                <w:color w:val="0000FF"/>
                <w:w w:val="99"/>
              </w:rPr>
              <w:t>3,257</w:t>
            </w:r>
          </w:p>
        </w:tc>
        <w:tc>
          <w:tcPr>
            <w:tcW w:w="920" w:type="dxa"/>
            <w:vAlign w:val="bottom"/>
            <w:tcBorders>
              <w:top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w w:val="97"/>
              </w:rPr>
              <w:t>8. Price of</w:t>
            </w:r>
          </w:p>
        </w:tc>
        <w:tc>
          <w:tcPr>
            <w:tcW w:w="172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2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18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in this Form 4 were effected pursuant to a Rule 10b5-1 trading plan adopted by Mr. Meloy on March 17, 2026.</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sale price. These shares were sold in multiple transactions at prices ranging from $185.60 per share to $186.60 per share, inclusive. The reporting person undertakes to provide to Diamondback Energy, Inc., any security holder of Diamondback Energy, Inc., or the staff of the Securities and Exchange Commission, upon request, full information regarding the number of shares sold at each separate price within the range set forth in this footnote and in footnotes 4 and 5.</w:t>
      </w:r>
    </w:p>
    <w:p>
      <w:pPr>
        <w:spacing w:after="0" w:line="2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directly by Wolfrock Energy, LLC, a Texas limited liability company whose sole member is CS Ventures, Ltd. CS Ventures, Ltd. is controlled by its general partner, Meloy Management, LLC, which is controlled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sale price. These shares were sold in multiple transactions at prices ranging from $186.605 per share to $187.59 per share,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sale price. These shares were sold in multiple transactions at prices ranging from $187.61 per share to $187.80 per share, inclusive.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Matt Zmigrosky,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8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869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Charles A. 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Meloy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61"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994"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6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33454" TargetMode="External"/><Relationship Id="rId14" Type="http://schemas.openxmlformats.org/officeDocument/2006/relationships/hyperlink" Target="http://www.sec.gov/cgi-bin/browse-edgar?action=getcompany&amp;CIK=00015398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2026-06-17T15:25:06Z</dcterms:created>
  <dcterms:modified xsi:type="dcterms:W3CDTF">2026-06-17T15:25:06Z</dcterms:modified>
</cp:coreProperties>
</file>