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4"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48260</wp:posOffset>
            </wp:positionV>
            <wp:extent cx="26200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16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48895</wp:posOffset>
            </wp:positionV>
            <wp:extent cx="2620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234" w:lineRule="exact"/>
        <w:rPr>
          <w:sz w:val="24"/>
          <w:szCs w:val="24"/>
          <w:color w:val="auto"/>
        </w:rPr>
      </w:pPr>
    </w:p>
    <w:p>
      <w:pPr>
        <w:ind w:left="1280" w:right="40" w:hanging="613"/>
        <w:spacing w:after="0" w:line="275" w:lineRule="auto"/>
        <w:tabs>
          <w:tab w:leader="none" w:pos="12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38"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32"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7" w:lineRule="exact"/>
        <w:rPr>
          <w:sz w:val="24"/>
          <w:szCs w:val="24"/>
          <w:color w:val="auto"/>
        </w:rPr>
      </w:pPr>
    </w:p>
    <w:p>
      <w:pPr>
        <w:ind w:left="1280" w:right="40" w:hanging="613"/>
        <w:spacing w:after="0" w:line="213" w:lineRule="auto"/>
        <w:tabs>
          <w:tab w:leader="none" w:pos="1280" w:val="left"/>
        </w:tabs>
        <w:numPr>
          <w:ilvl w:val="0"/>
          <w:numId w:val="2"/>
        </w:numPr>
        <w:rPr>
          <w:rFonts w:ascii="MS PGothic" w:cs="MS PGothic" w:eastAsia="MS PGothic" w:hAnsi="MS PGothic"/>
          <w:sz w:val="34"/>
          <w:szCs w:val="34"/>
          <w:color w:val="auto"/>
          <w:vertAlign w:val="super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8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200660</wp:posOffset>
            </wp:positionV>
            <wp:extent cx="26200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38"/>
          <w:szCs w:val="38"/>
          <w:b w:val="1"/>
          <w:bCs w:val="1"/>
          <w:color w:val="auto"/>
        </w:rPr>
        <w:t>Diamondback Energy, Inc.</w:t>
      </w:r>
    </w:p>
    <w:p>
      <w:pPr>
        <w:spacing w:after="0" w:line="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80010</wp:posOffset>
            </wp:positionV>
            <wp:extent cx="2620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271" w:lineRule="exact"/>
        <w:rPr>
          <w:sz w:val="24"/>
          <w:szCs w:val="24"/>
          <w:color w:val="auto"/>
        </w:rPr>
      </w:pPr>
    </w:p>
    <w:tbl>
      <w:tblPr>
        <w:tblLayout w:type="fixed"/>
        <w:tblInd w:w="1460" w:type="dxa"/>
        <w:tblCellMar>
          <w:top w:w="0" w:type="dxa"/>
          <w:left w:w="0" w:type="dxa"/>
          <w:bottom w:w="0" w:type="dxa"/>
          <w:right w:w="0" w:type="dxa"/>
        </w:tblCellMar>
      </w:tblPr>
      <w:tr>
        <w:trPr>
          <w:trHeight w:val="204"/>
        </w:trPr>
        <w:tc>
          <w:tcPr>
            <w:tcW w:w="3780" w:type="dxa"/>
            <w:vAlign w:val="bottom"/>
            <w:gridSpan w:val="3"/>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0" w:type="dxa"/>
            <w:vAlign w:val="bottom"/>
            <w:gridSpan w:val="2"/>
          </w:tcPr>
          <w:p>
            <w:pPr>
              <w:jc w:val="right"/>
              <w:ind w:right="1447"/>
              <w:spacing w:after="0"/>
              <w:rPr>
                <w:sz w:val="20"/>
                <w:szCs w:val="20"/>
                <w:color w:val="auto"/>
              </w:rPr>
            </w:pPr>
            <w:r>
              <w:rPr>
                <w:rFonts w:ascii="Times New Roman" w:cs="Times New Roman" w:eastAsia="Times New Roman" w:hAnsi="Times New Roman"/>
                <w:sz w:val="16"/>
                <w:szCs w:val="16"/>
                <w:b w:val="1"/>
                <w:bCs w:val="1"/>
                <w:color w:val="auto"/>
              </w:rPr>
              <w:t>45-4502447</w:t>
            </w:r>
          </w:p>
        </w:tc>
        <w:tc>
          <w:tcPr>
            <w:tcW w:w="0" w:type="dxa"/>
            <w:vAlign w:val="bottom"/>
          </w:tcPr>
          <w:p>
            <w:pPr>
              <w:spacing w:after="0"/>
              <w:rPr>
                <w:sz w:val="1"/>
                <w:szCs w:val="1"/>
                <w:color w:val="auto"/>
              </w:rPr>
            </w:pPr>
          </w:p>
        </w:tc>
      </w:tr>
      <w:tr>
        <w:trPr>
          <w:trHeight w:val="410"/>
        </w:trPr>
        <w:tc>
          <w:tcPr>
            <w:tcW w:w="3780" w:type="dxa"/>
            <w:vAlign w:val="bottom"/>
            <w:gridSpan w:val="3"/>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 organization)</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0" w:type="dxa"/>
            <w:vAlign w:val="bottom"/>
            <w:gridSpan w:val="2"/>
          </w:tcPr>
          <w:p>
            <w:pPr>
              <w:jc w:val="center"/>
              <w:ind w:right="707"/>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c>
          <w:tcPr>
            <w:tcW w:w="0" w:type="dxa"/>
            <w:vAlign w:val="bottom"/>
          </w:tcPr>
          <w:p>
            <w:pPr>
              <w:spacing w:after="0"/>
              <w:rPr>
                <w:sz w:val="1"/>
                <w:szCs w:val="1"/>
                <w:color w:val="auto"/>
              </w:rPr>
            </w:pPr>
          </w:p>
        </w:tc>
      </w:tr>
      <w:tr>
        <w:trPr>
          <w:trHeight w:val="560"/>
        </w:trPr>
        <w:tc>
          <w:tcPr>
            <w:tcW w:w="3780" w:type="dxa"/>
            <w:vAlign w:val="bottom"/>
            <w:gridSpan w:val="3"/>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4"/>
              </w:rPr>
              <w:t>500 West Texas Ave.,</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80" w:type="dxa"/>
            <w:vAlign w:val="bottom"/>
            <w:gridSpan w:val="3"/>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5"/>
              </w:rPr>
              <w:t>Suite 100</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3"/>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6"/>
              </w:rPr>
              <w:t>Midland, TX</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0" w:type="dxa"/>
            <w:vAlign w:val="bottom"/>
            <w:gridSpan w:val="2"/>
          </w:tcPr>
          <w:p>
            <w:pPr>
              <w:jc w:val="right"/>
              <w:ind w:right="1627"/>
              <w:spacing w:after="0"/>
              <w:rPr>
                <w:sz w:val="20"/>
                <w:szCs w:val="20"/>
                <w:color w:val="auto"/>
              </w:rPr>
            </w:pPr>
            <w:r>
              <w:rPr>
                <w:rFonts w:ascii="Times New Roman" w:cs="Times New Roman" w:eastAsia="Times New Roman" w:hAnsi="Times New Roman"/>
                <w:sz w:val="16"/>
                <w:szCs w:val="16"/>
                <w:b w:val="1"/>
                <w:bCs w:val="1"/>
                <w:color w:val="auto"/>
              </w:rPr>
              <w:t>79701</w:t>
            </w:r>
          </w:p>
        </w:tc>
        <w:tc>
          <w:tcPr>
            <w:tcW w:w="0" w:type="dxa"/>
            <w:vAlign w:val="bottom"/>
          </w:tcPr>
          <w:p>
            <w:pPr>
              <w:spacing w:after="0"/>
              <w:rPr>
                <w:sz w:val="1"/>
                <w:szCs w:val="1"/>
                <w:color w:val="auto"/>
              </w:rPr>
            </w:pPr>
          </w:p>
        </w:tc>
      </w:tr>
      <w:tr>
        <w:trPr>
          <w:trHeight w:val="203"/>
        </w:trPr>
        <w:tc>
          <w:tcPr>
            <w:tcW w:w="3780" w:type="dxa"/>
            <w:vAlign w:val="bottom"/>
            <w:gridSpan w:val="3"/>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tcPr>
          <w:p>
            <w:pPr>
              <w:jc w:val="center"/>
              <w:ind w:right="1147"/>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r>
        <w:trPr>
          <w:trHeight w:val="322"/>
        </w:trPr>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(432) 221-7400</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780" w:type="dxa"/>
            <w:vAlign w:val="bottom"/>
          </w:tcPr>
          <w:p>
            <w:pPr>
              <w:spacing w:after="0"/>
              <w:rPr>
                <w:sz w:val="24"/>
                <w:szCs w:val="24"/>
                <w:color w:val="auto"/>
              </w:rPr>
            </w:pPr>
          </w:p>
        </w:tc>
        <w:tc>
          <w:tcPr>
            <w:tcW w:w="2000" w:type="dxa"/>
            <w:vAlign w:val="bottom"/>
            <w:gridSpan w:val="2"/>
          </w:tcPr>
          <w:p>
            <w:pPr>
              <w:jc w:val="center"/>
              <w:ind w:right="911"/>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80" w:type="dxa"/>
            <w:vAlign w:val="bottom"/>
            <w:gridSpan w:val="3"/>
          </w:tcPr>
          <w:p>
            <w:pPr>
              <w:jc w:val="center"/>
              <w:ind w:left="725"/>
              <w:spacing w:after="0"/>
              <w:rPr>
                <w:sz w:val="20"/>
                <w:szCs w:val="20"/>
                <w:color w:val="auto"/>
              </w:rPr>
            </w:pPr>
            <w:r>
              <w:rPr>
                <w:rFonts w:ascii="Times New Roman" w:cs="Times New Roman" w:eastAsia="Times New Roman" w:hAnsi="Times New Roman"/>
                <w:sz w:val="16"/>
                <w:szCs w:val="16"/>
                <w:color w:val="auto"/>
                <w:w w:val="96"/>
              </w:rPr>
              <w:t>Common Stock, par value</w:t>
            </w:r>
          </w:p>
        </w:tc>
        <w:tc>
          <w:tcPr>
            <w:tcW w:w="540" w:type="dxa"/>
            <w:vAlign w:val="bottom"/>
          </w:tcPr>
          <w:p>
            <w:pPr>
              <w:spacing w:after="0"/>
              <w:rPr>
                <w:sz w:val="20"/>
                <w:szCs w:val="20"/>
                <w:color w:val="auto"/>
              </w:rPr>
            </w:pPr>
          </w:p>
        </w:tc>
        <w:tc>
          <w:tcPr>
            <w:tcW w:w="180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color w:val="auto"/>
                <w:w w:val="96"/>
              </w:rPr>
              <w:t>FANG</w:t>
            </w:r>
          </w:p>
        </w:tc>
        <w:tc>
          <w:tcPr>
            <w:tcW w:w="44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2000" w:type="dxa"/>
            <w:vAlign w:val="bottom"/>
            <w:gridSpan w:val="2"/>
          </w:tcPr>
          <w:p>
            <w:pPr>
              <w:jc w:val="center"/>
              <w:ind w:right="911"/>
              <w:spacing w:after="0"/>
              <w:rPr>
                <w:sz w:val="20"/>
                <w:szCs w:val="20"/>
                <w:color w:val="auto"/>
              </w:rPr>
            </w:pPr>
            <w:r>
              <w:rPr>
                <w:rFonts w:ascii="Times New Roman" w:cs="Times New Roman" w:eastAsia="Times New Roman" w:hAnsi="Times New Roman"/>
                <w:sz w:val="16"/>
                <w:szCs w:val="16"/>
                <w:color w:val="auto"/>
                <w:w w:val="95"/>
              </w:rPr>
              <w:t>$0.01 per share</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(NASDAQ Global Select Market)</w:t>
            </w:r>
          </w:p>
        </w:tc>
        <w:tc>
          <w:tcPr>
            <w:tcW w:w="0" w:type="dxa"/>
            <w:vAlign w:val="bottom"/>
          </w:tcPr>
          <w:p>
            <w:pPr>
              <w:spacing w:after="0"/>
              <w:rPr>
                <w:sz w:val="1"/>
                <w:szCs w:val="1"/>
                <w:color w:val="auto"/>
              </w:rPr>
            </w:pPr>
          </w:p>
        </w:tc>
      </w:tr>
      <w:tr>
        <w:trPr>
          <w:trHeight w:val="52"/>
        </w:trPr>
        <w:tc>
          <w:tcPr>
            <w:tcW w:w="1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4"/>
          <w:szCs w:val="24"/>
          <w:color w:val="auto"/>
        </w:rPr>
      </w:pPr>
    </w:p>
    <w:p>
      <w:pPr>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5" w:lineRule="exact"/>
        <w:rPr>
          <w:sz w:val="24"/>
          <w:szCs w:val="24"/>
          <w:color w:val="auto"/>
        </w:rPr>
      </w:pPr>
    </w:p>
    <w:p>
      <w:pPr>
        <w:ind w:right="2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50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04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96"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4" w:lineRule="exact"/>
        <w:rPr>
          <w:sz w:val="24"/>
          <w:szCs w:val="24"/>
          <w:color w:val="auto"/>
        </w:rPr>
      </w:pPr>
    </w:p>
    <w:p>
      <w:pPr>
        <w:spacing w:after="0" w:line="184" w:lineRule="exact"/>
        <w:tabs>
          <w:tab w:leader="none" w:pos="7180" w:val="left"/>
          <w:tab w:leader="none" w:pos="78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31, 2025, the registrant had 286,525,614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2025</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74"/>
        </w:trPr>
        <w:tc>
          <w:tcPr>
            <w:tcW w:w="20" w:type="dxa"/>
            <w:vAlign w:val="bottom"/>
            <w:shd w:val="clear" w:color="auto" w:fill="CCEEFF"/>
          </w:tcPr>
          <w:p>
            <w:pPr>
              <w:spacing w:after="0"/>
              <w:rPr>
                <w:sz w:val="15"/>
                <w:szCs w:val="15"/>
                <w:color w:val="auto"/>
              </w:rPr>
            </w:pPr>
          </w:p>
        </w:tc>
        <w:tc>
          <w:tcPr>
            <w:tcW w:w="10560" w:type="dxa"/>
            <w:vAlign w:val="bottom"/>
            <w:gridSpan w:val="38"/>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0000FF"/>
              </w:rPr>
              <w:t>Glossary of Oil and Natural Gas Terms</w:t>
            </w:r>
          </w:p>
        </w:tc>
        <w:tc>
          <w:tcPr>
            <w:tcW w:w="30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3"/>
            <w:shd w:val="clear" w:color="auto" w:fill="CCEEFF"/>
          </w:tcPr>
          <w:p>
            <w:pPr>
              <w:jc w:val="center"/>
              <w:ind w:right="280"/>
              <w:spacing w:after="0" w:line="148" w:lineRule="exact"/>
              <w:rPr>
                <w:sz w:val="20"/>
                <w:szCs w:val="20"/>
                <w:color w:val="auto"/>
              </w:rPr>
            </w:pPr>
            <w:r>
              <w:rPr>
                <w:rFonts w:ascii="Times New Roman" w:cs="Times New Roman" w:eastAsia="Times New Roman" w:hAnsi="Times New Roman"/>
                <w:sz w:val="16"/>
                <w:szCs w:val="16"/>
                <w:color w:val="0000FF"/>
                <w:w w:val="89"/>
              </w:rPr>
              <w:t>ii</w:t>
            </w:r>
          </w:p>
        </w:tc>
      </w:tr>
      <w:tr>
        <w:trPr>
          <w:trHeight w:val="39"/>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FF"/>
              <w:right w:val="single" w:sz="8" w:color="CCEE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7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420" w:type="dxa"/>
            <w:vAlign w:val="bottom"/>
            <w:gridSpan w:val="15"/>
          </w:tcPr>
          <w:p>
            <w:pPr>
              <w:spacing w:after="0" w:line="181" w:lineRule="exact"/>
              <w:rPr>
                <w:sz w:val="20"/>
                <w:szCs w:val="20"/>
                <w:color w:val="auto"/>
              </w:rPr>
            </w:pPr>
            <w:r>
              <w:rPr>
                <w:rFonts w:ascii="Times New Roman" w:cs="Times New Roman" w:eastAsia="Times New Roman" w:hAnsi="Times New Roman"/>
                <w:sz w:val="16"/>
                <w:szCs w:val="16"/>
                <w:color w:val="0000FF"/>
              </w:rPr>
              <w:t>Glossary of Certain Other Terms</w:t>
            </w:r>
          </w:p>
        </w:tc>
        <w:tc>
          <w:tcPr>
            <w:tcW w:w="8140" w:type="dxa"/>
            <w:vAlign w:val="bottom"/>
            <w:gridSpan w:val="23"/>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3"/>
          </w:tcPr>
          <w:p>
            <w:pPr>
              <w:jc w:val="center"/>
              <w:ind w:right="260"/>
              <w:spacing w:after="0" w:line="181" w:lineRule="exact"/>
              <w:rPr>
                <w:sz w:val="20"/>
                <w:szCs w:val="20"/>
                <w:color w:val="auto"/>
              </w:rPr>
            </w:pPr>
            <w:r>
              <w:rPr>
                <w:rFonts w:ascii="Times New Roman" w:cs="Times New Roman" w:eastAsia="Times New Roman" w:hAnsi="Times New Roman"/>
                <w:sz w:val="16"/>
                <w:szCs w:val="16"/>
                <w:color w:val="0000FF"/>
                <w:w w:val="79"/>
              </w:rPr>
              <w:t>iv</w:t>
            </w: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560" w:type="dxa"/>
            <w:vAlign w:val="bottom"/>
            <w:gridSpan w:val="38"/>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Cautionary Statement Regarding Forward-Looking Statements</w:t>
            </w:r>
          </w:p>
        </w:tc>
        <w:tc>
          <w:tcPr>
            <w:tcW w:w="3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center"/>
              <w:ind w:right="280"/>
              <w:spacing w:after="0" w:line="181" w:lineRule="exact"/>
              <w:rPr>
                <w:sz w:val="20"/>
                <w:szCs w:val="20"/>
                <w:color w:val="auto"/>
              </w:rPr>
            </w:pPr>
            <w:r>
              <w:rPr>
                <w:rFonts w:ascii="Times New Roman" w:cs="Times New Roman" w:eastAsia="Times New Roman" w:hAnsi="Times New Roman"/>
                <w:sz w:val="16"/>
                <w:szCs w:val="16"/>
                <w:color w:val="0000FF"/>
                <w:w w:val="99"/>
              </w:rPr>
              <w:t>v</w:t>
            </w:r>
          </w:p>
        </w:tc>
      </w:tr>
      <w:tr>
        <w:trPr>
          <w:trHeight w:val="207"/>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6"/>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0000FF"/>
                <w:w w:val="96"/>
              </w:rPr>
              <w:t>PART I. FINANCIAL INFORMATION</w:t>
            </w:r>
          </w:p>
        </w:tc>
        <w:tc>
          <w:tcPr>
            <w:tcW w:w="37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10560" w:type="dxa"/>
            <w:vAlign w:val="bottom"/>
            <w:gridSpan w:val="38"/>
          </w:tcPr>
          <w:p>
            <w:pPr>
              <w:spacing w:after="0" w:line="181"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380" w:type="dxa"/>
            <w:vAlign w:val="bottom"/>
            <w:gridSpan w:val="2"/>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500" w:type="dxa"/>
            <w:vAlign w:val="bottom"/>
            <w:gridSpan w:val="21"/>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5"/>
              </w:rPr>
              <w:t>Condensed Consolidated Balance Sheets</w:t>
            </w:r>
          </w:p>
        </w:tc>
        <w:tc>
          <w:tcPr>
            <w:tcW w:w="7400" w:type="dxa"/>
            <w:vAlign w:val="bottom"/>
            <w:gridSpan w:val="16"/>
            <w:shd w:val="clear" w:color="auto" w:fill="CCEEFF"/>
          </w:tcPr>
          <w:p>
            <w:pPr>
              <w:spacing w:after="0"/>
              <w:rPr>
                <w:sz w:val="15"/>
                <w:szCs w:val="15"/>
                <w:color w:val="auto"/>
              </w:rPr>
            </w:pPr>
          </w:p>
        </w:tc>
        <w:tc>
          <w:tcPr>
            <w:tcW w:w="380" w:type="dxa"/>
            <w:vAlign w:val="bottom"/>
            <w:gridSpan w:val="2"/>
            <w:shd w:val="clear" w:color="auto" w:fill="CCEEFF"/>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900" w:type="dxa"/>
            <w:vAlign w:val="bottom"/>
            <w:gridSpan w:val="37"/>
          </w:tcPr>
          <w:p>
            <w:pPr>
              <w:spacing w:after="0" w:line="181"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380" w:type="dxa"/>
            <w:vAlign w:val="bottom"/>
            <w:gridSpan w:val="2"/>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760" w:type="dxa"/>
            <w:vAlign w:val="bottom"/>
            <w:gridSpan w:val="31"/>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5"/>
              </w:rPr>
              <w:t>Condensed Consolidated Statements of Stockholders’ Equity</w:t>
            </w:r>
          </w:p>
        </w:tc>
        <w:tc>
          <w:tcPr>
            <w:tcW w:w="6140" w:type="dxa"/>
            <w:vAlign w:val="bottom"/>
            <w:gridSpan w:val="6"/>
            <w:shd w:val="clear" w:color="auto" w:fill="CCEEFF"/>
          </w:tcPr>
          <w:p>
            <w:pPr>
              <w:spacing w:after="0"/>
              <w:rPr>
                <w:sz w:val="15"/>
                <w:szCs w:val="15"/>
                <w:color w:val="auto"/>
              </w:rPr>
            </w:pPr>
          </w:p>
        </w:tc>
        <w:tc>
          <w:tcPr>
            <w:tcW w:w="380" w:type="dxa"/>
            <w:vAlign w:val="bottom"/>
            <w:gridSpan w:val="2"/>
            <w:shd w:val="clear" w:color="auto" w:fill="CCEEFF"/>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760" w:type="dxa"/>
            <w:vAlign w:val="bottom"/>
            <w:gridSpan w:val="31"/>
          </w:tcPr>
          <w:p>
            <w:pPr>
              <w:spacing w:after="0" w:line="181"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140" w:type="dxa"/>
            <w:vAlign w:val="bottom"/>
            <w:gridSpan w:val="6"/>
          </w:tcPr>
          <w:p>
            <w:pPr>
              <w:spacing w:after="0"/>
              <w:rPr>
                <w:sz w:val="15"/>
                <w:szCs w:val="15"/>
                <w:color w:val="auto"/>
              </w:rPr>
            </w:pPr>
          </w:p>
        </w:tc>
        <w:tc>
          <w:tcPr>
            <w:tcW w:w="380" w:type="dxa"/>
            <w:vAlign w:val="bottom"/>
            <w:gridSpan w:val="2"/>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3640" w:type="dxa"/>
            <w:vAlign w:val="bottom"/>
            <w:gridSpan w:val="29"/>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5"/>
              </w:rPr>
              <w:t>Notes to the Condensed Consolidated Financial Statements</w:t>
            </w:r>
          </w:p>
        </w:tc>
        <w:tc>
          <w:tcPr>
            <w:tcW w:w="6260" w:type="dxa"/>
            <w:vAlign w:val="bottom"/>
            <w:gridSpan w:val="8"/>
            <w:shd w:val="clear" w:color="auto" w:fill="CCEEFF"/>
          </w:tcPr>
          <w:p>
            <w:pPr>
              <w:spacing w:after="0"/>
              <w:rPr>
                <w:sz w:val="15"/>
                <w:szCs w:val="15"/>
                <w:color w:val="auto"/>
              </w:rPr>
            </w:pPr>
          </w:p>
        </w:tc>
        <w:tc>
          <w:tcPr>
            <w:tcW w:w="380" w:type="dxa"/>
            <w:vAlign w:val="bottom"/>
            <w:gridSpan w:val="2"/>
            <w:shd w:val="clear" w:color="auto" w:fill="CCEEFF"/>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680" w:type="dxa"/>
            <w:vAlign w:val="bottom"/>
            <w:gridSpan w:val="2"/>
          </w:tcPr>
          <w:p>
            <w:pPr>
              <w:spacing w:after="0"/>
              <w:rPr>
                <w:sz w:val="15"/>
                <w:szCs w:val="15"/>
                <w:color w:val="auto"/>
              </w:rPr>
            </w:pPr>
          </w:p>
        </w:tc>
        <w:tc>
          <w:tcPr>
            <w:tcW w:w="3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0000FF"/>
                <w:w w:val="99"/>
              </w:rPr>
              <w:t>1.</w:t>
            </w:r>
          </w:p>
        </w:tc>
        <w:tc>
          <w:tcPr>
            <w:tcW w:w="9600" w:type="dxa"/>
            <w:vAlign w:val="bottom"/>
            <w:gridSpan w:val="35"/>
          </w:tcPr>
          <w:p>
            <w:pPr>
              <w:ind w:left="20"/>
              <w:spacing w:after="0" w:line="181" w:lineRule="exact"/>
              <w:rPr>
                <w:sz w:val="20"/>
                <w:szCs w:val="20"/>
                <w:color w:val="auto"/>
              </w:rPr>
            </w:pPr>
            <w:r>
              <w:rPr>
                <w:rFonts w:ascii="Times New Roman" w:cs="Times New Roman" w:eastAsia="Times New Roman" w:hAnsi="Times New Roman"/>
                <w:sz w:val="16"/>
                <w:szCs w:val="16"/>
                <w:color w:val="0000FF"/>
              </w:rPr>
              <w:t>Description of the Business and Basis of Presentation</w:t>
            </w:r>
          </w:p>
        </w:tc>
        <w:tc>
          <w:tcPr>
            <w:tcW w:w="380" w:type="dxa"/>
            <w:vAlign w:val="bottom"/>
            <w:gridSpan w:val="2"/>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2.</w:t>
            </w:r>
          </w:p>
        </w:tc>
        <w:tc>
          <w:tcPr>
            <w:tcW w:w="9600" w:type="dxa"/>
            <w:vAlign w:val="bottom"/>
            <w:gridSpan w:val="35"/>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380" w:type="dxa"/>
            <w:vAlign w:val="bottom"/>
            <w:gridSpan w:val="2"/>
            <w:shd w:val="clear" w:color="auto" w:fill="CCEEFF"/>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2800" w:type="dxa"/>
            <w:vAlign w:val="bottom"/>
            <w:gridSpan w:val="21"/>
          </w:tcPr>
          <w:p>
            <w:pPr>
              <w:ind w:left="20"/>
              <w:spacing w:after="0" w:line="181" w:lineRule="exact"/>
              <w:rPr>
                <w:sz w:val="20"/>
                <w:szCs w:val="20"/>
                <w:color w:val="auto"/>
              </w:rPr>
            </w:pPr>
            <w:r>
              <w:rPr>
                <w:rFonts w:ascii="Times New Roman" w:cs="Times New Roman" w:eastAsia="Times New Roman" w:hAnsi="Times New Roman"/>
                <w:sz w:val="16"/>
                <w:szCs w:val="16"/>
                <w:color w:val="0000FF"/>
              </w:rPr>
              <w:t>Revenue from Contracts with Customers</w:t>
            </w:r>
          </w:p>
        </w:tc>
        <w:tc>
          <w:tcPr>
            <w:tcW w:w="6800" w:type="dxa"/>
            <w:vAlign w:val="bottom"/>
            <w:gridSpan w:val="14"/>
          </w:tcPr>
          <w:p>
            <w:pPr>
              <w:spacing w:after="0"/>
              <w:rPr>
                <w:sz w:val="15"/>
                <w:szCs w:val="15"/>
                <w:color w:val="auto"/>
              </w:rPr>
            </w:pPr>
          </w:p>
        </w:tc>
        <w:tc>
          <w:tcPr>
            <w:tcW w:w="380" w:type="dxa"/>
            <w:vAlign w:val="bottom"/>
            <w:gridSpan w:val="2"/>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4.</w:t>
            </w:r>
          </w:p>
        </w:tc>
        <w:tc>
          <w:tcPr>
            <w:tcW w:w="9600" w:type="dxa"/>
            <w:vAlign w:val="bottom"/>
            <w:gridSpan w:val="35"/>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Acquisitions and Divestitures</w:t>
            </w:r>
          </w:p>
        </w:tc>
        <w:tc>
          <w:tcPr>
            <w:tcW w:w="380" w:type="dxa"/>
            <w:vAlign w:val="bottom"/>
            <w:gridSpan w:val="2"/>
            <w:shd w:val="clear" w:color="auto" w:fill="CCEEFF"/>
          </w:tcPr>
          <w:p>
            <w:pPr>
              <w:jc w:val="center"/>
              <w:ind w:left="222"/>
              <w:spacing w:after="0" w:line="181" w:lineRule="exact"/>
              <w:rPr>
                <w:sz w:val="20"/>
                <w:szCs w:val="20"/>
                <w:color w:val="auto"/>
              </w:rPr>
            </w:pPr>
            <w:r>
              <w:rPr>
                <w:rFonts w:ascii="Times New Roman" w:cs="Times New Roman" w:eastAsia="Times New Roman" w:hAnsi="Times New Roman"/>
                <w:sz w:val="16"/>
                <w:szCs w:val="16"/>
                <w:color w:val="0000FF"/>
                <w:w w:val="99"/>
              </w:rPr>
              <w:t>9</w:t>
            </w:r>
          </w:p>
        </w:tc>
        <w:tc>
          <w:tcPr>
            <w:tcW w:w="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99"/>
              </w:rPr>
              <w:t>5.</w:t>
            </w:r>
          </w:p>
        </w:tc>
        <w:tc>
          <w:tcPr>
            <w:tcW w:w="9600" w:type="dxa"/>
            <w:vAlign w:val="bottom"/>
            <w:gridSpan w:val="35"/>
          </w:tcPr>
          <w:p>
            <w:pPr>
              <w:ind w:left="20"/>
              <w:spacing w:after="0" w:line="181" w:lineRule="exact"/>
              <w:rPr>
                <w:sz w:val="20"/>
                <w:szCs w:val="20"/>
                <w:color w:val="auto"/>
              </w:rPr>
            </w:pPr>
            <w:r>
              <w:rPr>
                <w:rFonts w:ascii="Times New Roman" w:cs="Times New Roman" w:eastAsia="Times New Roman" w:hAnsi="Times New Roman"/>
                <w:sz w:val="16"/>
                <w:szCs w:val="16"/>
                <w:color w:val="0000FF"/>
              </w:rPr>
              <w:t>Endeavor Energy Resources, LP Acquisition</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13</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6.</w:t>
            </w:r>
          </w:p>
        </w:tc>
        <w:tc>
          <w:tcPr>
            <w:tcW w:w="9600" w:type="dxa"/>
            <w:vAlign w:val="bottom"/>
            <w:gridSpan w:val="35"/>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Property and Equipment</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15</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99"/>
              </w:rPr>
              <w:t>7.</w:t>
            </w:r>
          </w:p>
        </w:tc>
        <w:tc>
          <w:tcPr>
            <w:tcW w:w="9600" w:type="dxa"/>
            <w:vAlign w:val="bottom"/>
            <w:gridSpan w:val="35"/>
          </w:tcPr>
          <w:p>
            <w:pPr>
              <w:ind w:left="20"/>
              <w:spacing w:after="0" w:line="181" w:lineRule="exact"/>
              <w:rPr>
                <w:sz w:val="20"/>
                <w:szCs w:val="20"/>
                <w:color w:val="auto"/>
              </w:rPr>
            </w:pPr>
            <w:r>
              <w:rPr>
                <w:rFonts w:ascii="Times New Roman" w:cs="Times New Roman" w:eastAsia="Times New Roman" w:hAnsi="Times New Roman"/>
                <w:sz w:val="16"/>
                <w:szCs w:val="16"/>
                <w:color w:val="0000FF"/>
              </w:rPr>
              <w:t>Asset Retirement Obligations</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16</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8.</w:t>
            </w:r>
          </w:p>
        </w:tc>
        <w:tc>
          <w:tcPr>
            <w:tcW w:w="1700" w:type="dxa"/>
            <w:vAlign w:val="bottom"/>
            <w:gridSpan w:val="15"/>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w w:val="96"/>
              </w:rPr>
              <w:t>Related Party Transactions</w:t>
            </w:r>
          </w:p>
        </w:tc>
        <w:tc>
          <w:tcPr>
            <w:tcW w:w="7900" w:type="dxa"/>
            <w:vAlign w:val="bottom"/>
            <w:gridSpan w:val="20"/>
            <w:shd w:val="clear" w:color="auto" w:fill="CCEEFF"/>
          </w:tcPr>
          <w:p>
            <w:pPr>
              <w:spacing w:after="0"/>
              <w:rPr>
                <w:sz w:val="15"/>
                <w:szCs w:val="15"/>
                <w:color w:val="auto"/>
              </w:rPr>
            </w:pP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16</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99"/>
              </w:rPr>
              <w:t>9.</w:t>
            </w:r>
          </w:p>
        </w:tc>
        <w:tc>
          <w:tcPr>
            <w:tcW w:w="1700" w:type="dxa"/>
            <w:vAlign w:val="bottom"/>
            <w:gridSpan w:val="15"/>
          </w:tcPr>
          <w:p>
            <w:pPr>
              <w:ind w:left="20"/>
              <w:spacing w:after="0" w:line="181" w:lineRule="exact"/>
              <w:rPr>
                <w:sz w:val="20"/>
                <w:szCs w:val="20"/>
                <w:color w:val="auto"/>
              </w:rPr>
            </w:pPr>
            <w:r>
              <w:rPr>
                <w:rFonts w:ascii="Times New Roman" w:cs="Times New Roman" w:eastAsia="Times New Roman" w:hAnsi="Times New Roman"/>
                <w:sz w:val="16"/>
                <w:szCs w:val="16"/>
                <w:color w:val="0000FF"/>
              </w:rPr>
              <w:t>Debt</w:t>
            </w:r>
          </w:p>
        </w:tc>
        <w:tc>
          <w:tcPr>
            <w:tcW w:w="7900" w:type="dxa"/>
            <w:vAlign w:val="bottom"/>
            <w:gridSpan w:val="20"/>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18</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2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10.</w:t>
            </w:r>
          </w:p>
        </w:tc>
        <w:tc>
          <w:tcPr>
            <w:tcW w:w="9520" w:type="dxa"/>
            <w:vAlign w:val="bottom"/>
            <w:gridSpan w:val="3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Stockholders’ Equity and Earnings (Loss) Per Share</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22</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8"/>
          </w:tcPr>
          <w:p>
            <w:pPr>
              <w:spacing w:after="0" w:line="181" w:lineRule="exact"/>
              <w:rPr>
                <w:sz w:val="20"/>
                <w:szCs w:val="20"/>
                <w:color w:val="auto"/>
              </w:rPr>
            </w:pPr>
            <w:r>
              <w:rPr>
                <w:rFonts w:ascii="Times New Roman" w:cs="Times New Roman" w:eastAsia="Times New Roman" w:hAnsi="Times New Roman"/>
                <w:sz w:val="16"/>
                <w:szCs w:val="16"/>
                <w:color w:val="0000FF"/>
              </w:rPr>
              <w:t>11. Equity-Based Compensation</w:t>
            </w:r>
          </w:p>
        </w:tc>
        <w:tc>
          <w:tcPr>
            <w:tcW w:w="6260" w:type="dxa"/>
            <w:vAlign w:val="bottom"/>
            <w:gridSpan w:val="8"/>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24</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2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12.</w:t>
            </w:r>
          </w:p>
        </w:tc>
        <w:tc>
          <w:tcPr>
            <w:tcW w:w="9520" w:type="dxa"/>
            <w:vAlign w:val="bottom"/>
            <w:gridSpan w:val="3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Income Taxes</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9"/>
              </w:rPr>
              <w:t>13.</w:t>
            </w:r>
          </w:p>
        </w:tc>
        <w:tc>
          <w:tcPr>
            <w:tcW w:w="88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6"/>
                <w:szCs w:val="16"/>
                <w:color w:val="0000FF"/>
              </w:rPr>
              <w:t>Derivatives</w:t>
            </w:r>
          </w:p>
        </w:tc>
        <w:tc>
          <w:tcPr>
            <w:tcW w:w="8640" w:type="dxa"/>
            <w:vAlign w:val="bottom"/>
            <w:gridSpan w:val="28"/>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2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14.</w:t>
            </w:r>
          </w:p>
        </w:tc>
        <w:tc>
          <w:tcPr>
            <w:tcW w:w="9520" w:type="dxa"/>
            <w:vAlign w:val="bottom"/>
            <w:gridSpan w:val="3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Fair Value Measurements</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29</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9"/>
              </w:rPr>
              <w:t>15.</w:t>
            </w:r>
          </w:p>
        </w:tc>
        <w:tc>
          <w:tcPr>
            <w:tcW w:w="9520" w:type="dxa"/>
            <w:vAlign w:val="bottom"/>
            <w:gridSpan w:val="33"/>
          </w:tcPr>
          <w:p>
            <w:pPr>
              <w:ind w:left="20"/>
              <w:spacing w:after="0" w:line="181" w:lineRule="exact"/>
              <w:rPr>
                <w:sz w:val="20"/>
                <w:szCs w:val="20"/>
                <w:color w:val="auto"/>
              </w:rPr>
            </w:pPr>
            <w:r>
              <w:rPr>
                <w:rFonts w:ascii="Times New Roman" w:cs="Times New Roman" w:eastAsia="Times New Roman" w:hAnsi="Times New Roman"/>
                <w:sz w:val="16"/>
                <w:szCs w:val="16"/>
                <w:color w:val="0000FF"/>
              </w:rPr>
              <w:t>Supplemental Information To Statements of Cash Flows</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31</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81"/>
        </w:trPr>
        <w:tc>
          <w:tcPr>
            <w:tcW w:w="840" w:type="dxa"/>
            <w:vAlign w:val="bottom"/>
            <w:gridSpan w:val="3"/>
            <w:shd w:val="clear" w:color="auto" w:fill="CCEEFF"/>
          </w:tcPr>
          <w:p>
            <w:pPr>
              <w:spacing w:after="0"/>
              <w:rPr>
                <w:sz w:val="15"/>
                <w:szCs w:val="15"/>
                <w:color w:val="auto"/>
              </w:rPr>
            </w:pPr>
          </w:p>
        </w:tc>
        <w:tc>
          <w:tcPr>
            <w:tcW w:w="22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w w:val="99"/>
              </w:rPr>
              <w:t>16.</w:t>
            </w:r>
          </w:p>
        </w:tc>
        <w:tc>
          <w:tcPr>
            <w:tcW w:w="2100" w:type="dxa"/>
            <w:vAlign w:val="bottom"/>
            <w:gridSpan w:val="16"/>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w w:val="96"/>
              </w:rPr>
              <w:t>Commitments and Contingencies</w:t>
            </w:r>
          </w:p>
        </w:tc>
        <w:tc>
          <w:tcPr>
            <w:tcW w:w="7420" w:type="dxa"/>
            <w:vAlign w:val="bottom"/>
            <w:gridSpan w:val="17"/>
            <w:shd w:val="clear" w:color="auto" w:fill="CCEEFF"/>
          </w:tcPr>
          <w:p>
            <w:pPr>
              <w:spacing w:after="0"/>
              <w:rPr>
                <w:sz w:val="15"/>
                <w:szCs w:val="15"/>
                <w:color w:val="auto"/>
              </w:rPr>
            </w:pP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31</w:t>
            </w:r>
          </w:p>
        </w:tc>
        <w:tc>
          <w:tcPr>
            <w:tcW w:w="24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1"/>
        </w:trPr>
        <w:tc>
          <w:tcPr>
            <w:tcW w:w="840" w:type="dxa"/>
            <w:vAlign w:val="bottom"/>
            <w:gridSpan w:val="3"/>
          </w:tcPr>
          <w:p>
            <w:pPr>
              <w:spacing w:after="0"/>
              <w:rPr>
                <w:sz w:val="15"/>
                <w:szCs w:val="15"/>
                <w:color w:val="auto"/>
              </w:rPr>
            </w:pPr>
          </w:p>
        </w:tc>
        <w:tc>
          <w:tcPr>
            <w:tcW w:w="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9"/>
              </w:rPr>
              <w:t>17.</w:t>
            </w:r>
          </w:p>
        </w:tc>
        <w:tc>
          <w:tcPr>
            <w:tcW w:w="2100" w:type="dxa"/>
            <w:vAlign w:val="bottom"/>
            <w:gridSpan w:val="16"/>
          </w:tcPr>
          <w:p>
            <w:pPr>
              <w:ind w:left="20"/>
              <w:spacing w:after="0" w:line="181" w:lineRule="exact"/>
              <w:rPr>
                <w:sz w:val="20"/>
                <w:szCs w:val="20"/>
                <w:color w:val="auto"/>
              </w:rPr>
            </w:pPr>
            <w:r>
              <w:rPr>
                <w:rFonts w:ascii="Times New Roman" w:cs="Times New Roman" w:eastAsia="Times New Roman" w:hAnsi="Times New Roman"/>
                <w:sz w:val="16"/>
                <w:szCs w:val="16"/>
                <w:color w:val="0000FF"/>
              </w:rPr>
              <w:t>Subsequent Events</w:t>
            </w:r>
          </w:p>
        </w:tc>
        <w:tc>
          <w:tcPr>
            <w:tcW w:w="7420" w:type="dxa"/>
            <w:vAlign w:val="bottom"/>
            <w:gridSpan w:val="17"/>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32</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13"/>
        </w:trPr>
        <w:tc>
          <w:tcPr>
            <w:tcW w:w="1060" w:type="dxa"/>
            <w:vAlign w:val="bottom"/>
            <w:gridSpan w:val="6"/>
            <w:shd w:val="clear" w:color="auto" w:fill="CCEEFF"/>
          </w:tcPr>
          <w:p>
            <w:pPr>
              <w:ind w:left="840"/>
              <w:spacing w:after="0" w:line="181" w:lineRule="exact"/>
              <w:rPr>
                <w:sz w:val="20"/>
                <w:szCs w:val="20"/>
                <w:color w:val="auto"/>
              </w:rPr>
            </w:pPr>
            <w:r>
              <w:rPr>
                <w:rFonts w:ascii="Times New Roman" w:cs="Times New Roman" w:eastAsia="Times New Roman" w:hAnsi="Times New Roman"/>
                <w:sz w:val="16"/>
                <w:szCs w:val="16"/>
                <w:color w:val="0000FF"/>
                <w:w w:val="99"/>
              </w:rPr>
              <w:t>18.</w:t>
            </w:r>
          </w:p>
        </w:tc>
        <w:tc>
          <w:tcPr>
            <w:tcW w:w="9520" w:type="dxa"/>
            <w:vAlign w:val="bottom"/>
            <w:gridSpan w:val="33"/>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0000FF"/>
              </w:rPr>
              <w:t>Segment Information</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33</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10560" w:type="dxa"/>
            <w:vAlign w:val="bottom"/>
            <w:gridSpan w:val="38"/>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34</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10560" w:type="dxa"/>
            <w:vAlign w:val="bottom"/>
            <w:gridSpan w:val="38"/>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52</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80" w:type="dxa"/>
            <w:vAlign w:val="bottom"/>
            <w:tcBorders>
              <w:top w:val="single" w:sz="8" w:color="0000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10560" w:type="dxa"/>
            <w:vAlign w:val="bottom"/>
            <w:gridSpan w:val="38"/>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0000FF"/>
              </w:rPr>
              <w:t>Item 4. Controls and Procedures</w:t>
            </w:r>
          </w:p>
        </w:tc>
        <w:tc>
          <w:tcPr>
            <w:tcW w:w="420" w:type="dxa"/>
            <w:vAlign w:val="bottom"/>
            <w:tcBorders>
              <w:right w:val="single" w:sz="8" w:color="CCEEFF"/>
            </w:tcBorders>
            <w:gridSpan w:val="3"/>
            <w:shd w:val="clear" w:color="auto" w:fill="CCEEFF"/>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54</w:t>
            </w:r>
          </w:p>
        </w:tc>
        <w:tc>
          <w:tcPr>
            <w:tcW w:w="240" w:type="dxa"/>
            <w:vAlign w:val="bottom"/>
            <w:shd w:val="clear" w:color="auto" w:fill="CCEEFF"/>
          </w:tcPr>
          <w:p>
            <w:pPr>
              <w:spacing w:after="0"/>
              <w:rPr>
                <w:sz w:val="18"/>
                <w:szCs w:val="18"/>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0000FF"/>
            </w:tcBorders>
            <w:gridSpan w:val="3"/>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0000FF"/>
                <w:w w:val="96"/>
              </w:rPr>
              <w:t>PART II. OTHER INFORMATION</w:t>
            </w:r>
          </w:p>
        </w:tc>
        <w:tc>
          <w:tcPr>
            <w:tcW w:w="382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10560" w:type="dxa"/>
            <w:vAlign w:val="bottom"/>
            <w:gridSpan w:val="38"/>
          </w:tcPr>
          <w:p>
            <w:pPr>
              <w:spacing w:after="0" w:line="181" w:lineRule="exact"/>
              <w:rPr>
                <w:sz w:val="20"/>
                <w:szCs w:val="20"/>
                <w:color w:val="auto"/>
              </w:rPr>
            </w:pPr>
            <w:r>
              <w:rPr>
                <w:rFonts w:ascii="Times New Roman" w:cs="Times New Roman" w:eastAsia="Times New Roman" w:hAnsi="Times New Roman"/>
                <w:sz w:val="16"/>
                <w:szCs w:val="16"/>
                <w:color w:val="0000FF"/>
              </w:rPr>
              <w:t>Item 1. Legal Proceedings</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55</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560" w:type="dxa"/>
            <w:vAlign w:val="bottom"/>
            <w:gridSpan w:val="38"/>
          </w:tcPr>
          <w:p>
            <w:pPr>
              <w:spacing w:after="0" w:line="181" w:lineRule="exact"/>
              <w:rPr>
                <w:sz w:val="20"/>
                <w:szCs w:val="20"/>
                <w:color w:val="auto"/>
              </w:rPr>
            </w:pPr>
            <w:r>
              <w:rPr>
                <w:rFonts w:ascii="Times New Roman" w:cs="Times New Roman" w:eastAsia="Times New Roman" w:hAnsi="Times New Roman"/>
                <w:sz w:val="16"/>
                <w:szCs w:val="16"/>
                <w:color w:val="0000FF"/>
              </w:rPr>
              <w:t>Item 1A. Risk Factors</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55</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560" w:type="dxa"/>
            <w:vAlign w:val="bottom"/>
            <w:gridSpan w:val="38"/>
          </w:tcPr>
          <w:p>
            <w:pPr>
              <w:spacing w:after="0" w:line="181" w:lineRule="exact"/>
              <w:rPr>
                <w:sz w:val="20"/>
                <w:szCs w:val="20"/>
                <w:color w:val="auto"/>
              </w:rPr>
            </w:pPr>
            <w:r>
              <w:rPr>
                <w:rFonts w:ascii="Times New Roman" w:cs="Times New Roman" w:eastAsia="Times New Roman" w:hAnsi="Times New Roman"/>
                <w:sz w:val="16"/>
                <w:szCs w:val="16"/>
                <w:color w:val="0000FF"/>
              </w:rPr>
              <w:t>Item 2. Unregistered Sales of Equity Securities and Use of Proceeds</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55</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560" w:type="dxa"/>
            <w:vAlign w:val="bottom"/>
            <w:gridSpan w:val="38"/>
          </w:tcPr>
          <w:p>
            <w:pPr>
              <w:spacing w:after="0" w:line="181" w:lineRule="exact"/>
              <w:rPr>
                <w:sz w:val="20"/>
                <w:szCs w:val="20"/>
                <w:color w:val="auto"/>
              </w:rPr>
            </w:pPr>
            <w:r>
              <w:rPr>
                <w:rFonts w:ascii="Times New Roman" w:cs="Times New Roman" w:eastAsia="Times New Roman" w:hAnsi="Times New Roman"/>
                <w:sz w:val="16"/>
                <w:szCs w:val="16"/>
                <w:color w:val="0000FF"/>
              </w:rPr>
              <w:t>Item 5. Other Information</w:t>
            </w: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56</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040" w:type="dxa"/>
            <w:vAlign w:val="bottom"/>
            <w:gridSpan w:val="5"/>
          </w:tcPr>
          <w:p>
            <w:pPr>
              <w:spacing w:after="0" w:line="181" w:lineRule="exact"/>
              <w:rPr>
                <w:sz w:val="20"/>
                <w:szCs w:val="20"/>
                <w:color w:val="auto"/>
              </w:rPr>
            </w:pPr>
            <w:r>
              <w:rPr>
                <w:rFonts w:ascii="Times New Roman" w:cs="Times New Roman" w:eastAsia="Times New Roman" w:hAnsi="Times New Roman"/>
                <w:sz w:val="16"/>
                <w:szCs w:val="16"/>
                <w:color w:val="0000FF"/>
                <w:w w:val="99"/>
              </w:rPr>
              <w:t>Item 6. Exhibits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56</w:t>
            </w:r>
          </w:p>
        </w:tc>
        <w:tc>
          <w:tcPr>
            <w:tcW w:w="24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6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0000FF"/>
                <w:w w:val="91"/>
              </w:rPr>
              <w:t>Signatures</w:t>
            </w:r>
          </w:p>
        </w:tc>
        <w:tc>
          <w:tcPr>
            <w:tcW w:w="3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20" w:type="dxa"/>
            <w:vAlign w:val="bottom"/>
            <w:gridSpan w:val="3"/>
          </w:tcPr>
          <w:p>
            <w:pPr>
              <w:jc w:val="center"/>
              <w:ind w:left="182"/>
              <w:spacing w:after="0" w:line="181" w:lineRule="exact"/>
              <w:rPr>
                <w:sz w:val="20"/>
                <w:szCs w:val="20"/>
                <w:color w:val="auto"/>
              </w:rPr>
            </w:pPr>
            <w:r>
              <w:rPr>
                <w:rFonts w:ascii="Times New Roman" w:cs="Times New Roman" w:eastAsia="Times New Roman" w:hAnsi="Times New Roman"/>
                <w:sz w:val="16"/>
                <w:szCs w:val="16"/>
                <w:color w:val="0000FF"/>
                <w:w w:val="99"/>
              </w:rPr>
              <w:t>58</w:t>
            </w:r>
          </w:p>
        </w:tc>
        <w:tc>
          <w:tcPr>
            <w:tcW w:w="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line="3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93980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GLOSSARY OF OIL AND NATURAL GAS TERMS</w:t>
      </w:r>
    </w:p>
    <w:p>
      <w:pPr>
        <w:spacing w:after="0" w:line="23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is a glossary of certain oil and natural gas industry terms that are used in this Quarterly Report on Form 10-Q (this “report”) and our other periodic reports under the Exchange Act: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Argus WTI Houston</w:t>
            </w:r>
          </w:p>
        </w:tc>
        <w:tc>
          <w:tcPr>
            <w:tcW w:w="9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Grade of oil that serves as a benchmark price for oil at Houston, Texas.</w:t>
            </w:r>
          </w:p>
        </w:tc>
      </w:tr>
      <w:tr>
        <w:trPr>
          <w:trHeight w:val="22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Argus WTI Midland</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Grade of oil that serves as a benchmark price for oil at Midland, Texas.</w:t>
            </w:r>
          </w:p>
        </w:tc>
      </w:tr>
      <w:tr>
        <w:trPr>
          <w:trHeight w:val="24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Basin</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 large depression on the earth’s surface in which sediments accumulate.</w:t>
            </w:r>
          </w:p>
        </w:tc>
      </w:tr>
      <w:tr>
        <w:trPr>
          <w:trHeight w:val="22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Bbl or barrel</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One stock tank barrel, or 42 U.S. gallons liquid volume, used in this report in reference to crude oil or other liquid hydrocarbons.</w:t>
            </w:r>
          </w:p>
        </w:tc>
      </w:tr>
      <w:tr>
        <w:trPr>
          <w:trHeight w:val="24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BO/d</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One barrel of crude oil per day.</w:t>
            </w:r>
          </w:p>
        </w:tc>
      </w:tr>
      <w:tr>
        <w:trPr>
          <w:trHeight w:val="22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BOE</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One barrel of oil equivalent, with six thousand cubic feet of natural gas being equivalent to one barrel of oil.</w:t>
            </w:r>
          </w:p>
        </w:tc>
      </w:tr>
      <w:tr>
        <w:trPr>
          <w:trHeight w:val="24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BOE/d</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One BOE per day.</w:t>
            </w:r>
          </w:p>
        </w:tc>
      </w:tr>
      <w:tr>
        <w:trPr>
          <w:trHeight w:val="22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Brent</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 major trading classification of light sweet oil that serves as a benchmark price for oil worldwide.</w:t>
            </w:r>
          </w:p>
        </w:tc>
      </w:tr>
      <w:tr>
        <w:trPr>
          <w:trHeight w:val="178"/>
        </w:trPr>
        <w:tc>
          <w:tcPr>
            <w:tcW w:w="20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Completion</w:t>
            </w:r>
          </w:p>
        </w:tc>
        <w:tc>
          <w:tcPr>
            <w:tcW w:w="9220" w:type="dxa"/>
            <w:vAlign w:val="bottom"/>
            <w:shd w:val="clear" w:color="auto" w:fill="CCEEFF"/>
          </w:tcPr>
          <w:p>
            <w:pPr>
              <w:ind w:left="740"/>
              <w:spacing w:after="0" w:line="178" w:lineRule="exact"/>
              <w:rPr>
                <w:sz w:val="20"/>
                <w:szCs w:val="20"/>
                <w:color w:val="auto"/>
              </w:rPr>
            </w:pPr>
            <w:r>
              <w:rPr>
                <w:rFonts w:ascii="Times New Roman" w:cs="Times New Roman" w:eastAsia="Times New Roman" w:hAnsi="Times New Roman"/>
                <w:sz w:val="16"/>
                <w:szCs w:val="16"/>
                <w:color w:val="auto"/>
                <w:w w:val="98"/>
              </w:rPr>
              <w:t>The process of treating a drilled well followed by the installation of permanent equipment for the production of natural gas or oil, or in</w:t>
            </w:r>
          </w:p>
        </w:tc>
      </w:tr>
      <w:tr>
        <w:trPr>
          <w:trHeight w:val="194"/>
        </w:trPr>
        <w:tc>
          <w:tcPr>
            <w:tcW w:w="2020" w:type="dxa"/>
            <w:vAlign w:val="bottom"/>
            <w:shd w:val="clear" w:color="auto" w:fill="CCEEFF"/>
          </w:tcPr>
          <w:p>
            <w:pPr>
              <w:spacing w:after="0"/>
              <w:rPr>
                <w:sz w:val="16"/>
                <w:szCs w:val="16"/>
                <w:color w:val="auto"/>
              </w:rPr>
            </w:pP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the case of a dry hole, the reporting of abandonment to the appropriate agency.</w:t>
            </w:r>
          </w:p>
        </w:tc>
      </w:tr>
      <w:tr>
        <w:trPr>
          <w:trHeight w:val="22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Crude oil</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Liquid hydrocarbons retrieved from geological structures underground to be refined into fuel sources.</w:t>
            </w:r>
          </w:p>
        </w:tc>
      </w:tr>
      <w:tr>
        <w:trPr>
          <w:trHeight w:val="24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Capital costs incurred in the acquisition, exploitation and exploration of proved oil and natural gas reserves.</w:t>
            </w:r>
          </w:p>
        </w:tc>
      </w:tr>
      <w:tr>
        <w:trPr>
          <w:trHeight w:val="206"/>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Differential</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7"/>
              </w:rPr>
              <w:t>An adjustment to the price of oil or natural gas from an established spot market price to reflect differences in the quality and/or location</w:t>
            </w:r>
          </w:p>
        </w:tc>
      </w:tr>
      <w:tr>
        <w:trPr>
          <w:trHeight w:val="212"/>
        </w:trPr>
        <w:tc>
          <w:tcPr>
            <w:tcW w:w="2020" w:type="dxa"/>
            <w:vAlign w:val="bottom"/>
          </w:tcPr>
          <w:p>
            <w:pPr>
              <w:spacing w:after="0"/>
              <w:rPr>
                <w:sz w:val="18"/>
                <w:szCs w:val="18"/>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of oil or natural gas.</w:t>
            </w:r>
          </w:p>
        </w:tc>
      </w:tr>
      <w:tr>
        <w:trPr>
          <w:trHeight w:val="21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Exploitation</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A development or other project which may target proven or unproven reserves (such as probable or possible reserves), but which</w:t>
            </w:r>
          </w:p>
        </w:tc>
      </w:tr>
      <w:tr>
        <w:trPr>
          <w:trHeight w:val="221"/>
        </w:trPr>
        <w:tc>
          <w:tcPr>
            <w:tcW w:w="2020" w:type="dxa"/>
            <w:vAlign w:val="bottom"/>
            <w:shd w:val="clear" w:color="auto" w:fill="CCEEFF"/>
          </w:tcPr>
          <w:p>
            <w:pPr>
              <w:spacing w:after="0"/>
              <w:rPr>
                <w:sz w:val="19"/>
                <w:szCs w:val="19"/>
                <w:color w:val="auto"/>
              </w:rPr>
            </w:pP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generally has a lower risk than that associated with exploration projects.</w:t>
            </w:r>
          </w:p>
        </w:tc>
      </w:tr>
      <w:tr>
        <w:trPr>
          <w:trHeight w:val="206"/>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Fracturing</w:t>
            </w: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w w:val="98"/>
              </w:rPr>
              <w:t>The process of creating and preserving a fracture or system of fractures in a reservoir rock typically by injecting a fluid under pressure</w:t>
            </w:r>
          </w:p>
        </w:tc>
      </w:tr>
      <w:tr>
        <w:trPr>
          <w:trHeight w:val="212"/>
        </w:trPr>
        <w:tc>
          <w:tcPr>
            <w:tcW w:w="2020" w:type="dxa"/>
            <w:vAlign w:val="bottom"/>
          </w:tcPr>
          <w:p>
            <w:pPr>
              <w:spacing w:after="0"/>
              <w:rPr>
                <w:sz w:val="18"/>
                <w:szCs w:val="18"/>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through a wellbore and into the targeted formation.</w:t>
            </w:r>
          </w:p>
        </w:tc>
      </w:tr>
      <w:tr>
        <w:trPr>
          <w:trHeight w:val="21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Horizontal drilling</w:t>
            </w: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A drilling technique used in certain formations where a well is drilled vertically to a certain depth and then drilled at a right angle with a</w:t>
            </w:r>
          </w:p>
        </w:tc>
      </w:tr>
      <w:tr>
        <w:trPr>
          <w:trHeight w:val="221"/>
        </w:trPr>
        <w:tc>
          <w:tcPr>
            <w:tcW w:w="2020" w:type="dxa"/>
            <w:vAlign w:val="bottom"/>
            <w:shd w:val="clear" w:color="auto" w:fill="CCEEFF"/>
          </w:tcPr>
          <w:p>
            <w:pPr>
              <w:spacing w:after="0"/>
              <w:rPr>
                <w:sz w:val="19"/>
                <w:szCs w:val="19"/>
                <w:color w:val="auto"/>
              </w:rPr>
            </w:pPr>
          </w:p>
        </w:tc>
        <w:tc>
          <w:tcPr>
            <w:tcW w:w="9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specified interval.</w:t>
            </w:r>
          </w:p>
        </w:tc>
      </w:tr>
    </w:tbl>
    <w:p>
      <w:pPr>
        <w:spacing w:after="0" w:line="12"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Henry Hub</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HSC Hub</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Horizontal wells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Natural gas gathering point that serves as a benchmark price for natural gas futures on the NYMEX.</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Natural gas gathering point that serves as a benchmark price for natural gas at the Houston Ship Channel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-115570</wp:posOffset>
            </wp:positionV>
            <wp:extent cx="7138035" cy="147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6"/>
          <w:szCs w:val="16"/>
          <w:color w:val="auto"/>
        </w:rPr>
        <w:t>Wells drilled directionally horizontal to allow for development of structures not reachable through traditional vertical drilling mechanisms.</w:t>
      </w:r>
    </w:p>
    <w:p>
      <w:pPr>
        <w:spacing w:after="0" w:line="20" w:lineRule="exact"/>
        <w:rPr>
          <w:sz w:val="20"/>
          <w:szCs w:val="20"/>
          <w:color w:val="auto"/>
        </w:rPr>
      </w:pPr>
    </w:p>
    <w:p>
      <w:pPr>
        <w:sectPr>
          <w:pgSz w:w="11900" w:h="16838" w:orient="portrait"/>
          <w:cols w:equalWidth="0" w:num="2">
            <w:col w:w="2040" w:space="720"/>
            <w:col w:w="84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MBbls</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One thousand barrels of crude oil and other liquid hydrocarbons.</w:t>
            </w: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MBO/d</w:t>
            </w: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One thousand BO per day.</w:t>
            </w:r>
          </w:p>
        </w:tc>
      </w:tr>
      <w:tr>
        <w:trPr>
          <w:trHeight w:val="24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MBOE</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One thousand BOE.</w:t>
            </w: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MBOE/d</w:t>
            </w: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One thousand BOE per day.</w:t>
            </w:r>
          </w:p>
        </w:tc>
      </w:tr>
      <w:tr>
        <w:trPr>
          <w:trHeight w:val="24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Mcf</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One thousand cubic feet of natural gas.</w:t>
            </w: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Mineral interests</w:t>
            </w: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The interests in ownership of the resource and mineral rights, giving an owner the right to profit from the extracted resources.</w:t>
            </w:r>
          </w:p>
        </w:tc>
      </w:tr>
      <w:tr>
        <w:trPr>
          <w:trHeight w:val="24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MMBtu</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One million British Thermal Units.</w:t>
            </w: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MMcf</w:t>
            </w: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Million cubic feet of natural gas.</w:t>
            </w:r>
          </w:p>
        </w:tc>
      </w:tr>
      <w:tr>
        <w:trPr>
          <w:trHeight w:val="24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acres</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The sum of the fractional working interest owned in gross acres.</w:t>
            </w: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natural gas properties</w:t>
            </w: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Tracts of land consisting of properties to be developed for oil and natural gas resource extraction.</w:t>
            </w:r>
          </w:p>
        </w:tc>
      </w:tr>
      <w:tr>
        <w:trPr>
          <w:trHeight w:val="24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Operator</w:t>
            </w:r>
          </w:p>
        </w:tc>
        <w:tc>
          <w:tcPr>
            <w:tcW w:w="8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The individual or company responsible for the exploration and/or production of an oil or natural gas well or lease.</w:t>
            </w:r>
          </w:p>
        </w:tc>
      </w:tr>
      <w:tr>
        <w:trPr>
          <w:trHeight w:val="168"/>
        </w:trPr>
        <w:tc>
          <w:tcPr>
            <w:tcW w:w="23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Proved reserves</w:t>
            </w:r>
          </w:p>
        </w:tc>
        <w:tc>
          <w:tcPr>
            <w:tcW w:w="8920" w:type="dxa"/>
            <w:vAlign w:val="bottom"/>
          </w:tcPr>
          <w:p>
            <w:pPr>
              <w:ind w:left="440"/>
              <w:spacing w:after="0" w:line="168" w:lineRule="exact"/>
              <w:rPr>
                <w:sz w:val="20"/>
                <w:szCs w:val="20"/>
                <w:color w:val="auto"/>
              </w:rPr>
            </w:pPr>
            <w:r>
              <w:rPr>
                <w:rFonts w:ascii="Times New Roman" w:cs="Times New Roman" w:eastAsia="Times New Roman" w:hAnsi="Times New Roman"/>
                <w:sz w:val="16"/>
                <w:szCs w:val="16"/>
                <w:color w:val="auto"/>
                <w:w w:val="98"/>
              </w:rPr>
              <w:t>The estimated quantities of oil, natural gas and natural gas liquids which geological and engineering data demonstrate with reasonable</w:t>
            </w:r>
          </w:p>
        </w:tc>
      </w:tr>
      <w:tr>
        <w:trPr>
          <w:trHeight w:val="194"/>
        </w:trPr>
        <w:tc>
          <w:tcPr>
            <w:tcW w:w="2320" w:type="dxa"/>
            <w:vAlign w:val="bottom"/>
          </w:tcPr>
          <w:p>
            <w:pPr>
              <w:spacing w:after="0"/>
              <w:rPr>
                <w:sz w:val="16"/>
                <w:szCs w:val="16"/>
                <w:color w:val="auto"/>
              </w:rPr>
            </w:pPr>
          </w:p>
        </w:tc>
        <w:tc>
          <w:tcPr>
            <w:tcW w:w="8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certainty to be commercially recoverable in future years from known reservoirs under existing economic and operating conditions.</w:t>
            </w:r>
          </w:p>
        </w:tc>
      </w:tr>
      <w:tr>
        <w:trPr>
          <w:trHeight w:val="168"/>
        </w:trPr>
        <w:tc>
          <w:tcPr>
            <w:tcW w:w="23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Reserves</w:t>
            </w:r>
          </w:p>
        </w:tc>
        <w:tc>
          <w:tcPr>
            <w:tcW w:w="8920" w:type="dxa"/>
            <w:vAlign w:val="bottom"/>
            <w:shd w:val="clear" w:color="auto" w:fill="CCEEFF"/>
          </w:tcPr>
          <w:p>
            <w:pPr>
              <w:ind w:left="440"/>
              <w:spacing w:after="0" w:line="168" w:lineRule="exact"/>
              <w:rPr>
                <w:sz w:val="20"/>
                <w:szCs w:val="20"/>
                <w:color w:val="auto"/>
              </w:rPr>
            </w:pPr>
            <w:r>
              <w:rPr>
                <w:rFonts w:ascii="Times New Roman" w:cs="Times New Roman" w:eastAsia="Times New Roman" w:hAnsi="Times New Roman"/>
                <w:sz w:val="16"/>
                <w:szCs w:val="16"/>
                <w:color w:val="auto"/>
              </w:rPr>
              <w:t>The estimated remaining quantities of oil and natural gas and related substances anticipated to be economically producible, as of a</w:t>
            </w:r>
          </w:p>
        </w:tc>
      </w:tr>
      <w:tr>
        <w:trPr>
          <w:trHeight w:val="142"/>
        </w:trPr>
        <w:tc>
          <w:tcPr>
            <w:tcW w:w="2320" w:type="dxa"/>
            <w:vAlign w:val="bottom"/>
            <w:shd w:val="clear" w:color="auto" w:fill="CCEEFF"/>
          </w:tcPr>
          <w:p>
            <w:pPr>
              <w:spacing w:after="0"/>
              <w:rPr>
                <w:sz w:val="12"/>
                <w:szCs w:val="12"/>
                <w:color w:val="auto"/>
              </w:rPr>
            </w:pPr>
          </w:p>
        </w:tc>
        <w:tc>
          <w:tcPr>
            <w:tcW w:w="892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6"/>
                <w:szCs w:val="16"/>
                <w:color w:val="auto"/>
                <w:w w:val="97"/>
              </w:rPr>
              <w:t>given date, by application of development projects to known accumulations. In addition, there must exist, or there must be a reasonable</w:t>
            </w:r>
          </w:p>
        </w:tc>
      </w:tr>
      <w:tr>
        <w:trPr>
          <w:trHeight w:val="155"/>
        </w:trPr>
        <w:tc>
          <w:tcPr>
            <w:tcW w:w="2320" w:type="dxa"/>
            <w:vAlign w:val="bottom"/>
            <w:shd w:val="clear" w:color="auto" w:fill="CCEEFF"/>
          </w:tcPr>
          <w:p>
            <w:pPr>
              <w:spacing w:after="0"/>
              <w:rPr>
                <w:sz w:val="13"/>
                <w:szCs w:val="13"/>
                <w:color w:val="auto"/>
              </w:rPr>
            </w:pPr>
          </w:p>
        </w:tc>
        <w:tc>
          <w:tcPr>
            <w:tcW w:w="89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6"/>
                <w:szCs w:val="16"/>
                <w:color w:val="auto"/>
                <w:w w:val="98"/>
              </w:rPr>
              <w:t>expectation that there will exist, the legal right to produce or a revenue interest in the production, installed means of delivering oil and</w:t>
            </w:r>
          </w:p>
        </w:tc>
      </w:tr>
      <w:tr>
        <w:trPr>
          <w:trHeight w:val="155"/>
        </w:trPr>
        <w:tc>
          <w:tcPr>
            <w:tcW w:w="2320" w:type="dxa"/>
            <w:vAlign w:val="bottom"/>
            <w:shd w:val="clear" w:color="auto" w:fill="CCEEFF"/>
          </w:tcPr>
          <w:p>
            <w:pPr>
              <w:spacing w:after="0"/>
              <w:rPr>
                <w:sz w:val="13"/>
                <w:szCs w:val="13"/>
                <w:color w:val="auto"/>
              </w:rPr>
            </w:pPr>
          </w:p>
        </w:tc>
        <w:tc>
          <w:tcPr>
            <w:tcW w:w="89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6"/>
                <w:szCs w:val="16"/>
                <w:color w:val="auto"/>
                <w:w w:val="98"/>
              </w:rPr>
              <w:t>natural gas or related substances to the market and all permits and financing required to implement the project. Reserves should not be</w:t>
            </w:r>
          </w:p>
        </w:tc>
      </w:tr>
      <w:tr>
        <w:trPr>
          <w:trHeight w:val="155"/>
        </w:trPr>
        <w:tc>
          <w:tcPr>
            <w:tcW w:w="2320" w:type="dxa"/>
            <w:vAlign w:val="bottom"/>
            <w:shd w:val="clear" w:color="auto" w:fill="CCEEFF"/>
          </w:tcPr>
          <w:p>
            <w:pPr>
              <w:spacing w:after="0"/>
              <w:rPr>
                <w:sz w:val="13"/>
                <w:szCs w:val="13"/>
                <w:color w:val="auto"/>
              </w:rPr>
            </w:pPr>
          </w:p>
        </w:tc>
        <w:tc>
          <w:tcPr>
            <w:tcW w:w="89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6"/>
                <w:szCs w:val="16"/>
                <w:color w:val="auto"/>
              </w:rPr>
              <w:t>assigned to adjacent reservoirs isolated by major, potentially sealing, faults until those reservoirs are penetrated and evaluated as</w:t>
            </w:r>
          </w:p>
        </w:tc>
      </w:tr>
      <w:tr>
        <w:trPr>
          <w:trHeight w:val="155"/>
        </w:trPr>
        <w:tc>
          <w:tcPr>
            <w:tcW w:w="2320" w:type="dxa"/>
            <w:vAlign w:val="bottom"/>
            <w:shd w:val="clear" w:color="auto" w:fill="CCEEFF"/>
          </w:tcPr>
          <w:p>
            <w:pPr>
              <w:spacing w:after="0"/>
              <w:rPr>
                <w:sz w:val="13"/>
                <w:szCs w:val="13"/>
                <w:color w:val="auto"/>
              </w:rPr>
            </w:pPr>
          </w:p>
        </w:tc>
        <w:tc>
          <w:tcPr>
            <w:tcW w:w="89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6"/>
                <w:szCs w:val="16"/>
                <w:color w:val="auto"/>
              </w:rPr>
              <w:t>economically producible. Reserves should not be assigned to areas that are clearly separated from a known accumulation by a non-</w:t>
            </w:r>
          </w:p>
        </w:tc>
      </w:tr>
      <w:tr>
        <w:trPr>
          <w:trHeight w:val="155"/>
        </w:trPr>
        <w:tc>
          <w:tcPr>
            <w:tcW w:w="2320" w:type="dxa"/>
            <w:vAlign w:val="bottom"/>
            <w:shd w:val="clear" w:color="auto" w:fill="CCEEFF"/>
          </w:tcPr>
          <w:p>
            <w:pPr>
              <w:spacing w:after="0"/>
              <w:rPr>
                <w:sz w:val="13"/>
                <w:szCs w:val="13"/>
                <w:color w:val="auto"/>
              </w:rPr>
            </w:pPr>
          </w:p>
        </w:tc>
        <w:tc>
          <w:tcPr>
            <w:tcW w:w="892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6"/>
                <w:szCs w:val="16"/>
                <w:color w:val="auto"/>
                <w:w w:val="98"/>
              </w:rPr>
              <w:t>productive reservoir (i.e., absence of reservoir, structurally low reservoir or negative test results). Such areas may contain prospective</w:t>
            </w:r>
          </w:p>
        </w:tc>
      </w:tr>
      <w:tr>
        <w:trPr>
          <w:trHeight w:val="205"/>
        </w:trPr>
        <w:tc>
          <w:tcPr>
            <w:tcW w:w="2320" w:type="dxa"/>
            <w:vAlign w:val="bottom"/>
            <w:tcBorders>
              <w:bottom w:val="single" w:sz="8" w:color="auto"/>
            </w:tcBorders>
            <w:shd w:val="clear" w:color="auto" w:fill="CCEEFF"/>
          </w:tcPr>
          <w:p>
            <w:pPr>
              <w:spacing w:after="0"/>
              <w:rPr>
                <w:sz w:val="17"/>
                <w:szCs w:val="17"/>
                <w:color w:val="auto"/>
              </w:rPr>
            </w:pPr>
          </w:p>
        </w:tc>
        <w:tc>
          <w:tcPr>
            <w:tcW w:w="89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resources (i.e., potentially recoverable resources from undiscovered accumulations).</w:t>
            </w:r>
          </w:p>
        </w:tc>
      </w:tr>
    </w:tbl>
    <w:p>
      <w:pPr>
        <w:spacing w:after="0" w:line="200" w:lineRule="exact"/>
        <w:rPr>
          <w:sz w:val="20"/>
          <w:szCs w:val="20"/>
          <w:color w:val="auto"/>
        </w:rPr>
      </w:pPr>
    </w:p>
    <w:p>
      <w:pPr>
        <w:spacing w:after="0" w:line="36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387350</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Reservoir</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Royalty interest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Waha Hub</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Working interest</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WTI</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WTI Cushing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6"/>
          <w:szCs w:val="16"/>
          <w:color w:val="auto"/>
        </w:rPr>
        <w:t>A porous and permeable underground formation containing a natural accumulation of producible natural gas and/or crude oil that is confined by impermeable rock or water barriers and is separate from other reservoirs.</w:t>
      </w:r>
    </w:p>
    <w:p>
      <w:pPr>
        <w:spacing w:after="0" w:line="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6"/>
          <w:szCs w:val="16"/>
          <w:color w:val="auto"/>
        </w:rPr>
        <w:t>An interest that gives an owner the right to receive a portion of the resources or revenues without having to carry any costs of development, which may be subject to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-225425</wp:posOffset>
            </wp:positionV>
            <wp:extent cx="7138035" cy="229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229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Natural gas gathering point that serves as a benchmark price for natural gas at western Texas and New Mexico.</w:t>
      </w:r>
    </w:p>
    <w:p>
      <w:pPr>
        <w:spacing w:after="0" w:line="4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6"/>
          <w:szCs w:val="16"/>
          <w:color w:val="auto"/>
        </w:rPr>
        <w:t>An operating interest that gives the owner the right to drill, produce and conduct operating activities on the property and receive a share of production and requires the owner to pay a share of the costs of drilling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-225425</wp:posOffset>
            </wp:positionV>
            <wp:extent cx="7138035" cy="229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229870"/>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16"/>
          <w:szCs w:val="16"/>
          <w:color w:val="auto"/>
        </w:rPr>
        <w:t>West Texas Intermediate, a light sweet blend of oil produced from fields in western Texas and is a grade of oil that serves as a benchmark for oil on the NYMEX.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3810</wp:posOffset>
            </wp:positionV>
            <wp:extent cx="7138035" cy="147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Grade of oil that serves as a benchmark price for oil at Cushing,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23495</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460"/>
          </w:cols>
          <w:pgMar w:left="320" w:top="118" w:right="359" w:bottom="1440" w:gutter="0" w:footer="0" w:header="0"/>
          <w:type w:val="continuous"/>
        </w:sect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GLOSSARY OF CERTAIN OTHER TERMS</w:t>
      </w: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glossary of certain other terms that are used in this report and our other periodic reports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7138035" cy="419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41910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2024 Notes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Equity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Exchange Act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FASB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GAAP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Nasdaq</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SEC Prices</w:t>
      </w:r>
    </w:p>
    <w:p>
      <w:pPr>
        <w:spacing w:after="0" w:line="244" w:lineRule="exact"/>
        <w:rPr>
          <w:sz w:val="20"/>
          <w:szCs w:val="20"/>
          <w:color w:val="auto"/>
        </w:rPr>
      </w:pPr>
    </w:p>
    <w:p>
      <w:pPr>
        <w:ind w:left="20" w:right="780"/>
        <w:spacing w:after="0" w:line="381" w:lineRule="auto"/>
        <w:rPr>
          <w:sz w:val="20"/>
          <w:szCs w:val="20"/>
          <w:color w:val="auto"/>
        </w:rPr>
      </w:pPr>
      <w:r>
        <w:rPr>
          <w:rFonts w:ascii="Times New Roman" w:cs="Times New Roman" w:eastAsia="Times New Roman" w:hAnsi="Times New Roman"/>
          <w:sz w:val="16"/>
          <w:szCs w:val="16"/>
          <w:color w:val="auto"/>
        </w:rPr>
        <w:t>Securities Act Guaranteed Senior Notes</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SOFR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TSR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Viper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Wells Fargo</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outstanding senior notes issued by Diamondback Energy, Inc. under indentures where Diamondback E&amp;P is the sole guarantor, consisting of the 5.200% Senior Notes due 2027, 5.150% Senior Notes due 2030, 5.400% Senior Notes due 2034, 5.750% Senior Notes due 2054 and 5.900% Senior Notes due 2064.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Accounting Standards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164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2021 Amended and Restated Equity Incentive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164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Accounting Standards Board.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Accounting principles generally accepted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164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Organization of the Petroleum Exporting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164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 Securities and Exchange Commission.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Unweighted arithmetic average of the first-day-of-the-month price for each month during the 12-month period prior to the ending date of the period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-1270</wp:posOffset>
            </wp:positionV>
            <wp:extent cx="7138035" cy="164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 Securities Act of 1933, as amended.</w:t>
      </w:r>
    </w:p>
    <w:p>
      <w:pPr>
        <w:spacing w:after="0" w:line="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outstanding senior notes issued by Diamondback Energy, Inc. under indentures where Diamondback E&amp;P is the sole guarantor, consisting of the 3.250% Senior Notes due 2026, 5.200% Senior Notes due 2027, 3.500% Senior Notes due</w:t>
      </w:r>
    </w:p>
    <w:p>
      <w:pPr>
        <w:jc w:val="both"/>
        <w:spacing w:after="0" w:line="210" w:lineRule="auto"/>
        <w:rPr>
          <w:sz w:val="20"/>
          <w:szCs w:val="20"/>
          <w:color w:val="auto"/>
        </w:rPr>
      </w:pPr>
      <w:r>
        <w:rPr>
          <w:rFonts w:ascii="Times New Roman" w:cs="Times New Roman" w:eastAsia="Times New Roman" w:hAnsi="Times New Roman"/>
          <w:sz w:val="16"/>
          <w:szCs w:val="16"/>
          <w:color w:val="auto"/>
        </w:rPr>
        <w:t>2029, 5.150% Senior Notes due 2030, 3.125% Senior Notes due 2031, 6.250% Senior Notes due 2033, 5.400% Senior Notes due 2034, 5.550% Senior Notes due 2035, 4.400% Senior Notes due 2051, 4.250% Senior Notes due 2052, 6.250%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Notes due 2053, 5.750% Senior Notes due 2054 and 5.900% Senior Notes due 2064.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8890</wp:posOffset>
            </wp:positionV>
            <wp:extent cx="7138035" cy="164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 secured overnight financing rate.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stockholder return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16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Viper Energy Partners LLC, a Delaware limited liability company and a subsidiary of Viper Energy, Inc.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44450</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500" w:space="720"/>
            <w:col w:w="8000"/>
          </w:cols>
          <w:pgMar w:left="320" w:top="118" w:right="359" w:bottom="1440" w:gutter="0" w:footer="0" w:header="0"/>
          <w:type w:val="continuous"/>
        </w:sect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CAUTIONARY STATEMENT REGARDING FORWARD-LOOKING STATEMENTS</w:t>
      </w:r>
    </w:p>
    <w:p>
      <w:pPr>
        <w:spacing w:after="0" w:line="235" w:lineRule="exact"/>
        <w:rPr>
          <w:sz w:val="20"/>
          <w:szCs w:val="20"/>
          <w:color w:val="auto"/>
        </w:rPr>
      </w:pPr>
    </w:p>
    <w:p>
      <w:pPr>
        <w:jc w:val="both"/>
        <w:ind w:firstLine="621"/>
        <w:spacing w:after="0" w:line="256"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Endeavor Acquisition, Double Eagle Acquisition, 2025 Drop Down and the recently completed Sitio Acquisition (in each case, as defined below) discussed in this report and other acquisitions or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w:t>
      </w:r>
      <w:hyperlink r:id="rId32">
        <w:r>
          <w:rPr>
            <w:rFonts w:ascii="Times New Roman" w:cs="Times New Roman" w:eastAsia="Times New Roman" w:hAnsi="Times New Roman"/>
            <w:sz w:val="17"/>
            <w:szCs w:val="17"/>
            <w:color w:val="auto"/>
          </w:rPr>
          <w:t xml:space="preserve">many cases, beyond our control. In particular, the factors discussed in this report and detailed under </w:t>
        </w:r>
        <w:r>
          <w:rPr>
            <w:rFonts w:ascii="Times New Roman" w:cs="Times New Roman" w:eastAsia="Times New Roman" w:hAnsi="Times New Roman"/>
            <w:sz w:val="17"/>
            <w:szCs w:val="17"/>
            <w:u w:val="single" w:color="auto"/>
            <w:color w:val="0000FF"/>
          </w:rPr>
          <w:t>Part II, Item 1A. Risk Factors</w:t>
        </w:r>
        <w:r>
          <w:rPr>
            <w:rFonts w:ascii="Times New Roman" w:cs="Times New Roman" w:eastAsia="Times New Roman" w:hAnsi="Times New Roman"/>
            <w:sz w:val="17"/>
            <w:szCs w:val="17"/>
            <w:color w:val="auto"/>
          </w:rPr>
          <w:t xml:space="preserve"> in this report and our </w:t>
        </w:r>
        <w:r>
          <w:rPr>
            <w:rFonts w:ascii="Times New Roman" w:cs="Times New Roman" w:eastAsia="Times New Roman" w:hAnsi="Times New Roman"/>
            <w:sz w:val="17"/>
            <w:szCs w:val="17"/>
            <w:u w:val="single" w:color="auto"/>
            <w:color w:val="0000FF"/>
          </w:rPr>
          <w:t>Annual</w:t>
        </w:r>
      </w:hyperlink>
      <w:r>
        <w:rPr>
          <w:rFonts w:ascii="Times New Roman" w:cs="Times New Roman" w:eastAsia="Times New Roman" w:hAnsi="Times New Roman"/>
          <w:sz w:val="17"/>
          <w:szCs w:val="17"/>
          <w:color w:val="auto"/>
        </w:rPr>
        <w:t xml:space="preserve"> </w:t>
      </w:r>
      <w:hyperlink r:id="rId32">
        <w:r>
          <w:rPr>
            <w:rFonts w:ascii="Times New Roman" w:cs="Times New Roman" w:eastAsia="Times New Roman" w:hAnsi="Times New Roman"/>
            <w:sz w:val="17"/>
            <w:szCs w:val="17"/>
            <w:u w:val="single" w:color="auto"/>
            <w:color w:val="0000FF"/>
          </w:rPr>
          <w:t>Report on Form 10–K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year ended December 31, 2024, could affect our actual results and cause our actual results to differ materially from expectations,</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could cause our outcomes to differ materially include (but are not limited to) the following:</w:t>
      </w:r>
    </w:p>
    <w:p>
      <w:pPr>
        <w:spacing w:after="0" w:line="231" w:lineRule="exact"/>
        <w:rPr>
          <w:sz w:val="20"/>
          <w:szCs w:val="20"/>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supply and demand levels for oil, natural gas and natural gas liquids and the resulting impact on the price for those commodities;</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public health crises, including epidemic or pandemic diseases and any related company or government policies or actions;</w:t>
      </w:r>
    </w:p>
    <w:p>
      <w:pPr>
        <w:spacing w:after="0" w:line="102"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the members of OPEC and Russia affecting the production and pricing of oil, as well as other domestic and global political, economic, or diplomatic developments;</w:t>
      </w:r>
    </w:p>
    <w:p>
      <w:pPr>
        <w:spacing w:after="0" w:line="43"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business or industry conditions, including changes in foreign currency exchange rates, interest rates and inflation rates, instability in the financial sector;</w:t>
      </w:r>
    </w:p>
    <w:p>
      <w:pPr>
        <w:spacing w:after="0" w:line="43"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regional supply and demand factors, including delays, curtailment delays or interruptions of production, or governmental orders, rules or regulations that impose production limits;</w:t>
      </w:r>
    </w:p>
    <w:p>
      <w:pPr>
        <w:spacing w:after="0" w:line="43" w:lineRule="exact"/>
        <w:rPr>
          <w:rFonts w:ascii="Times New Roman" w:cs="Times New Roman" w:eastAsia="Times New Roman" w:hAnsi="Times New Roman"/>
          <w:sz w:val="17"/>
          <w:szCs w:val="17"/>
          <w:color w:val="auto"/>
        </w:rPr>
      </w:pPr>
    </w:p>
    <w:p>
      <w:pPr>
        <w:ind w:left="1240" w:hanging="305"/>
        <w:spacing w:after="0" w:line="259"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legislative and regulatory initiatives relating to hydraulic fracturing, including the effect of existing and future laws and governmental regulations;</w:t>
      </w:r>
    </w:p>
    <w:p>
      <w:pPr>
        <w:spacing w:after="0" w:line="56"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physical and transition risks relating to climate change;</w:t>
      </w:r>
    </w:p>
    <w:p>
      <w:pPr>
        <w:spacing w:after="0" w:line="102"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declines in prices for oil, natural gas, or natural gas liquids, which could require recognition of significant impairment charges;</w:t>
      </w:r>
    </w:p>
    <w:p>
      <w:pPr>
        <w:spacing w:after="0" w:line="102"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energy, environmental, monetary and trade policies, including with respect to tariffs or other trade barriers and any resulting trade tensions;</w:t>
      </w:r>
    </w:p>
    <w:p>
      <w:pPr>
        <w:spacing w:after="0" w:line="43"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the capital, financial and credit markets, including the availability and pricing of capital for drilling and development operations and our environmental and social responsibility projects;</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with employee retention and an increasingly competitive labor market;</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availability or cost of rigs, equipment, raw materials, supplies and oilfield services;</w:t>
      </w:r>
    </w:p>
    <w:p>
      <w:pPr>
        <w:spacing w:after="0" w:line="102"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safety, health, environmental, tax and other regulations or requirements (including those addressing air emissions, water management, or the impact of global climate change);</w:t>
      </w:r>
    </w:p>
    <w:p>
      <w:pPr>
        <w:spacing w:after="0" w:line="30"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200" w:lineRule="exact"/>
        <w:rPr>
          <w:sz w:val="20"/>
          <w:szCs w:val="20"/>
          <w:color w:val="auto"/>
        </w:rPr>
      </w:pPr>
    </w:p>
    <w:p>
      <w:pPr>
        <w:spacing w:after="0" w:line="27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1240" w:hanging="305"/>
        <w:spacing w:after="0" w:line="275" w:lineRule="auto"/>
        <w:tabs>
          <w:tab w:leader="none" w:pos="12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or disruption in, access to adequate and reliable transportation, processing, storage and other facilities for our oil, natural gas and natural gas liquids;</w:t>
      </w:r>
    </w:p>
    <w:p>
      <w:pPr>
        <w:spacing w:after="0" w:line="43"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obtaining necessary approvals and permits;</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weather conditions and natural disasters;</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war or terrorist acts and the governmental or military response thereto;</w:t>
      </w:r>
    </w:p>
    <w:p>
      <w:pPr>
        <w:spacing w:after="0" w:line="89"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strength of counterparties to our credit facilities and hedging contracts;</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credit rating;</w:t>
      </w:r>
    </w:p>
    <w:p>
      <w:pPr>
        <w:spacing w:after="0" w:line="102"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recently completed Endeavor Acquisition, Double Eagle Acquisition, 2025 Drop Down and Sitio Acquisition; and</w:t>
      </w:r>
    </w:p>
    <w:p>
      <w:pPr>
        <w:spacing w:after="0" w:line="102" w:lineRule="exact"/>
        <w:rPr>
          <w:rFonts w:ascii="Times New Roman" w:cs="Times New Roman" w:eastAsia="Times New Roman" w:hAnsi="Times New Roman"/>
          <w:sz w:val="17"/>
          <w:szCs w:val="17"/>
          <w:color w:val="auto"/>
        </w:rPr>
      </w:pPr>
    </w:p>
    <w:p>
      <w:pPr>
        <w:ind w:left="1240" w:hanging="305"/>
        <w:spacing w:after="0" w:line="275" w:lineRule="auto"/>
        <w:tabs>
          <w:tab w:leader="none" w:pos="12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risks and factors disclosed or incorporated by reference under </w:t>
      </w:r>
      <w:r>
        <w:rPr>
          <w:rFonts w:ascii="Times New Roman" w:cs="Times New Roman" w:eastAsia="Times New Roman" w:hAnsi="Times New Roman"/>
          <w:sz w:val="17"/>
          <w:szCs w:val="17"/>
          <w:u w:val="single" w:color="auto"/>
          <w:color w:val="0000FF"/>
        </w:rPr>
        <w:t>Part II, Item 1A. Risk Factors</w:t>
      </w:r>
      <w:r>
        <w:rPr>
          <w:rFonts w:ascii="Times New Roman" w:cs="Times New Roman" w:eastAsia="Times New Roman" w:hAnsi="Times New Roman"/>
          <w:sz w:val="17"/>
          <w:szCs w:val="17"/>
          <w:color w:val="auto"/>
        </w:rPr>
        <w:t xml:space="preserve"> and our </w:t>
      </w:r>
      <w:hyperlink r:id="rId32">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w:t>
      </w:r>
    </w:p>
    <w:p>
      <w:pPr>
        <w:spacing w:after="0" w:line="18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00" w:lineRule="exact"/>
        <w:rPr>
          <w:sz w:val="20"/>
          <w:szCs w:val="20"/>
          <w:color w:val="auto"/>
        </w:rPr>
      </w:pPr>
    </w:p>
    <w:p>
      <w:pPr>
        <w:spacing w:after="0" w:line="2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 and Subsidiaries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0"/>
        </w:trPr>
        <w:tc>
          <w:tcPr>
            <w:tcW w:w="8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8480" w:type="dxa"/>
            <w:vAlign w:val="bottom"/>
          </w:tcPr>
          <w:p>
            <w:pPr>
              <w:spacing w:after="0"/>
              <w:rPr>
                <w:sz w:val="3"/>
                <w:szCs w:val="3"/>
                <w:color w:val="auto"/>
              </w:rPr>
            </w:pPr>
          </w:p>
        </w:tc>
        <w:tc>
          <w:tcPr>
            <w:tcW w:w="2760" w:type="dxa"/>
            <w:vAlign w:val="bottom"/>
            <w:tcBorders>
              <w:bottom w:val="single" w:sz="8" w:color="auto"/>
            </w:tcBorders>
            <w:gridSpan w:val="5"/>
          </w:tcPr>
          <w:p>
            <w:pPr>
              <w:spacing w:after="0"/>
              <w:rPr>
                <w:sz w:val="3"/>
                <w:szCs w:val="3"/>
                <w:color w:val="auto"/>
              </w:rPr>
            </w:pPr>
          </w:p>
        </w:tc>
      </w:tr>
      <w:tr>
        <w:trPr>
          <w:trHeight w:val="307"/>
        </w:trPr>
        <w:tc>
          <w:tcPr>
            <w:tcW w:w="8480" w:type="dxa"/>
            <w:vAlign w:val="bottom"/>
          </w:tcPr>
          <w:p>
            <w:pPr>
              <w:ind w:left="40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(In millions, except par values and share data)</w:t>
            </w:r>
          </w:p>
        </w:tc>
      </w:tr>
      <w:tr>
        <w:trPr>
          <w:trHeight w:val="36"/>
        </w:trPr>
        <w:tc>
          <w:tcPr>
            <w:tcW w:w="8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and cash equivalents ($53 million and $27 million related to Viper)</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Restricted cash ($390 million and $— million related to Viper)</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Accounts receivable: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Joint interest and other, net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199"/>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Oil and natural gas sales, net ($290 million and $149 million related to Viper)</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1,387</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Inventories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Derivative instruments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92"/>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77"/>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Oil and natural gas properties, full cost method of accounting ($24,498 million and $22,666 million excluded from amortization at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w w:val="99"/>
              </w:rPr>
              <w:t>September 30, 2025, and December 31, 2024, respectively) ($14,589 million and $5,713 million related to Viper and $5,275 million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1"/>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$2,180 million excluded from amortization related to Viper)</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82,240</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 property, equipment and land</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Accumulated depletion, depreciation, amortization and impairment ($1,454 million and $1,081 million related to Viper)</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(19,208)</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64,472</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Funds held in escrow</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 held for sale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 instruments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 net ($— million and $185 million related to Viper)</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22"/>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67,292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8480" w:type="dxa"/>
            <w:vAlign w:val="bottom"/>
            <w:tcBorders>
              <w:bottom w:val="single" w:sz="8" w:color="CCEEFF"/>
            </w:tcBorders>
            <w:shd w:val="clear" w:color="auto" w:fill="CCEEFF"/>
          </w:tcPr>
          <w:p>
            <w:pPr>
              <w:ind w:left="318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Accounts payable - trade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capital expenditures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Current maturities of debt ($380 million and $— million related to Viper)</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1,020</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Revenues and royalties payable</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Derivative instruments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Income taxes payable</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w:t>
            </w:r>
          </w:p>
        </w:tc>
      </w:tr>
      <w:tr>
        <w:trPr>
          <w:trHeight w:val="192"/>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4,811</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($2,241 million and $1,083 million related to Viper)</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12,075</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Derivative instruments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9,826</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2"/>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30,579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27,430</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16)</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7"/>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stock, $0.01 par value; 800,000,000 shares authorized; 286,876,206 and 290,984,373 shares issued and outstanding at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4"/>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September 30, 2025, and December 31, 2024,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33,501</w:t>
            </w:r>
          </w:p>
        </w:tc>
      </w:tr>
      <w:tr>
        <w:trPr>
          <w:trHeight w:val="34"/>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Retained earnings (accumulated deficit)</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4,238</w:t>
            </w:r>
          </w:p>
        </w:tc>
      </w:tr>
      <w:tr>
        <w:trPr>
          <w:trHeight w:val="199"/>
        </w:trPr>
        <w:tc>
          <w:tcPr>
            <w:tcW w:w="84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6"/>
        </w:trPr>
        <w:tc>
          <w:tcPr>
            <w:tcW w:w="8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Total Diamondback Energy, Inc.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37,736</w:t>
            </w:r>
          </w:p>
        </w:tc>
      </w:tr>
      <w:tr>
        <w:trPr>
          <w:trHeight w:val="199"/>
        </w:trPr>
        <w:tc>
          <w:tcPr>
            <w:tcW w:w="8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2,126</w:t>
            </w:r>
          </w:p>
        </w:tc>
      </w:tr>
      <w:tr>
        <w:trPr>
          <w:trHeight w:val="34"/>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6"/>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equity</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39,862</w:t>
            </w:r>
          </w:p>
        </w:tc>
      </w:tr>
      <w:tr>
        <w:trPr>
          <w:trHeight w:val="222"/>
        </w:trPr>
        <w:tc>
          <w:tcPr>
            <w:tcW w:w="84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67,292</w:t>
            </w:r>
          </w:p>
        </w:tc>
      </w:tr>
      <w:tr>
        <w:trPr>
          <w:trHeight w:val="23"/>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ectPr>
          <w:pgSz w:w="11900" w:h="16838" w:orient="portrait"/>
          <w:cols w:equalWidth="0" w:num="1">
            <w:col w:w="11240"/>
          </w:cols>
          <w:pgMar w:left="320" w:top="118" w:right="339" w:bottom="381" w:gutter="0" w:footer="0" w:header="0"/>
        </w:sectPr>
      </w:pPr>
    </w:p>
    <w:p>
      <w:pPr>
        <w:spacing w:after="0" w:line="200" w:lineRule="exact"/>
        <w:rPr>
          <w:sz w:val="20"/>
          <w:szCs w:val="20"/>
          <w:color w:val="auto"/>
        </w:rPr>
      </w:pPr>
    </w:p>
    <w:p>
      <w:pPr>
        <w:spacing w:after="0" w:line="2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381"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20" w:type="dxa"/>
            <w:vAlign w:val="bottom"/>
            <w:gridSpan w:val="4"/>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5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60" w:type="dxa"/>
            <w:vAlign w:val="bottom"/>
            <w:gridSpan w:val="9"/>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 in thousands)</w:t>
            </w:r>
          </w:p>
        </w:tc>
        <w:tc>
          <w:tcPr>
            <w:tcW w:w="1000" w:type="dxa"/>
            <w:vAlign w:val="bottom"/>
          </w:tcPr>
          <w:p>
            <w:pPr>
              <w:spacing w:after="0"/>
              <w:rPr>
                <w:sz w:val="19"/>
                <w:szCs w:val="19"/>
                <w:color w:val="auto"/>
              </w:rPr>
            </w:pPr>
          </w:p>
        </w:tc>
      </w:tr>
      <w:tr>
        <w:trPr>
          <w:trHeight w:val="24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Oil sales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80" w:type="dxa"/>
            <w:vAlign w:val="bottom"/>
          </w:tcPr>
          <w:p>
            <w:pPr>
              <w:spacing w:after="0"/>
              <w:rPr>
                <w:sz w:val="18"/>
                <w:szCs w:val="18"/>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100" w:type="dxa"/>
            <w:vAlign w:val="bottom"/>
          </w:tcPr>
          <w:p>
            <w:pPr>
              <w:spacing w:after="0"/>
              <w:rPr>
                <w:sz w:val="18"/>
                <w:szCs w:val="18"/>
                <w:color w:val="auto"/>
              </w:rPr>
            </w:pP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Natural gas sales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Natural gas liquid sales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of purchased oil</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operating income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9"/>
        </w:trPr>
        <w:tc>
          <w:tcPr>
            <w:tcW w:w="5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w:t>
            </w: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35"/>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Production and ad valorem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Gathering, processing and transportation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Purchased oil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Merger and transaction expenses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8"/>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9"/>
        </w:trPr>
        <w:tc>
          <w:tcPr>
            <w:tcW w:w="5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2,984</w:t>
            </w:r>
          </w:p>
        </w:tc>
      </w:tr>
      <w:tr>
        <w:trPr>
          <w:trHeight w:val="24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derivative instruments,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6"/>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from equity investments,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8"/>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9"/>
        </w:trPr>
        <w:tc>
          <w:tcPr>
            <w:tcW w:w="5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255"/>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w:t>
            </w:r>
          </w:p>
        </w:tc>
      </w:tr>
      <w:tr>
        <w:trPr>
          <w:trHeight w:val="255"/>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common share: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5"/>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Pr>
          <w:p>
            <w:pPr>
              <w:spacing w:after="0"/>
              <w:rPr>
                <w:sz w:val="18"/>
                <w:szCs w:val="18"/>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8"/>
        </w:trPr>
        <w:tc>
          <w:tcPr>
            <w:tcW w:w="5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187,253</w:t>
            </w:r>
          </w:p>
        </w:tc>
      </w:tr>
      <w:tr>
        <w:trPr>
          <w:trHeight w:val="28"/>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187,253</w:t>
            </w:r>
          </w:p>
        </w:tc>
      </w:tr>
      <w:tr>
        <w:trPr>
          <w:trHeight w:val="28"/>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90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80"/>
              <w:spacing w:after="0" w:line="121"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120" w:type="dxa"/>
            <w:vAlign w:val="bottom"/>
          </w:tcPr>
          <w:p>
            <w:pPr>
              <w:spacing w:after="0"/>
              <w:rPr>
                <w:sz w:val="8"/>
                <w:szCs w:val="8"/>
                <w:color w:val="auto"/>
              </w:rPr>
            </w:pPr>
          </w:p>
        </w:tc>
        <w:tc>
          <w:tcPr>
            <w:tcW w:w="1140" w:type="dxa"/>
            <w:vAlign w:val="bottom"/>
            <w:gridSpan w:val="2"/>
            <w:vMerge w:val="restart"/>
          </w:tcPr>
          <w:p>
            <w:pPr>
              <w:jc w:val="center"/>
              <w:ind w:right="180"/>
              <w:spacing w:after="0" w:line="12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1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200" w:type="dxa"/>
            <w:vAlign w:val="bottom"/>
          </w:tcPr>
          <w:p>
            <w:pPr>
              <w:spacing w:after="0"/>
              <w:rPr>
                <w:sz w:val="16"/>
                <w:szCs w:val="16"/>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8"/>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 in millions, shares 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290,984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33,501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39,862</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Viper equity-based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paid for tax withholding on vested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Viper LLC’s units issued for acquisition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proceeds from Viper’s issuance of common stock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w:t>
            </w:r>
          </w:p>
        </w:tc>
        <w:tc>
          <w:tcPr>
            <w:tcW w:w="0" w:type="dxa"/>
            <w:vAlign w:val="bottom"/>
          </w:tcPr>
          <w:p>
            <w:pPr>
              <w:spacing w:after="0"/>
              <w:rPr>
                <w:sz w:val="1"/>
                <w:szCs w:val="1"/>
                <w:color w:val="auto"/>
              </w:rPr>
            </w:pPr>
          </w:p>
        </w:tc>
      </w:tr>
      <w:tr>
        <w:trPr>
          <w:trHeight w:val="34"/>
        </w:trPr>
        <w:tc>
          <w:tcPr>
            <w:tcW w:w="39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287,288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33,125</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41,743</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Viper equity-based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paid for tax withholding on vested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Repurchased shares under Viper’s buyback program</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shares issued for acquisition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0" w:type="dxa"/>
            <w:vAlign w:val="bottom"/>
          </w:tcPr>
          <w:p>
            <w:pPr>
              <w:spacing w:after="0"/>
              <w:rPr>
                <w:sz w:val="1"/>
                <w:szCs w:val="1"/>
                <w:color w:val="auto"/>
              </w:rPr>
            </w:pPr>
          </w:p>
        </w:tc>
      </w:tr>
      <w:tr>
        <w:trPr>
          <w:trHeight w:val="19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291,155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33,127</w:t>
            </w: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5,758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42,819</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Viper equity-based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tax withholding on vested equity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Repurchased shares under Viper’s buyback program</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shares issued for acquisition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Viper LLC’s units issued for acquisition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w:t>
            </w:r>
          </w:p>
        </w:tc>
        <w:tc>
          <w:tcPr>
            <w:tcW w:w="0" w:type="dxa"/>
            <w:vAlign w:val="bottom"/>
          </w:tcPr>
          <w:p>
            <w:pPr>
              <w:spacing w:after="0"/>
              <w:rPr>
                <w:sz w:val="1"/>
                <w:szCs w:val="1"/>
                <w:color w:val="auto"/>
              </w:rPr>
            </w:pP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286,876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32,606</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6,486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45,634</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 (Continued)</w:t>
      </w:r>
    </w:p>
    <w:p>
      <w:pPr>
        <w:spacing w:after="0" w:line="1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tcPr>
          <w:p>
            <w:pPr>
              <w:spacing w:after="0"/>
              <w:rPr>
                <w:sz w:val="14"/>
                <w:szCs w:val="14"/>
                <w:color w:val="auto"/>
              </w:rPr>
            </w:pPr>
          </w:p>
        </w:tc>
        <w:tc>
          <w:tcPr>
            <w:tcW w:w="18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180"/>
              <w:spacing w:after="0" w:line="121" w:lineRule="exact"/>
              <w:rPr>
                <w:sz w:val="20"/>
                <w:szCs w:val="20"/>
                <w:color w:val="auto"/>
              </w:rPr>
            </w:pPr>
            <w:r>
              <w:rPr>
                <w:rFonts w:ascii="Times New Roman" w:cs="Times New Roman" w:eastAsia="Times New Roman" w:hAnsi="Times New Roman"/>
                <w:sz w:val="14"/>
                <w:szCs w:val="14"/>
                <w:b w:val="1"/>
                <w:bCs w:val="1"/>
                <w:color w:val="auto"/>
                <w:w w:val="99"/>
              </w:rPr>
              <w:t>(Accumulated</w:t>
            </w:r>
          </w:p>
        </w:tc>
        <w:tc>
          <w:tcPr>
            <w:tcW w:w="120" w:type="dxa"/>
            <w:vAlign w:val="bottom"/>
          </w:tcPr>
          <w:p>
            <w:pPr>
              <w:spacing w:after="0"/>
              <w:rPr>
                <w:sz w:val="9"/>
                <w:szCs w:val="9"/>
                <w:color w:val="auto"/>
              </w:rPr>
            </w:pPr>
          </w:p>
        </w:tc>
        <w:tc>
          <w:tcPr>
            <w:tcW w:w="1140" w:type="dxa"/>
            <w:vAlign w:val="bottom"/>
            <w:gridSpan w:val="2"/>
            <w:vMerge w:val="restart"/>
          </w:tcPr>
          <w:p>
            <w:pPr>
              <w:jc w:val="center"/>
              <w:ind w:right="180"/>
              <w:spacing w:after="0" w:line="12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1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200" w:type="dxa"/>
            <w:vAlign w:val="bottom"/>
          </w:tcPr>
          <w:p>
            <w:pPr>
              <w:spacing w:after="0"/>
              <w:rPr>
                <w:sz w:val="15"/>
                <w:szCs w:val="15"/>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8"/>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 in millions, shares in thousands)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178,724</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14,142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17,430</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tax withholding on vested equity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partial sale of investment in Viper Energy, Inc.</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82</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178,340</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14,251</w:t>
            </w: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18,019</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Viper equity-based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tax withholding on vested equity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178,394</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14,267</w:t>
            </w: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3,187</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18,527</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Viper equity-based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Distribution equivalent rights payments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shares issued for acquisition</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117,267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20,109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20,110</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proceeds from Viper’s issuance of common stock</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Issuance of shares upon vesting of equity awards</w:t>
            </w: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9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 in ownership of consolidated subsidiaries, net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0" w:type="dxa"/>
            <w:vAlign w:val="bottom"/>
          </w:tcPr>
          <w:p>
            <w:pPr>
              <w:spacing w:after="0"/>
              <w:rPr>
                <w:sz w:val="1"/>
                <w:szCs w:val="1"/>
                <w:color w:val="auto"/>
              </w:rPr>
            </w:pPr>
          </w:p>
        </w:tc>
      </w:tr>
      <w:tr>
        <w:trPr>
          <w:trHeight w:val="22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292,743</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34,007</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38,819</w:t>
            </w: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79375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6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5"/>
                <w:szCs w:val="15"/>
                <w:color w:val="auto"/>
              </w:rPr>
            </w:pPr>
          </w:p>
        </w:tc>
      </w:tr>
      <w:tr>
        <w:trPr>
          <w:trHeight w:val="36"/>
        </w:trPr>
        <w:tc>
          <w:tcPr>
            <w:tcW w:w="81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7"/>
        </w:trPr>
        <w:tc>
          <w:tcPr>
            <w:tcW w:w="81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r>
      <w:tr>
        <w:trPr>
          <w:trHeight w:val="36"/>
        </w:trPr>
        <w:tc>
          <w:tcPr>
            <w:tcW w:w="81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77"/>
        </w:trPr>
        <w:tc>
          <w:tcPr>
            <w:tcW w:w="8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r>
      <w:tr>
        <w:trPr>
          <w:trHeight w:val="36"/>
        </w:trPr>
        <w:tc>
          <w:tcPr>
            <w:tcW w:w="8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1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3,313</w:t>
            </w:r>
          </w:p>
        </w:tc>
        <w:tc>
          <w:tcPr>
            <w:tcW w:w="8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2,411</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Depreciation, depletion, amortization and accretion</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3,649</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(Gain) loss on derivative instruments, net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Cash received (paid) on settlement of derivative instruments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loss from equity investment, net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Other</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Accounts receivable</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Income tax receivable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taxes payable</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99"/>
        </w:trPr>
        <w:tc>
          <w:tcPr>
            <w:tcW w:w="81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Revenues and royalties payable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81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Other</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192"/>
        </w:trPr>
        <w:tc>
          <w:tcPr>
            <w:tcW w:w="816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6,415</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4,072</w:t>
            </w:r>
          </w:p>
        </w:tc>
      </w:tr>
      <w:tr>
        <w:trPr>
          <w:trHeight w:val="34"/>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Additions to oil and natural gas properties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(1,934)</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Property acquisitions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(5,411)</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(7,994)</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92"/>
        </w:trPr>
        <w:tc>
          <w:tcPr>
            <w:tcW w:w="816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(7,691)</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(9,366)</w:t>
            </w:r>
          </w:p>
        </w:tc>
      </w:tr>
      <w:tr>
        <w:trPr>
          <w:trHeight w:val="34"/>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under term loan agreements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Repayments under term loan agreements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borrowings under credit facilities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Repayments under credit facilities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(1,333)</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senior notes</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Repayment of senior notes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partial sale of investment in Viper Energy, Inc.</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Net proceeds from Viper’s issuance of common stock</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Dividends paid to stockholders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w:t>
            </w:r>
          </w:p>
        </w:tc>
      </w:tr>
      <w:tr>
        <w:trPr>
          <w:trHeight w:val="199"/>
        </w:trPr>
        <w:tc>
          <w:tcPr>
            <w:tcW w:w="81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Dividends to non-controlling interest</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34"/>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Other</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192"/>
        </w:trPr>
        <w:tc>
          <w:tcPr>
            <w:tcW w:w="816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5,082</w:t>
            </w:r>
          </w:p>
        </w:tc>
      </w:tr>
      <w:tr>
        <w:trPr>
          <w:trHeight w:val="34"/>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199"/>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w:t>
            </w:r>
          </w:p>
        </w:tc>
      </w:tr>
      <w:tr>
        <w:trPr>
          <w:trHeight w:val="34"/>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ind w:right="5560" w:firstLine="3"/>
        <w:spacing w:after="0" w:line="541" w:lineRule="auto"/>
        <w:tabs>
          <w:tab w:leader="none" w:pos="302"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THE BUSINESS AND BASIS OF PRESENTATION Organization and Description of the Business</w:t>
      </w: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Diamondback Energy, Inc., together with its subsidiaries (collectively referred to as “Diamondback,” the “Company,” “we” or “our”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spacing w:after="0" w:line="18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September 30, 2025, the wholly owned subsidiaries of Diamondback include Diamondback E&amp;P LLC (“Diamondback E&amp;P”), a Delaware limited liability company, Rattler Midstream GP LLC, a Delaware limited liability company, Rattler Midstream LP, a Delaware limited partnership, QEP Resources, Inc., a Delaware corporation and Eclipse Merger Sub II, LLC, a Delaware limited liability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and its subsidiaries, including its publicly-traded subsidiary, Viper Energy, Inc., after all significant intercompany balances and transactions have been eliminated upon consolidation. The Company has one reportable segment, the upstream segment.</w:t>
      </w:r>
    </w:p>
    <w:p>
      <w:pPr>
        <w:spacing w:after="0" w:line="18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August 19, 2025, upon completion of the Sitio Acquisition (as defined and discussed in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 References to “Viper” refer to (i) New Viper following the Viper PubCo Merger, and (ii) Former Viper prior to the Viper PubCo Merger.</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As of September 30, 2025, the Company owned approximately 43% of Viper’s combined outstanding Class A common stock and Class B common stock. The Company determined that it controls the activities of Viper in accordance with the guidance for variable interest entities in Accounting Standards Codification (“ASC”) Topic 810, “Consolidation,” and therefore continues to consolidate Viper in the Company’s financial statements at September 30, 2025. See further discussion of the Company’s determination that Viper is a variable interest entity (“VIE”) in Note 2—</w:t>
      </w:r>
      <w:r>
        <w:rPr>
          <w:rFonts w:ascii="Times New Roman" w:cs="Times New Roman" w:eastAsia="Times New Roman" w:hAnsi="Times New Roman"/>
          <w:sz w:val="17"/>
          <w:szCs w:val="17"/>
          <w:u w:val="single" w:color="auto"/>
          <w:color w:val="0000FF"/>
        </w:rPr>
        <w:t>Summary of Significant Accounting Policies</w:t>
      </w:r>
      <w:r>
        <w:rPr>
          <w:rFonts w:ascii="Times New Roman" w:cs="Times New Roman" w:eastAsia="Times New Roman" w:hAnsi="Times New Roman"/>
          <w:sz w:val="17"/>
          <w:szCs w:val="17"/>
          <w:color w:val="auto"/>
        </w:rPr>
        <w:t>. The results of operations attributable to the non-controlling interest in Viper are presented within equity and net income and are shown separately from the equity and net income attributable to the Company.</w:t>
      </w:r>
    </w:p>
    <w:p>
      <w:pPr>
        <w:spacing w:after="0" w:line="19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March 5, 2024, the Company exercised certain of its demand rights, pursuant to a registration rights agreement amended and restated on November 10, 2023, and on March 8, 2024, the Company completed a public offering of approximately 13.23 million shares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w:t>
      </w:r>
    </w:p>
    <w:p>
      <w:pPr>
        <w:spacing w:after="0" w:line="194" w:lineRule="exact"/>
        <w:rPr>
          <w:sz w:val="20"/>
          <w:szCs w:val="20"/>
          <w:color w:val="auto"/>
        </w:rPr>
      </w:pPr>
    </w:p>
    <w:p>
      <w:pPr>
        <w:jc w:val="both"/>
        <w:ind w:firstLine="621"/>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2">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2024, which contains a summary of the Company’s significant accounting policies and other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Reclassifications</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35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ind w:right="6440" w:firstLine="3"/>
        <w:spacing w:after="0" w:line="541" w:lineRule="auto"/>
        <w:tabs>
          <w:tab w:leader="none" w:pos="30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Use of Estimates</w:t>
      </w: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liabilities as of the date of the condensed consolidated financial statements. Actual results could differ from those estimates.</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Making accurate estimates and assumptions is particularly difficult in the oil and natural gas industry given the challenges resulting from volatility in oil and natural gas prices. For instance, conflicts in the Middle East and globally, higher interest rates, effects of tariffs, actions taken by OPEC and its non-OPEC allies, known collectively as OPEC+, global supply chain disruptions,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spacing w:after="0" w:line="19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assets acquired and liabilities assumed and estimates of income taxes, including deferred tax valuation allowances.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Interest Entity</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spacing w:after="0" w:line="19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connection with the reduction of the Company’s ownership percentage in Viper to below 50% in March 2024, the Company re-evaluated whether Viper should continue to be consolidated in the Company’s financial statements. Viper meets the definition of a VIE under ASC Topic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The Viper 2024 Equity Offering, the Viper 2025 Equity Offering (each as defined and discussed in Note 10—</w:t>
      </w:r>
      <w:r>
        <w:rPr>
          <w:rFonts w:ascii="Times New Roman" w:cs="Times New Roman" w:eastAsia="Times New Roman" w:hAnsi="Times New Roman"/>
          <w:sz w:val="17"/>
          <w:szCs w:val="17"/>
          <w:u w:val="single" w:color="auto"/>
          <w:color w:val="0000FF"/>
        </w:rPr>
        <w:t>Stockholders’ Equity and Earnings (Loss) Per Share</w:t>
      </w:r>
      <w:r>
        <w:rPr>
          <w:rFonts w:ascii="Times New Roman" w:cs="Times New Roman" w:eastAsia="Times New Roman" w:hAnsi="Times New Roman"/>
          <w:sz w:val="17"/>
          <w:szCs w:val="17"/>
          <w:color w:val="auto"/>
        </w:rPr>
        <w:t xml:space="preserve">), the 2025 Drop Down and the Sitio Acquisition (each as defined and discussed in Note 4— </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000000"/>
        </w:rPr>
        <w:t>) were determined not to be events that would cause the Company to change its conclusion regarding Viper’s status as a VIE.</w:t>
      </w:r>
    </w:p>
    <w:p>
      <w:pPr>
        <w:spacing w:after="0" w:line="19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Pronouncements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recently adopted pronouncements of significance.</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Accounting Pronouncements Not Yet Adopted</w:t>
      </w:r>
    </w:p>
    <w:p>
      <w:pPr>
        <w:spacing w:after="0" w:line="24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19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spacing w:after="0" w:line="19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Company considers the applicability and impact of all ASUs. ASUs not listed above were assessed and determined to be either not applicable, previously disclosed, or not material upon adoption.</w:t>
      </w:r>
    </w:p>
    <w:p>
      <w:pPr>
        <w:spacing w:after="0" w:line="171" w:lineRule="exact"/>
        <w:rPr>
          <w:sz w:val="20"/>
          <w:szCs w:val="20"/>
          <w:color w:val="auto"/>
        </w:rPr>
      </w:pPr>
    </w:p>
    <w:p>
      <w:pPr>
        <w:ind w:right="6740" w:firstLine="3"/>
        <w:spacing w:after="0" w:line="541" w:lineRule="auto"/>
        <w:tabs>
          <w:tab w:leader="none" w:pos="30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 Revenue from Contracts with Customers</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tables present the Company’s revenue from contracts with customers: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560" w:type="dxa"/>
            <w:vAlign w:val="bottom"/>
            <w:gridSpan w:val="4"/>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26"/>
        </w:trPr>
        <w:tc>
          <w:tcPr>
            <w:tcW w:w="57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sales</w:t>
            </w:r>
          </w:p>
        </w:tc>
        <w:tc>
          <w:tcPr>
            <w:tcW w:w="840" w:type="dxa"/>
            <w:vAlign w:val="bottom"/>
            <w:tcBorders>
              <w:bottom w:val="single" w:sz="8" w:color="CCEEFF"/>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2,994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r>
      <w:tr>
        <w:trPr>
          <w:trHeight w:val="23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sales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6"/>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 sales</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2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oil, natural gas and natural gas liquid revenues</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3,447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10,420</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6,629</w:t>
            </w:r>
          </w:p>
        </w:tc>
      </w:tr>
      <w:tr>
        <w:trPr>
          <w:trHeight w:val="26"/>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of purchased oil</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3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service revenues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6"/>
        </w:trPr>
        <w:tc>
          <w:tcPr>
            <w:tcW w:w="5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 from contracts with customers</w:t>
            </w: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3,914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Company’s revenue from oil, natural gas and natural gas liquids disaggregated by basin: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760" w:type="dxa"/>
            <w:vAlign w:val="bottom"/>
            <w:tcBorders>
              <w:bottom w:val="single" w:sz="8" w:color="auto"/>
            </w:tcBorders>
          </w:tcPr>
          <w:p>
            <w:pPr>
              <w:spacing w:after="0"/>
              <w:rPr>
                <w:sz w:val="18"/>
                <w:szCs w:val="18"/>
                <w:color w:val="auto"/>
              </w:rPr>
            </w:pPr>
          </w:p>
        </w:tc>
      </w:tr>
      <w:tr>
        <w:trPr>
          <w:trHeight w:val="191"/>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9"/>
        </w:trPr>
        <w:tc>
          <w:tcPr>
            <w:tcW w:w="2280" w:type="dxa"/>
            <w:vAlign w:val="bottom"/>
          </w:tcPr>
          <w:p>
            <w:pPr>
              <w:spacing w:after="0"/>
              <w:rPr>
                <w:sz w:val="19"/>
                <w:szCs w:val="19"/>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4"/>
        </w:trPr>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sales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w:t>
            </w:r>
          </w:p>
        </w:tc>
      </w:tr>
      <w:tr>
        <w:trPr>
          <w:trHeight w:val="233"/>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sales</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6"/>
        </w:trPr>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 sales</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52"/>
        </w:trPr>
        <w:tc>
          <w:tcPr>
            <w:tcW w:w="2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2,354</w:t>
            </w: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50"/>
        </w:trPr>
        <w:tc>
          <w:tcPr>
            <w:tcW w:w="2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760" w:type="dxa"/>
            <w:vAlign w:val="bottom"/>
            <w:tcBorders>
              <w:bottom w:val="single" w:sz="8" w:color="auto"/>
            </w:tcBorders>
          </w:tcPr>
          <w:p>
            <w:pPr>
              <w:spacing w:after="0"/>
              <w:rPr>
                <w:sz w:val="24"/>
                <w:szCs w:val="24"/>
                <w:color w:val="auto"/>
              </w:rPr>
            </w:pPr>
          </w:p>
        </w:tc>
      </w:tr>
      <w:tr>
        <w:trPr>
          <w:trHeight w:val="191"/>
        </w:trPr>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9"/>
        </w:trPr>
        <w:tc>
          <w:tcPr>
            <w:tcW w:w="2280" w:type="dxa"/>
            <w:vAlign w:val="bottom"/>
          </w:tcPr>
          <w:p>
            <w:pPr>
              <w:spacing w:after="0"/>
              <w:rPr>
                <w:sz w:val="19"/>
                <w:szCs w:val="19"/>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4"/>
        </w:trPr>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sales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r>
      <w:tr>
        <w:trPr>
          <w:trHeight w:val="233"/>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sales</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6"/>
        </w:trPr>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9"/>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 sales</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52"/>
        </w:trPr>
        <w:tc>
          <w:tcPr>
            <w:tcW w:w="2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9,622</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6,629</w:t>
            </w:r>
          </w:p>
        </w:tc>
      </w:tr>
      <w:tr>
        <w:trPr>
          <w:trHeight w:val="20"/>
        </w:trPr>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right="7920" w:firstLine="3"/>
        <w:spacing w:after="0" w:line="538" w:lineRule="auto"/>
        <w:tabs>
          <w:tab w:leader="none" w:pos="29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DIVESTITURES 2025 Activity</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Diamondback Acquisitions and Divestitures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Drop Down Transaction</w:t>
      </w:r>
    </w:p>
    <w:p>
      <w:pPr>
        <w:spacing w:after="0" w:line="24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May 1, 2025, the Company’s wholly owned subsidiary Endeavor Energy Resources, LP (“EER LP”) divested all of the issued and outstanding equity interests in 1979 Royalties, LP and 1979 Royalties GP, LLC (collectively, the “Endeavor Subsidiaries”), each of which was a subsidiary of the Company, pursuant to a definitive equity purchase agreement with Viper and Viper LLC in exchange for consideration consisting of (i) $873 million in cash, and (ii) the issuance of 69.63 million Viper LLC units and an equivalent number of shares of Viper’s Class B common stock, including certain customary post-closing adjustments (the “2025 Drop Down”). Viper funded the cash consideration for the 2025 Drop Down with a portion of the proceeds from the Viper 2025 Equity Offering (as defined and discussed in Note 10—</w:t>
      </w:r>
      <w:r>
        <w:rPr>
          <w:rFonts w:ascii="Times New Roman" w:cs="Times New Roman" w:eastAsia="Times New Roman" w:hAnsi="Times New Roman"/>
          <w:sz w:val="17"/>
          <w:szCs w:val="17"/>
          <w:u w:val="single" w:color="auto"/>
          <w:color w:val="0000FF"/>
        </w:rPr>
        <w:t>Stockholders’ Equity and Earnings (Loss) Per Share</w:t>
      </w:r>
      <w:r>
        <w:rPr>
          <w:rFonts w:ascii="Times New Roman" w:cs="Times New Roman" w:eastAsia="Times New Roman" w:hAnsi="Times New Roman"/>
          <w:sz w:val="17"/>
          <w:szCs w:val="17"/>
          <w:color w:val="auto"/>
        </w:rPr>
        <w:t>) and borrowings under the Viper LLC Revolving Credit Facility (as defined and discussed in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The 2025 Drop Down was accounted for as a transaction between entities under common control.</w:t>
      </w:r>
    </w:p>
    <w:p>
      <w:pPr>
        <w:spacing w:after="0" w:line="19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EER LP can exchange some or all of the Viper LLC units received together with an equal number of shares of Viper’s Class B common stock for an equal number of shares of Viper’s Class A common stock. The mineral and royalty interests held and divested by the Endeavor Subsidiaries at the closing of the 2025 Drop Down represented approximately 24,446 net royalty acres in the Permian Basin, 69% of which were operated by the Company, have an average net royalty interest of approximately 2.2% and had oil production as of the closing date of approximately 17,097 BO/d (the “Endeavor Mineral and Royalty Interests”). The Endeavor Mineral and Royalty Interests included interests in horizontal wells comprised of 5,574 gross proved developed production wells (of which approximately 32% were operated by the Company), 116 gross completed wells and 394 gross drilled but uncompleted wells, all of which were principally concentrated in the Midland Basin, with the balance located primarily in the Delaware and Williston Basins.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Double Eagle Acquisition</w:t>
      </w:r>
    </w:p>
    <w:p>
      <w:pPr>
        <w:spacing w:after="0" w:line="24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April 1, 2025, the Company completed its acquisition of all of the issued and outstanding interests of DE Permian, LLC, DE IV Combo, LLC and DE IV Operating, LLC, each of which were wholly owned subsidiaries of Double Eagle IV Midco, LLC (“Double Eagle”) (the “Double Eagle Acquisition”) for consideration of $3.1 billion in cash and approximately 6.84 million shares of the Company’s common stock, including transaction costs and subject to certain customary post-closing adjustments. The assets acquired in the Double Eagle Acquisition consisted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2035 Notes (as defined and discussed in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proceeds from the 2025 Term Loan (as defined and discussed in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and borrowings under the Company’s revolving credit facility.</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Viper Acquisition</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Sitio Acquisition</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August 19, 2025, Viper completed a series of transactions in which New Viper acquired Sitio Royalties Corp. (“Sitio”), Sitio Royalties Operating Partnership, LP (“Sitio OpCo”) and their respective subsidiaries, pursuant to the Agreement and Plan of Merger, dated June 2, 2025, by and among Former Viper, Viper LLC, Sitio, Sitio OpCo, New Viper, Cobra Merger Sub, Inc. and Scorpion Merger Sub, Inc., in an all-equity transaction valued at approximately $4.0 billion, subject to further adjustments for transaction costs and certain customary post-closing adjustments, including the retirement of Sitio’s net debt of approximately $1.2 billion (the “Sitio Acquisition”).</w:t>
      </w:r>
    </w:p>
    <w:p>
      <w:pPr>
        <w:spacing w:after="0" w:line="19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On October 30, 2025, Viper entered into an equity interest purchase agreement to divest all the non-Permian assets acquired from Sitio in the Sitio Acquisition. See Note 17—</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for additional information on this divestiture.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Activity</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Diamondback Acquisitions and Divestitures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Endeavor Acquisition</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details on the Endeavor Acquisition, which closed on September 10, 2024, see Note 5—</w:t>
      </w:r>
      <w:r>
        <w:rPr>
          <w:rFonts w:ascii="Times New Roman" w:cs="Times New Roman" w:eastAsia="Times New Roman" w:hAnsi="Times New Roman"/>
          <w:sz w:val="17"/>
          <w:szCs w:val="17"/>
          <w:u w:val="single" w:color="auto"/>
          <w:color w:val="0000FF"/>
        </w:rPr>
        <w:t>Endeavor Energy Resources, LP Acquisition</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TRP Exchange</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December 20, 2024, the Company completed a transaction with TRP Energy, LLC (“TRP”), in which the Company exchanged certain assets including approximately 47,034 gross (35,673 net) acres located in the Delaware Basin and $312 million in cash, subject to customary post-closing adjustments, for certain of TRP’s assets consisting of approximately 21,582 gross (15,421 net) acres located in the Midland Basin with 55 operated locations (the “TRP Exchange”). The TRP Exchange expanded our operating footprint and enhanced our inventory of near-term drilling locations and was valued at approximately $1.3 billion. The Company funded the cash portion of the exchange with cash on hand and borrowings under its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0" w:type="dxa"/>
            <w:vAlign w:val="bottom"/>
          </w:tcPr>
          <w:p>
            <w:pPr>
              <w:jc w:val="center"/>
              <w:ind w:left="2159"/>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9000" w:type="dxa"/>
            <w:vAlign w:val="bottom"/>
          </w:tcPr>
          <w:p>
            <w:pPr>
              <w:jc w:val="center"/>
              <w:ind w:left="215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8"/>
        </w:trPr>
        <w:tc>
          <w:tcPr>
            <w:tcW w:w="9000" w:type="dxa"/>
            <w:vAlign w:val="bottom"/>
          </w:tcPr>
          <w:p>
            <w:pPr>
              <w:jc w:val="center"/>
              <w:ind w:left="2159"/>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582"/>
        </w:trPr>
        <w:tc>
          <w:tcPr>
            <w:tcW w:w="9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acquisition consideration transferred in the TRP Exchange (in millions):</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9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9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natural gas properties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r>
      <w:tr>
        <w:trPr>
          <w:trHeight w:val="268"/>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Midstream assets</w:t>
            </w:r>
          </w:p>
        </w:tc>
        <w:tc>
          <w:tcPr>
            <w:tcW w:w="9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4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Suspense liabilities relieved</w:t>
            </w:r>
          </w:p>
        </w:tc>
        <w:tc>
          <w:tcPr>
            <w:tcW w:w="9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61"/>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9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59"/>
        </w:trPr>
        <w:tc>
          <w:tcPr>
            <w:tcW w:w="90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0"/>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Acquisition Date Fair Value of Consideration Transferred</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spacing w:after="0" w:line="19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acquisition date fair value of midstream assets transferred was determined based on the cost approach, which utilized asset listings and cost records with consideration for the age, condition, utilization and economic support of the assets.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Allocation of Consideration Transferred</w:t>
      </w:r>
    </w:p>
    <w:p>
      <w:pPr>
        <w:spacing w:after="0" w:line="24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Although the allocation of consideration transferred is substantially complete as of the date of this filing, title to properties exchanged remain subject to change as the details of the transaction are finalized subsequent to closing. As such, there may be further adjustments to the fair value of certain assets acquired and liabilities assumed. The allocation of consideration transferred will be finalized within twelve months of the closing date of the transaction.</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Company’s preliminary purchase price allocation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46"/>
        </w:trPr>
        <w:tc>
          <w:tcPr>
            <w:tcW w:w="9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liabilities assumed:</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9"/>
        </w:trPr>
        <w:tc>
          <w:tcPr>
            <w:tcW w:w="9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Suspense liabilities</w:t>
            </w: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55"/>
        </w:trPr>
        <w:tc>
          <w:tcPr>
            <w:tcW w:w="90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assets acquired:</w:t>
            </w: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1"/>
        </w:trPr>
        <w:tc>
          <w:tcPr>
            <w:tcW w:w="9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Oil and natural gas properties</w:t>
            </w:r>
          </w:p>
        </w:tc>
        <w:tc>
          <w:tcPr>
            <w:tcW w:w="9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r>
      <w:tr>
        <w:trPr>
          <w:trHeight w:val="25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 and liabilities assumed</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0"/>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the completion of the TRP Exchange, the Company acquired proved properties of $851 million and unproved properties of $502 million.</w:t>
      </w:r>
    </w:p>
    <w:p>
      <w:pPr>
        <w:spacing w:after="0" w:line="24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results of operations attributable to the TRP Exchange since the acquisition date have been included in the condensed consolidated statements of operations and include $68 million and $283 million of total revenue and $21 million and $133 million of net income for the three and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WTG Midstream Transaction</w:t>
      </w:r>
    </w:p>
    <w:p>
      <w:pPr>
        <w:spacing w:after="0" w:line="24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Company owns a 25% non-operating equity investment in Remuda Midstream Holdings LLC, referred to as the “WTG joint venture.” On July 15, 2024, the WTG joint venture sold its WTG Midstream LLC subsidiary (the “WTG Midstream Transaction”), for which the Company received as its portion of the consideration 10.1 million common units issued by Energy Transfer LP (NYSE: ET) and $190 million in cash, subject to customary post-closing adjustments. The common unit consideration is also subject to preferred distributions to incentive members of the WTG joint venture which reduce the proceeds attributable to the Company. At the closing of the WTG Midstream Transaction, the value attributable to the Company of the 10.1 million common units was approximately $135 million, of which approximately $81 million was received by the Company and $54 million was initially held in escrow pursuant to an escrow agreement entered into by the WTG joint venture in connection with the initial transaction. In the first nine months of 2025, the Company received approximately $15 million related to the settlement of working capital and the full $54 million of the escrow amount was released. The total value of distributions received by the Company of $336 million, including certain customary post-closing adjustments, exceeded the carrying value of the Company’s investment balance in the WTG joint venture, resulting in an aggregate gain of approximately $139 million, of which approximately $23 million and $65 million was recognized during the three and nine months ended September 30, 2025, respectively. The gain is included in the caption “Other income (expense), net” in the condensed consolidated statement of operations.</w:t>
      </w: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Viper Acquisitions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Viper Tumbleweed Acquisitions</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September and October of 2024, Viper completed a series of related acquisitions including the Viper TWR Acquisition, the Viper Q Acquisition and the Viper M Acquisition (collectively, the “Viper Tumbleweed Acquisitions”), each as defined and discussed below.</w:t>
      </w:r>
    </w:p>
    <w:p>
      <w:pPr>
        <w:spacing w:after="0" w:line="17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October 1, 2024, Viper acquired all of the issued and outstanding equity interests in TWR IV, LLC and TWR IV SellCo, LLC from Tumbleweed Royalty IV, LLC (“TWR IV”) and TWR IV SellCo Parent, LLC (the “Viper TWR Acquisition”), pursuant to a definitive purchase and sale agreement for consideration consisting of approximately (i) $464 million in cash, including transaction costs and certain customary post-closing adjustments, (ii) 10.09 million Viper LLC units to TWR IV, (iii) an option for TWR IV to acquire up to 10.09 million shares of Viper’s Class B common stock (the “TWR Class B Option”), and</w:t>
      </w:r>
    </w:p>
    <w:p>
      <w:pPr>
        <w:spacing w:after="0" w:line="3" w:lineRule="exact"/>
        <w:rPr>
          <w:sz w:val="20"/>
          <w:szCs w:val="20"/>
          <w:color w:val="auto"/>
        </w:rPr>
      </w:pPr>
    </w:p>
    <w:p>
      <w:pPr>
        <w:ind w:firstLine="3"/>
        <w:spacing w:after="0" w:line="268" w:lineRule="auto"/>
        <w:tabs>
          <w:tab w:leader="none" w:pos="3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cash consideration of up to $41 million, payable in January of 2026, based on the average price of WTI sweet crude oil prompt month futures contracts for the calendar year 2025 (the “WTI 2025 Average”).</w:t>
      </w:r>
    </w:p>
    <w:p>
      <w:pPr>
        <w:spacing w:after="0" w:line="19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TWR IV can exchange some or all of its Viper LLC units for an equal number of shares of Viper’s Class A common stock. The mineral and royalty interests acquired in the Viper TWR Acquisition represent approximately 3,067 net royalty acres located primarily in the Permian Basin. Viper funded the cash consideration through a combination of cash on hand, borrowings under Viper’s then revolving credit facility and proceeds from the Viper 2024 Equity Offering (as defined and discussed in Note 10—</w:t>
      </w:r>
      <w:r>
        <w:rPr>
          <w:rFonts w:ascii="Times New Roman" w:cs="Times New Roman" w:eastAsia="Times New Roman" w:hAnsi="Times New Roman"/>
          <w:sz w:val="17"/>
          <w:szCs w:val="17"/>
          <w:u w:val="single" w:color="auto"/>
          <w:color w:val="0000FF"/>
        </w:rPr>
        <w:t>Stockholders’ Equity and Earnings (Loss) Per Share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mineral and royalty interests acquired in the Viper Q &amp; M Acquisitions represent approximately 406 and 267 net royalty acres located primarily in the Permian Basin, respectively. Viper funded the cash consideration for the Viper Q &amp; M Acquisitions through a combination of cash on hand and borrowings under Viper’s then revolving credit facility.</w:t>
      </w:r>
    </w:p>
    <w:p>
      <w:pPr>
        <w:spacing w:after="0" w:line="19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14—</w:t>
      </w:r>
      <w:r>
        <w:rPr>
          <w:rFonts w:ascii="Times New Roman" w:cs="Times New Roman" w:eastAsia="Times New Roman" w:hAnsi="Times New Roman"/>
          <w:sz w:val="17"/>
          <w:szCs w:val="17"/>
          <w:u w:val="single" w:color="auto"/>
          <w:color w:val="0000FF"/>
        </w:rPr>
        <w:t>Fair Value Measurements</w:t>
      </w:r>
      <w:r>
        <w:rPr>
          <w:rFonts w:ascii="Times New Roman" w:cs="Times New Roman" w:eastAsia="Times New Roman" w:hAnsi="Times New Roman"/>
          <w:sz w:val="17"/>
          <w:szCs w:val="17"/>
          <w:color w:val="auto"/>
        </w:rPr>
        <w:t xml:space="preserve"> for further discussion of the fair value of the contingent consideration liabilities for each of the Viper Tumbleweed Acquisitions discussed above (collectively, the “2026 WTI Contingent Liability”).</w:t>
      </w:r>
    </w:p>
    <w:p>
      <w:pPr>
        <w:spacing w:after="0" w:line="200" w:lineRule="exact"/>
        <w:rPr>
          <w:sz w:val="20"/>
          <w:szCs w:val="20"/>
          <w:color w:val="auto"/>
        </w:rPr>
      </w:pPr>
    </w:p>
    <w:p>
      <w:pPr>
        <w:spacing w:after="0" w:line="38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ENDEAVOR ENERGY RESOURCES, LP ACQUISITION</w:t>
      </w:r>
    </w:p>
    <w:p>
      <w:pPr>
        <w:spacing w:after="0" w:line="24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Endeavor Acquisition, the Company believes its inventory has industry-leading depth and quality that will be converted into cash flow with the industry’s lowest cost structure, creating a differentiated value proposition for Diamondback stockholders.</w:t>
      </w:r>
    </w:p>
    <w:p>
      <w:pPr>
        <w:spacing w:after="0" w:line="19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cash consideration for the Endeavor Acquisition was funded through a combination of cash on hand, the net proceeds from the Company’s April 2024 Notes offering and borrowings under the Tranche A Loans (as defined and discussed in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Immediately following the close of the Endeavor Acquisition, Endeavor equityholders held approximately 39.8% of Diamondback’s common stock. As of September 30, 2025, Endeavor’s equityholders held approximately 36.2% of the Company’s common stock.</w:t>
      </w:r>
    </w:p>
    <w:p>
      <w:pPr>
        <w:spacing w:after="0" w:line="19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acquisition consideration paid to Endeavor equityholders in the Endeavor Acquisition (in millions, except per share data, shares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8"/>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Diamondback common stock issued at closing</w:t>
            </w: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117,267</w:t>
            </w:r>
          </w:p>
        </w:tc>
      </w:tr>
      <w:tr>
        <w:trPr>
          <w:trHeight w:val="28"/>
        </w:trPr>
        <w:tc>
          <w:tcPr>
            <w:tcW w:w="9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Closing price per share of Diamondback common stock on the closing date</w:t>
            </w:r>
          </w:p>
        </w:tc>
        <w:tc>
          <w:tcPr>
            <w:tcW w:w="900" w:type="dxa"/>
            <w:vAlign w:val="bottom"/>
            <w:tcBorders>
              <w:bottom w:val="single" w:sz="8" w:color="CCEEFF"/>
            </w:tcBorders>
            <w:shd w:val="clear" w:color="auto" w:fill="CCEEFF"/>
          </w:tcPr>
          <w:p>
            <w:pPr>
              <w:jc w:val="right"/>
              <w:ind w:right="71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Diamondback common stock issued</w:t>
            </w:r>
          </w:p>
        </w:tc>
        <w:tc>
          <w:tcPr>
            <w:tcW w:w="900" w:type="dxa"/>
            <w:vAlign w:val="bottom"/>
            <w:tcBorders>
              <w:top w:val="single" w:sz="8" w:color="auto"/>
            </w:tcBorders>
          </w:tcPr>
          <w:p>
            <w:pPr>
              <w:jc w:val="right"/>
              <w:ind w:right="71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20,110</w:t>
            </w:r>
          </w:p>
        </w:tc>
      </w:tr>
      <w:tr>
        <w:trPr>
          <w:trHeight w:val="216"/>
        </w:trPr>
        <w:tc>
          <w:tcPr>
            <w:tcW w:w="9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8"/>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 cash amount</w:t>
            </w:r>
          </w:p>
        </w:tc>
        <w:tc>
          <w:tcPr>
            <w:tcW w:w="90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8"/>
        </w:trPr>
        <w:tc>
          <w:tcPr>
            <w:tcW w:w="9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Preliminary closing 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11"/>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consideration to Endeavor equityholders</w:t>
            </w:r>
          </w:p>
        </w:tc>
        <w:tc>
          <w:tcPr>
            <w:tcW w:w="9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7,072</w:t>
            </w:r>
          </w:p>
        </w:tc>
      </w:tr>
      <w:tr>
        <w:trPr>
          <w:trHeight w:val="28"/>
        </w:trPr>
        <w:tc>
          <w:tcPr>
            <w:tcW w:w="9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6"/>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 of net debt position and make-whole amount</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consideration</w:t>
            </w:r>
          </w:p>
        </w:tc>
        <w:tc>
          <w:tcPr>
            <w:tcW w:w="9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w:t>
            </w:r>
          </w:p>
        </w:tc>
      </w:tr>
      <w:tr>
        <w:trPr>
          <w:trHeight w:val="216"/>
        </w:trPr>
        <w:tc>
          <w:tcPr>
            <w:tcW w:w="90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 (including fair value of Diamondback common stock issued)</w:t>
            </w: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0"/>
        </w:trPr>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Price Allocation</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Endeavor Acquisition has been accounted for under the acquisition method of accounting for business combinations in accordance with ASC Topic 805, “Business Combinations.” The following table represents the allocation of the total purchase price for the acquisition of Endeavor to the identifiable assets acquired and the liabilities assumed based on the fair values at the acquisition date. The purchase price allocation was completed in September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Company’s purchase price allocation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500" w:type="dxa"/>
            <w:vAlign w:val="bottom"/>
            <w:shd w:val="clear" w:color="auto" w:fill="CCEEFF"/>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07"/>
        </w:trPr>
        <w:tc>
          <w:tcPr>
            <w:tcW w:w="7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liabilities assumed:</w:t>
            </w:r>
          </w:p>
        </w:tc>
        <w:tc>
          <w:tcPr>
            <w:tcW w:w="15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500" w:type="dxa"/>
            <w:vAlign w:val="bottom"/>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instruments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7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Amount attributable to liabilities acquired</w:t>
            </w:r>
          </w:p>
        </w:tc>
        <w:tc>
          <w:tcPr>
            <w:tcW w:w="1500" w:type="dxa"/>
            <w:vAlign w:val="bottom"/>
            <w:tcBorders>
              <w:top w:val="single" w:sz="8" w:color="auto"/>
            </w:tcBorders>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9,108</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7"/>
        </w:trPr>
        <w:tc>
          <w:tcPr>
            <w:tcW w:w="7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assets acquired:</w:t>
            </w:r>
          </w:p>
        </w:tc>
        <w:tc>
          <w:tcPr>
            <w:tcW w:w="15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5"/>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 joint interest and other, net</w:t>
            </w:r>
          </w:p>
        </w:tc>
        <w:tc>
          <w:tcPr>
            <w:tcW w:w="1500" w:type="dxa"/>
            <w:vAlign w:val="bottom"/>
            <w:tcBorders>
              <w:bottom w:val="single" w:sz="8" w:color="CCEEFF"/>
            </w:tcBorders>
            <w:shd w:val="clear" w:color="auto" w:fill="CCEEFF"/>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 oil and natural gas sales, net</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instruments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Oil and natural gas properties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34,805</w:t>
            </w:r>
          </w:p>
        </w:tc>
      </w:tr>
      <w:tr>
        <w:trPr>
          <w:trHeight w:val="28"/>
        </w:trPr>
        <w:tc>
          <w:tcPr>
            <w:tcW w:w="7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property, equipment and land</w:t>
            </w:r>
          </w:p>
        </w:tc>
        <w:tc>
          <w:tcPr>
            <w:tcW w:w="1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18"/>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5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8"/>
        </w:trPr>
        <w:tc>
          <w:tcPr>
            <w:tcW w:w="7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9"/>
        </w:trPr>
        <w:tc>
          <w:tcPr>
            <w:tcW w:w="7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Amount attributable to assets acquired</w:t>
            </w:r>
          </w:p>
        </w:tc>
        <w:tc>
          <w:tcPr>
            <w:tcW w:w="1500" w:type="dxa"/>
            <w:vAlign w:val="bottom"/>
            <w:tcBorders>
              <w:bottom w:val="single" w:sz="8" w:color="CCEEFF"/>
            </w:tcBorders>
            <w:shd w:val="clear" w:color="auto" w:fill="CCEEFF"/>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36,528</w:t>
            </w:r>
          </w:p>
        </w:tc>
      </w:tr>
      <w:tr>
        <w:trPr>
          <w:trHeight w:val="187"/>
        </w:trPr>
        <w:tc>
          <w:tcPr>
            <w:tcW w:w="782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 and liabilities assumed</w:t>
            </w:r>
          </w:p>
        </w:tc>
        <w:tc>
          <w:tcPr>
            <w:tcW w:w="1500" w:type="dxa"/>
            <w:vAlign w:val="bottom"/>
            <w:tcBorders>
              <w:bottom w:val="single" w:sz="8" w:color="auto"/>
            </w:tcBorders>
            <w:shd w:val="clear" w:color="auto" w:fill="CCEEFF"/>
          </w:tcPr>
          <w:p>
            <w:pPr>
              <w:jc w:val="right"/>
              <w:ind w:right="1318"/>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621"/>
        <w:spacing w:after="0" w:line="257"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w:t>
      </w:r>
      <w:hyperlink r:id="rId48">
        <w:r>
          <w:rPr>
            <w:rFonts w:ascii="Times New Roman" w:cs="Times New Roman" w:eastAsia="Times New Roman" w:hAnsi="Times New Roman"/>
            <w:sz w:val="17"/>
            <w:szCs w:val="17"/>
            <w:u w:val="single" w:color="auto"/>
            <w:color w:val="0000FF"/>
          </w:rPr>
          <w:t>Note 2—</w:t>
        </w:r>
      </w:hyperlink>
      <w:r>
        <w:rPr>
          <w:rFonts w:ascii="Times New Roman" w:cs="Times New Roman" w:eastAsia="Times New Roman" w:hAnsi="Times New Roman"/>
          <w:sz w:val="17"/>
          <w:szCs w:val="17"/>
          <w:color w:val="auto"/>
        </w:rPr>
        <w:t xml:space="preserve"> </w:t>
      </w:r>
      <w:hyperlink r:id="rId48">
        <w:r>
          <w:rPr>
            <w:rFonts w:ascii="Times New Roman" w:cs="Times New Roman" w:eastAsia="Times New Roman" w:hAnsi="Times New Roman"/>
            <w:sz w:val="17"/>
            <w:szCs w:val="17"/>
            <w:u w:val="single" w:color="auto"/>
            <w:color w:val="0000FF"/>
          </w:rPr>
          <w:t>Summary of Significant Accounting Policies in the Company’s Annual Report on Form 10-K</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year ended December 31, 2024. The fair values of various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current assets and liabilities including accounts receivable and accounts payable approximate their carrying values on the closing date of the Endeavor Acquisition because of the short-term nature of the instruments.</w:t>
      </w:r>
    </w:p>
    <w:p>
      <w:pPr>
        <w:spacing w:after="0" w:line="20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With the completion of the Endeavor Acquisition, the Company acquired proved properties of $20.6 billion and unproved properties of $14.2 billion, primarily in the Midland Basin.</w:t>
      </w:r>
    </w:p>
    <w:p>
      <w:pPr>
        <w:spacing w:after="0" w:line="17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results of operations attributable to the Endeavor Acquisition since the acquisition date have been included in the condensed consolidated statements of operations and include $1.2 billion and $3.7 billion of total revenue and $271 million and $1.0 billion of net income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Financial Information</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following unaudited summary pro forma financial information for the three and nine months ended September 30, 2024, has been prepared to give effect to the Endeavor Acquisition as if it had occurred on January 1, 2023. The unaudited pro forma financial information does not purport to be indicative of what the combined company’s results of operations would have been if the transaction had occurred on the dates indicated, nor is it indicative of the future financial position or results of operations of the combined company.</w:t>
      </w:r>
    </w:p>
    <w:p>
      <w:pPr>
        <w:spacing w:after="0" w:line="19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below information reflects pro forma adjustments for the issuance of the Company’s common stock as consideration for the Endeavor Acquisition, as well as pro forma adjustments based on available information and certain assumptions that the Company believes are reasonable, including adjustments to depreciation, depletion and amortization based on the full cost method of accounting.</w:t>
      </w:r>
    </w:p>
    <w:p>
      <w:pPr>
        <w:spacing w:after="0" w:line="18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Additionally, pro forma earnings for the three and nine months ended September 30, 2024, include historical acquisition-related costs incurred by Endeavor of $412 million and $415 million, respectively, which consist primarily of incentive compensation, investment banking and legal costs. The Company incurred acquisition related costs of $1 million and $38 million for the three and nine months ended September 30, 2025, which consist primarily of severance and accelerated incentive compensation payments to former Endeavor employees. The pro forma results of operations do not include any cost savings or other synergies that may result from the Endeavor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04"/>
        </w:trPr>
        <w:tc>
          <w:tcPr>
            <w:tcW w:w="6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680" w:type="dxa"/>
            <w:vAlign w:val="bottom"/>
          </w:tcPr>
          <w:p>
            <w:pPr>
              <w:spacing w:after="0"/>
              <w:rPr>
                <w:sz w:val="17"/>
                <w:szCs w:val="17"/>
                <w:color w:val="auto"/>
              </w:rPr>
            </w:pPr>
          </w:p>
        </w:tc>
      </w:tr>
      <w:tr>
        <w:trPr>
          <w:trHeight w:val="32"/>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6"/>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2"/>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680" w:type="dxa"/>
            <w:vAlign w:val="bottom"/>
          </w:tcPr>
          <w:p>
            <w:pPr>
              <w:spacing w:after="0"/>
              <w:rPr>
                <w:sz w:val="18"/>
                <w:szCs w:val="18"/>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w:t>
            </w:r>
          </w:p>
        </w:tc>
        <w:tc>
          <w:tcPr>
            <w:tcW w:w="158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w:t>
            </w:r>
          </w:p>
        </w:tc>
      </w:tr>
      <w:tr>
        <w:trPr>
          <w:trHeight w:val="23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5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4,797</w:t>
            </w:r>
          </w:p>
        </w:tc>
      </w:tr>
      <w:tr>
        <w:trPr>
          <w:trHeight w:val="26"/>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9"/>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58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r>
      <w:tr>
        <w:trPr>
          <w:trHeight w:val="23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580" w:type="dxa"/>
            <w:vAlign w:val="bottom"/>
          </w:tcPr>
          <w:p>
            <w:pPr>
              <w:jc w:val="right"/>
              <w:ind w:right="13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6"/>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58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6"/>
        </w:trPr>
        <w:tc>
          <w:tcPr>
            <w:tcW w:w="6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0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PROPERTY AND EQUIPMENT</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includes the following as of the dates indicated:</w:t>
      </w:r>
    </w:p>
    <w:p>
      <w:pPr>
        <w:spacing w:after="0" w:line="298" w:lineRule="exact"/>
        <w:rPr>
          <w:sz w:val="20"/>
          <w:szCs w:val="20"/>
          <w:color w:val="auto"/>
        </w:rPr>
      </w:pPr>
    </w:p>
    <w:p>
      <w:pPr>
        <w:ind w:left="8120"/>
        <w:spacing w:after="0"/>
        <w:tabs>
          <w:tab w:leader="none" w:pos="9920" w:val="left"/>
        </w:tabs>
        <w:rPr>
          <w:sz w:val="20"/>
          <w:szCs w:val="20"/>
          <w:color w:val="auto"/>
        </w:rPr>
      </w:pP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49" w:lineRule="exact"/>
        <w:rPr>
          <w:sz w:val="20"/>
          <w:szCs w:val="20"/>
          <w:color w:val="auto"/>
        </w:rPr>
      </w:pPr>
    </w:p>
    <w:p>
      <w:pPr>
        <w:ind w:left="8440"/>
        <w:spacing w:after="0"/>
        <w:tabs>
          <w:tab w:leader="none" w:pos="102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4914265</wp:posOffset>
            </wp:positionH>
            <wp:positionV relativeFrom="paragraph">
              <wp:posOffset>24765</wp:posOffset>
            </wp:positionV>
            <wp:extent cx="2226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42"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138035" cy="164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Oil and natural gas properties: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Subject to depletion</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69,811</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59,574</w:t>
            </w:r>
          </w:p>
        </w:tc>
      </w:tr>
      <w:tr>
        <w:trPr>
          <w:trHeight w:val="26"/>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 subject to depletion</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22,666</w:t>
            </w:r>
          </w:p>
        </w:tc>
      </w:tr>
      <w:tr>
        <w:trPr>
          <w:trHeight w:val="226"/>
        </w:trPr>
        <w:tc>
          <w:tcPr>
            <w:tcW w:w="77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Gross oil and natural gas properties</w:t>
            </w:r>
          </w:p>
        </w:tc>
        <w:tc>
          <w:tcPr>
            <w:tcW w:w="6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94,309</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82,240</w:t>
            </w:r>
          </w:p>
        </w:tc>
      </w:tr>
      <w:tr>
        <w:trPr>
          <w:trHeight w:val="26"/>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9"/>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depletion</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(11,083)</w:t>
            </w:r>
          </w:p>
        </w:tc>
      </w:tr>
      <w:tr>
        <w:trPr>
          <w:trHeight w:val="233"/>
        </w:trPr>
        <w:tc>
          <w:tcPr>
            <w:tcW w:w="7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impairment</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w:t>
            </w:r>
          </w:p>
        </w:tc>
      </w:tr>
      <w:tr>
        <w:trPr>
          <w:trHeight w:val="26"/>
        </w:trPr>
        <w:tc>
          <w:tcPr>
            <w:tcW w:w="7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2"/>
        </w:trPr>
        <w:tc>
          <w:tcPr>
            <w:tcW w:w="77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Oil and natural gas properties, net</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63,203</w:t>
            </w:r>
          </w:p>
        </w:tc>
      </w:tr>
      <w:tr>
        <w:trPr>
          <w:trHeight w:val="233"/>
        </w:trPr>
        <w:tc>
          <w:tcPr>
            <w:tcW w:w="7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property, equipment and land</w:t>
            </w: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26"/>
        </w:trPr>
        <w:tc>
          <w:tcPr>
            <w:tcW w:w="7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9"/>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depreciation, amortization, accretion and impairment</w:t>
            </w: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52"/>
        </w:trPr>
        <w:tc>
          <w:tcPr>
            <w:tcW w:w="77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72,533</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64,472</w:t>
            </w:r>
          </w:p>
        </w:tc>
      </w:tr>
      <w:tr>
        <w:trPr>
          <w:trHeight w:val="20"/>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full cost method of accounting, the Company is required to perform a ceiling test each quarter which determines a limit, or ceiling, on the book value of proved oil and natural gas properties. No impairment expense was recorded for the three and nine months ended September 30, 2025, or 2024 based on the results of the respective quarterly ceiling tests.</w:t>
      </w:r>
    </w:p>
    <w:p>
      <w:pPr>
        <w:spacing w:after="0" w:line="189"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Held for Sale</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During the third quarter of 2025, the Company commenced plans to sell certain assets consisting of midstream water assets and inventory with a carrying value of $505 million. As of September 30, 2025, the Company had ceased depreciating these assets and classified them as held for sale on the Company’s condensed consolidated balance sheet. At December 31, 2024, the midstream water assets and inventory were included in the Company’s consolidated balance sheet under the caption “Other property, equipment and land” and “Inventories,” respectively.</w:t>
      </w:r>
    </w:p>
    <w:p>
      <w:pPr>
        <w:spacing w:after="0" w:line="19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At the time these assets were transferred to held for sale, their carrying values approximated or were less than their respective fair values less costs to sell based on observable exit prices obtained from third party bids. As such, no impairment loss was recorded on these assets upon their transfer to held for sale. The Company completed the sale of these assets in the fourth quarter of 2025. For further discussion on the sale of these assets, see Note 17—</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ASSET RETIREMENT OBLIGATIONS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describes the changes to the Company’s asset retirement obligations liability for the following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60" w:type="dxa"/>
            <w:vAlign w:val="bottom"/>
            <w:tcBorders>
              <w:bottom w:val="single" w:sz="8" w:color="auto"/>
            </w:tcBorders>
          </w:tcPr>
          <w:p>
            <w:pPr>
              <w:spacing w:after="0"/>
              <w:rPr>
                <w:sz w:val="18"/>
                <w:szCs w:val="18"/>
                <w:color w:val="auto"/>
              </w:rPr>
            </w:pPr>
          </w:p>
        </w:tc>
      </w:tr>
      <w:tr>
        <w:trPr>
          <w:trHeight w:val="226"/>
        </w:trPr>
        <w:tc>
          <w:tcPr>
            <w:tcW w:w="8120" w:type="dxa"/>
            <w:vAlign w:val="bottom"/>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r>
      <w:tr>
        <w:trPr>
          <w:trHeight w:val="224"/>
        </w:trPr>
        <w:tc>
          <w:tcPr>
            <w:tcW w:w="8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9"/>
                <w:szCs w:val="19"/>
                <w:color w:val="auto"/>
              </w:rPr>
            </w:pPr>
          </w:p>
        </w:tc>
      </w:tr>
      <w:tr>
        <w:trPr>
          <w:trHeight w:val="23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 beginning of period</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liabilities incurred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8"/>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acquired</w:t>
            </w: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settled and divested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8"/>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expense</w:t>
            </w: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Revisions in estimated liabilities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8"/>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9"/>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Asset retirement obligations, end of period</w:t>
            </w: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46"/>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3"/>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Asset retirement obligations - long-term</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7"/>
        <w:spacing w:after="0" w:line="291" w:lineRule="auto"/>
        <w:tabs>
          <w:tab w:leader="none" w:pos="39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portion of the asset retirement obligation is included in the caption “Other accrued liabilities” in the Company’s condensed consolidated balance sheets.</w:t>
      </w:r>
    </w:p>
    <w:p>
      <w:pPr>
        <w:spacing w:after="0" w:line="171" w:lineRule="exact"/>
        <w:rPr>
          <w:sz w:val="20"/>
          <w:szCs w:val="20"/>
          <w:color w:val="auto"/>
        </w:rPr>
      </w:pPr>
    </w:p>
    <w:p>
      <w:pPr>
        <w:ind w:right="8080" w:firstLine="3"/>
        <w:spacing w:after="0" w:line="541" w:lineRule="auto"/>
        <w:tabs>
          <w:tab w:leader="none" w:pos="30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Deep Blue</w:t>
      </w: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As of September 30, 2025, the Company and Five Point Energy LLC had a joint venture, Deep Blue Midland Basin LLC (“Deep Blue”), in which the Company owned a 30% equity ownership interest. Additionally, the Company has other significant related party transactions with Deep Blue, which result in (i) certain accounts receivable due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further discussion on additional transactions with Deep Blue, see Note 17—</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significant related party balances included in the condensed consolidated balance sheets at September 30, 2025,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7"/>
                <w:szCs w:val="17"/>
                <w:color w:val="auto"/>
              </w:rPr>
            </w:pPr>
          </w:p>
        </w:tc>
        <w:tc>
          <w:tcPr>
            <w:tcW w:w="13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44"/>
        </w:trPr>
        <w:tc>
          <w:tcPr>
            <w:tcW w:w="7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7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40" w:type="dxa"/>
            <w:vAlign w:val="bottom"/>
          </w:tcPr>
          <w:p>
            <w:pPr>
              <w:spacing w:after="0"/>
              <w:rPr>
                <w:sz w:val="19"/>
                <w:szCs w:val="19"/>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 Accounts receivable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15</w:t>
            </w:r>
          </w:p>
        </w:tc>
        <w:tc>
          <w:tcPr>
            <w:tcW w:w="4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 Equity method investments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152</w:t>
            </w: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6"/>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 - Accrued capital expenditures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(22)</w:t>
            </w:r>
          </w:p>
        </w:tc>
        <w:tc>
          <w:tcPr>
            <w:tcW w:w="44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 - Other accrued liabilities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(51)</w:t>
            </w: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33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three and nine months ended September 30, 2025, and 2024, the Company recorded approximately $23 million, $95 million, $30 million and $90 million, respectively, for water services provided by Deep Blue during the completion phase of wells. These costs were capitalized and are included in the caption “Oil and natural gas properties” on the condensed consolidated balance sheets.</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significant related party transactions included in the condensed consolidated statements of operations for the three and nine months ended September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00" w:type="dxa"/>
            <w:vAlign w:val="bottom"/>
            <w:gridSpan w:val="3"/>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26"/>
        </w:trPr>
        <w:tc>
          <w:tcPr>
            <w:tcW w:w="5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6"/>
        </w:trPr>
        <w:tc>
          <w:tcPr>
            <w:tcW w:w="5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Viper</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discussion on related party transactions with Viper, 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- 2025 Drop Down Transaction.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DEBT</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consisted of the following as of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7"/>
                <w:szCs w:val="17"/>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4"/>
        </w:trPr>
        <w:tc>
          <w:tcPr>
            <w:tcW w:w="5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20" w:type="dxa"/>
            <w:vAlign w:val="bottom"/>
          </w:tcPr>
          <w:p>
            <w:pPr>
              <w:spacing w:after="0"/>
              <w:rPr>
                <w:sz w:val="19"/>
                <w:szCs w:val="19"/>
                <w:color w:val="auto"/>
              </w:rPr>
            </w:pPr>
          </w:p>
        </w:tc>
      </w:tr>
      <w:tr>
        <w:trPr>
          <w:trHeight w:val="248"/>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3.250%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5.625%</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5.200%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2027</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7.125%</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Medium-term Notes, Series B, due 2028</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3.500%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5.150%</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2030</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3.125%</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2031</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6.250%</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2033</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5.400%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2034</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5.550%</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2035</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4.400%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2051</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4.250%</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2052</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6.250%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2053</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33"/>
        </w:trPr>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5.750%</w:t>
            </w:r>
          </w:p>
        </w:tc>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2054</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6"/>
        </w:trPr>
        <w:tc>
          <w:tcPr>
            <w:tcW w:w="5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5.900%</w:t>
            </w: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2064</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Tranche A Loans</w:t>
            </w:r>
          </w:p>
        </w:tc>
        <w:tc>
          <w:tcPr>
            <w:tcW w:w="3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Term Loan</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discount costs</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premium costs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basis adjustment of dedesignated interest rate swap agreements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Viper revolving credit facility</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Viper 5.375% Senior Notes due 2027</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Viper 4.900% Senior Notes due 2030</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Viper 7.375% Senior Notes due 2031</w:t>
            </w:r>
          </w:p>
        </w:tc>
        <w:tc>
          <w:tcPr>
            <w:tcW w:w="30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6"/>
        </w:trPr>
        <w:tc>
          <w:tcPr>
            <w:tcW w:w="7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9"/>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Viper 5.700% Senior Notes due 2035</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Viper Term Loan</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2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2"/>
        </w:trPr>
        <w:tc>
          <w:tcPr>
            <w:tcW w:w="72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debt, net</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12,975</w:t>
            </w:r>
          </w:p>
        </w:tc>
      </w:tr>
      <w:tr>
        <w:trPr>
          <w:trHeight w:val="23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current maturities of debt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6"/>
        </w:trPr>
        <w:tc>
          <w:tcPr>
            <w:tcW w:w="72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7"/>
        </w:trPr>
        <w:tc>
          <w:tcPr>
            <w:tcW w:w="72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long-term debt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12,075</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20" w:hanging="317"/>
        <w:spacing w:after="0" w:line="272" w:lineRule="auto"/>
        <w:tabs>
          <w:tab w:leader="none" w:pos="42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unamortized basis adjustment related to two receive-fixed, pay-variable interest rate swap agreements which were previously designated as fair value hedges of the Company’s 3.500% fixed rate senior notes due 2029. This basis adjustment is being amortized to interest expense over the remaining term of the 2029 Notes utilizing the effective interest method.</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References in this section to the Company shall mean Diamondback Energy, Inc. and Diamondback E&amp;P, collectively,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On June 12, 2025, Diamondback E&amp;P, as borrower and Diamondback Energy, Inc., as parent guarantor, entered into a sixteenth amendment to the existing credit agreement (the “Credit Agreement”), which among other things (i) extended the maturity date to June 12, 2030, and (ii) decreased the interest rate, such that outstanding borrowings under the Credit Agreement bear interest at a per annum rate elected by Diamondback E&amp;P that is equal to (x) term SOFR or (y) an alternate base rate (which is equal to the greatest of the prime rate, the Federal Funds effective rate plus 0.50% and 1-month term SOFR plus 1.0%, subject to a 1.0% floor), in each case plus the applicable margin. The applicable margin ranges from 0.000% to 0.750% per annum in the case of the alternate base rate and from 1.000% to 1.750% per annum in the case of term SOFR, in each case based on the pricing level, and the commitment fee ranges from 0.100% to 0.250% per annum on the average daily unused portion of the commitments, based on the pricing level. The pricing level depends on the Company’s long-term senior unsecured debt ratings. The Credit Agreement provides for a maximum credit amount of $2.5 billion. As of September 30, 2025, the Company had $175 million in outstanding borrowings under the Credit Agreement and approximately $2.3 billion available for future borrowings. During the three and nine months ended September 30, 2025, the weighted average interest rate on borrowings under the Credit Agreement was 5.55% and 5.66%, respectively. During the three and nine months ended September 30, 2024, the weighted average interest rate on borrowings under the Credit Agreement was 6.64%.</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the Company was in compliance with all financial maintenance covenants under the Credit Agreement.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Viper LLC Revolving Credit Facility</w:t>
      </w:r>
    </w:p>
    <w:p>
      <w:pPr>
        <w:spacing w:after="0" w:line="24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June 12, 2025, Former Viper, as guarantor, entered into a credit agreement with Viper LLC, as borrower, and Wells Fargo, as the administrative agent (the “Viper LLC Revolving Credit Facility”), which among other things, provides Viper LLC with a senior unsecured revolving credit facility with a commitment of $1.5 billion. The Viper LLC Revolving Credit Facility has a maturity date of June 12, 2030, with the ability to request three extensions of the maturity date by one year. The Viper LLC Revolving Credit Facility was previously guaranteed by certain subsidiaries of Viper LLC, and upon completion of the Sitio Acquisition, those subsidiary guarantees were released and New Viper and Former Viper became co-guarantors. The Viper LLC Revolving Credit Facility replaced Viper LLC’s previous revolving credit facility, dated July 20, 2018, among Viper, Viper LLC and Wells Fargo as amended, restated, amended and restated, supplemented or otherwise modified prior to June 12, 2025.</w:t>
      </w:r>
    </w:p>
    <w:p>
      <w:pPr>
        <w:spacing w:after="0" w:line="19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September 30, 2025, Viper LLC had $160 million in outstanding borrowings and $1.3 billion available for future borrowings under the Viper LLC Revolving Credit Facility. The weighted average interest rates on borrowings under Viper LLC’s respective revolving credit facilities were 5.83% and 6.21% for the three and nine months ended September 30, 2025, respectively, and 7.51% and 7.52% for the three and nine months ended September 30, 2024, respectively.</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Borrowings under the Viper LLC Revolving Credit Facility bear interest at a per annum rate elected by Viper LLC that is equal to term SOFR or an alternate base rate (which is equal to the greatest of the prime rate, the Federal Funds effective rate plus 0.50% and one month term SOFR plus 1.0%, subject to a 1.0% floor), in each case plus the applicable margin. The applicable margin ranges from 0.125% to 1.000% per annum in the case of the alternate base rate loans and from 1.125% to 2.000% per annum in the case of term SOFR loans, in each case based on the pricing level. Further, the commitment fee ranges from 0.125% to 0.325% per annum on the average daily unused portion of the commitment, again based on the pricing level. The pricing level depends on the rating of Viper’s long-term senior unsecured debt by certain ratings agencies.</w:t>
      </w:r>
    </w:p>
    <w:p>
      <w:pPr>
        <w:spacing w:after="0" w:line="19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Viper LLC Revolving Credit Facility contains a financial covenant that requires Viper to maintain a Total Net Debt to Capitalization Ratio (as defined in the Viper LLC Revolving Credit Facility) of no more than 65%. As of September 30, 2025, Viper LLC was in compliance with all financial maintenance covenants under the Viper LLC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Agreements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Diamondback Term Loan Agreements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Term Loan</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connection with the Double Eagle Acquisition, Diamondback Energy, Inc., as guarantor, entered into a term loan credit agreement with Diamondback E&amp;P LLC, as borrower, and Bank of America, N.A., as administrative agent (the “2025 Term Loan”) on March 21, 2025.</w:t>
      </w:r>
    </w:p>
    <w:p>
      <w:pPr>
        <w:spacing w:after="0" w:line="173"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The 2025 Term Loan provided the Company with the ability to borrow up to $1.5 billion on an unsecured basis to fund a portion of the cash consideration for the Double Eagle Acquisition and costs and expenses related to the acquisition. On the date of closing of the Double Eagle Acquisition, the 2025 Term Loan was fully drawn in a single borrowing. Any then-outstanding amounts will mature and be payable in full on the second anniversary of the initial funding date. During the three and nine months ended September 30, 2025, the weighted average interest rate on borrowings under the 2025 Term Loan was 5.66% and 5.67%, respectively.</w:t>
      </w:r>
    </w:p>
    <w:p>
      <w:pPr>
        <w:spacing w:after="0" w:line="200" w:lineRule="exact"/>
        <w:rPr>
          <w:sz w:val="20"/>
          <w:szCs w:val="20"/>
          <w:color w:val="auto"/>
        </w:rPr>
      </w:pPr>
    </w:p>
    <w:p>
      <w:pPr>
        <w:spacing w:after="0" w:line="208"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Outstanding borrowings under the 2025 Term Loan bear interest at a per annum rate elected by the Company that is equal to (i) term SOFR plus 0.10% (“Adjusted Term SOFR”) or (ii) an alternate base rate (which is equal to the greatest of (a) the Federal Funds effective rate plus 0.50%, (b) the prime rate (c) Adjusted Term SOFR plus 1.0%, and (d) 1.0%), in each case plus the applicable margin. The applicable margin ranges from 0.125% to 1.000% per annum in the case of the alternate base rate and from 1.125% to 2.000% per annum in the case of Adjusted Term SOFR, in each case based on the pricing level, and the commitment fee is equal to 0.125% per annum on the aggregate principal amount of the commitments. The pricing level depends on the Company’s long-term senior unsecured debt ratings.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Tranche A Loans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February 29, 2024, Diamondback Energy, Inc., as guarantor, entered into a term loan credit agreement with Diamondback E&amp;P LLC, as borrower, and Citibank, N.A., as administrative agent, which is comprised of $1.0 billion of Tranche A Loans (the “Tranche A Loans”). The Tranche A Loans were fully drawn to fund a portion of the cash consideration for the Endeavor Acquisition.</w:t>
      </w:r>
    </w:p>
    <w:p>
      <w:pPr>
        <w:spacing w:after="0" w:line="18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On May 5, 2025, the Company used the cash proceeds received from the 2025 Drop Down to repay in full and terminate the $900 million remaining outstanding Tranche A Loans. During the nine months ended September 30, 2025, the weighted average interest rate on borrowings under the Tranche A Loans was 5.87%. During the three and nine months ended September 30, 2024, the weighted average interest rate on borrowings under the Tranche A Loans was 6.46%.</w:t>
      </w:r>
    </w:p>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Viper Term Loan</w:t>
      </w:r>
    </w:p>
    <w:p>
      <w:pPr>
        <w:spacing w:after="0" w:line="24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On July 23, 2025, in connection with the Sitio Acquisition, Viper, as guarantor, entered into a term loan credit agreement with Viper LLC, as borrower, and Goldman Sachs Bank USA, as administrative agent, (the “Viper Term Loan”).</w:t>
      </w:r>
    </w:p>
    <w:p>
      <w:pPr>
        <w:spacing w:after="0" w:line="17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Viper Term Loan provided Viper with the ability to borrow up to $500 million on a senior unsecured basis to fund a portion of the retirement of Sitio’s debt, in connection with the Sitio Acquisition. On the date of closing of the Sitio Acquisition, the Viper Term Loan was fully drawn in a single borrowing. Any then-outstanding amounts will mature and be payable in full on the second anniversary of the initial funding date. In connection with the Sitio Acquisition, New Viper became a co-guarantor of the Viper Term Loan.</w:t>
      </w:r>
    </w:p>
    <w:p>
      <w:pPr>
        <w:spacing w:after="0" w:line="19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Borrowings under the Viper Term Loan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The applicable margin ranges from 0.250% to 1.125% per annum in the case of the alternate base rate loans and from 1.250% to 2.125% per annum in the case of term SOFR loans, in each case based on the pricing level. The pricing level depends on the rating of Viper’s long-term senior unsecured debt by certain ratings agencies. In addition, the fee on undrawn commitments is equal to 0.20% per annum on the aggregate principal amount of such commitments. During the three and nine months ended September 30, 2025, the weighted average interest rate on borrowings under the Viper Term Loan was 5.92%.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Notes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Diamondback Notes</w:t>
      </w:r>
    </w:p>
    <w:p>
      <w:pPr>
        <w:spacing w:after="0" w:line="2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March 20, 2025, the Company issued $1.2 billion aggregate principal amount of 5.550% Senior Notes due April 1, 2035 (the “2035 Notes”). The Company received net proceeds of $1.2 billion, after underwriters’ discounts and transaction costs. Interest on the 2035 Notes is payable semi-annually on April 1 and October 1 of each year, commencing on October 1, 2025. The Company used the net proceeds to fund a portion of the cash consideration for the Double Eagle Acquisition.</w:t>
      </w:r>
    </w:p>
    <w:p>
      <w:pPr>
        <w:spacing w:after="0" w:line="19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2035 Notes are included in the Guaranteed Senior Notes, which are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Viper Notes</w:t>
      </w:r>
    </w:p>
    <w:p>
      <w:pPr>
        <w:spacing w:after="0" w:line="24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July 23, 2025, Viper LLC, as borrower, and Former Viper as guarantor, issued $1.6 billion in aggregate principal amount of Viper LLC’s senior notes consisting of (i) $500 million aggregate principal amount of 4.900% Senior Notes due August 1, 2030 (the “Viper 2030 Notes”), and (ii) $1.1 billion aggregate principal amount of 5.700% Senior Notes due August 1, 2035 (the “Viper 2035 Notes” and together with the Viper 2030 Notes, the “Viper 2025 Notes”). Viper received net proceeds of approximately $1.58 billion, after underwriters’ discounts and transaction costs. Interest on the Viper 2025 Notes is payable semi-annually in February and August of each year, beginning on February 1, 2026. Concurrently, Viper used a portion of the proceeds to redeem or satisfy and discharge, as discussed below, approximately $780 million in aggregate principal amounts of Viper’s outstanding senior notes. Following the closing of the Sitio Acquisition, Viper used the remaining proceeds from the issuance of the Viper 2025 Notes to (i) retire Sitio’s 7.875% senior notes due 2028, (ii) repay borrowings under Sitio’s revolving credit facility, (iii) pay fees, costs and expenses related to the redemption or repayment of such debt, and (iv) for general corporate purposes.</w:t>
      </w:r>
    </w:p>
    <w:p>
      <w:pPr>
        <w:spacing w:after="0" w:line="200" w:lineRule="exact"/>
        <w:rPr>
          <w:sz w:val="20"/>
          <w:szCs w:val="20"/>
          <w:color w:val="auto"/>
        </w:rPr>
      </w:pPr>
    </w:p>
    <w:p>
      <w:pPr>
        <w:spacing w:after="0" w:line="20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Viper 2025 Notes are senior unsecured obligations and are fully and unconditionally guaranteed by Former Viper, and, following the closing of the Sitio Acquisition, also by New Viper. The Viper 2025 Notes have been registered under the Securities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of Notes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Diamondback Retirement of Notes</w:t>
      </w:r>
    </w:p>
    <w:p>
      <w:pPr>
        <w:spacing w:after="0" w:line="24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the second quarter of 2025, the Company opportunistically repurchased an aggregate principal amount of approximately $252 million of its senior notes, which consisted of $27 million of the 3.125% Senior Notes due 2031, $111 million of the 4.400% Senior Notes due 2051, $94 million of the 4.250% Senior Notes due 2052 and $20 million of the 5.750% Senior Notes due 2054, all in open market transactions for total cash consideration, including accrued interest paid, of approximately $196 million, at an average of 76.8% of par value. These repurchases resulted in a gain on extinguishment of debt of approximately $55 million during the nine months ended September 30, 2025.</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Viper Retirement of Notes</w:t>
      </w:r>
    </w:p>
    <w:p>
      <w:pPr>
        <w:spacing w:after="0" w:line="24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the second quarter of 2025, Viper opportunistically repurchased principal amounts of $50 million of Viper’s 5.375% Senior Notes due 2027 (the “Viper 2027 Notes”) in open market transactions for total cash consideration of $50 million, at an average of 99.7% of par value. Viper’s repurchases resulted in an immaterial gain on extinguishment of debt during the nine months ended September 30, 2025.</w:t>
      </w:r>
    </w:p>
    <w:p>
      <w:pPr>
        <w:spacing w:after="0" w:line="18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July 23, 2025, using proceeds from the issuance of the Viper 2025 Notes, Viper (i) redeemed all of Viper’s outstanding 7.375% Senior Notes due 2031 (the “Viper 2031 Notes”) for total cash consideration of approximately $434 million including the applicable redemption premium of 106.767% of par and accrued and unpaid interest up to, but not including, the redemption date, and (ii) issued and delivered a notice of redemption to redeem all of Viper’s outstanding Viper 2027 Notes on November 1, 2025, for total cash consideration, including payment of interest due to, but not including, the redemption date at a redemption price equal to 100% of the principal amount of the Viper 2027 Notes. The redemption of the Viper 2031 Notes resulted in a loss on extinguishment of debt of $32 million. Concurrent with the notice of redemption for the Viper 2027 Notes, Viper irrevocably deposited with Computershare Trust Company, National Association, the trustee under the</w:t>
      </w:r>
    </w:p>
    <w:p>
      <w:pPr>
        <w:spacing w:after="0" w:line="3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indenture governing the Viper 2027 Notes, approximately $390 million, the redemption amount of the Viper 2027 Notes, which is reflected in the caption “Restricted cash” on the condensed consolidated balance sheet as of September 30, 2025. The indenture governing the Viper 2027 Notes was satisfied and discharged at that time in accordance with its terms and ceased to be of further effect as to the Viper 2027 Notes issued thereunder, except those provisions of the indenture that, by their terms, survived the satisfaction and discharge. The satisfaction and discharge of the Viper 2027 Notes did not represent a legal defeasance or release, and, as such, the Viper 2027 Notes were reflected as a short-term obligation until subsequently redeemed on November 1, 2025.</w:t>
      </w:r>
    </w:p>
    <w:p>
      <w:pPr>
        <w:spacing w:after="0" w:line="195" w:lineRule="exact"/>
        <w:rPr>
          <w:sz w:val="20"/>
          <w:szCs w:val="20"/>
          <w:color w:val="auto"/>
        </w:rPr>
      </w:pPr>
    </w:p>
    <w:p>
      <w:pPr>
        <w:ind w:right="5640" w:firstLine="3"/>
        <w:spacing w:after="0" w:line="541" w:lineRule="auto"/>
        <w:tabs>
          <w:tab w:leader="none" w:pos="388"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AND EARNINGS (LOSS) PER SHARE Stock Repurchase Program</w:t>
      </w: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On July 31, 2025, the Company’s board of directors approved an increase in the Company’s common stock repurchase program from $6.0 billion to $8.0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nine months ended September 30, 2025, and 2024, the Company repurchased approximately $603 million, $1.6 billion, $515 million and $557 million of common stock under this repurchase program, respectively, in each case excluding excise tax. As of September 30, 2025, approximately $3.1 billion remained available for future repurchases under the Company’s common stock repurchase program, excluding excise tax.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Viper 2025 Equity Offering</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February 3, 2025, Viper completed an underwritten public offering of approximately 28.34 million shares of Viper’s Class A common stock, which included 3.70 million shares issued pursuant to an option to purchase additional shares of Viper’s Class A common stock granted to the underwriters, at a price to the public of $44.50 per share for total net proceeds of approximately $1.2 billion, after the underwriters’ discount and transaction costs (the “Viper 2025 Equity Offering”). The net proceeds were used (i) to fund a portion of Viper’s cash consideration for the 2025 Drop Down, (ii) to fund cash consideration for other acquisitions, and (iii) for general corporate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Viper 2024 Equity Offering</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September 13, 2024, Viper completed an underwritten public offering of approximately 11.5 million shares of its Class A common stock, which included 1.5 million shares issued pursuant to an option to purchase additional shares of Class A common stock granted to the underwriters, at a price to the public of $42.50 per share for total net proceeds to Viper of approximately $476 million, after underwriters’ discounts and transaction costs (the “Viper 2024 Equity Offering”). The net proceeds were used to fund a portion of the cash consideration for the Viper TWR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Ownership of Consolidated Subsidiaries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changes in the ownership interest in consolidated subsidiaries during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8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580" w:type="dxa"/>
            <w:vAlign w:val="bottom"/>
            <w:gridSpan w:val="4"/>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26"/>
        </w:trPr>
        <w:tc>
          <w:tcPr>
            <w:tcW w:w="5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4"/>
        </w:trPr>
        <w:tc>
          <w:tcPr>
            <w:tcW w:w="5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the Company</w:t>
            </w: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0" w:type="dxa"/>
            <w:vAlign w:val="bottom"/>
          </w:tcPr>
          <w:p>
            <w:pPr>
              <w:spacing w:after="0"/>
              <w:rPr>
                <w:sz w:val="1"/>
                <w:szCs w:val="1"/>
                <w:color w:val="auto"/>
              </w:rPr>
            </w:pPr>
          </w:p>
        </w:tc>
      </w:tr>
      <w:tr>
        <w:trPr>
          <w:trHeight w:val="23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ownership of consolidated subsidiaries</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6"/>
        </w:trPr>
        <w:tc>
          <w:tcPr>
            <w:tcW w:w="56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Change from net income (loss) attributable to the Company’s stockholders and</w:t>
            </w:r>
          </w:p>
        </w:tc>
        <w:tc>
          <w:tcPr>
            <w:tcW w:w="860" w:type="dxa"/>
            <w:vAlign w:val="bottom"/>
            <w:vMerge w:val="restart"/>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1,076</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0" w:type="dxa"/>
            <w:vAlign w:val="bottom"/>
          </w:tcPr>
          <w:p>
            <w:pPr>
              <w:spacing w:after="0"/>
              <w:rPr>
                <w:sz w:val="1"/>
                <w:szCs w:val="1"/>
                <w:color w:val="auto"/>
              </w:rPr>
            </w:pPr>
          </w:p>
        </w:tc>
      </w:tr>
      <w:tr>
        <w:trPr>
          <w:trHeight w:val="24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transfers with non-controlling interest</w:t>
            </w: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dividends and distribution equivalent rights paid on the Company’s common stock during the respective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Base</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Variable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Per Share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4"/>
        </w:trPr>
        <w:tc>
          <w:tcPr>
            <w:tcW w:w="4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First quarter</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200" w:type="dxa"/>
            <w:vAlign w:val="bottom"/>
          </w:tcPr>
          <w:p>
            <w:pPr>
              <w:jc w:val="right"/>
              <w:ind w:right="99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Second quarter</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33"/>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Third quarter</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
        </w:trPr>
        <w:tc>
          <w:tcPr>
            <w:tcW w:w="4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year-to-date</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First quarter</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Pr>
          <w:p>
            <w:pPr>
              <w:spacing w:after="0"/>
              <w:rPr>
                <w:sz w:val="20"/>
                <w:szCs w:val="20"/>
                <w:color w:val="auto"/>
              </w:rPr>
            </w:pPr>
          </w:p>
        </w:tc>
        <w:tc>
          <w:tcPr>
            <w:tcW w:w="1200" w:type="dxa"/>
            <w:vAlign w:val="bottom"/>
          </w:tcPr>
          <w:p>
            <w:pPr>
              <w:jc w:val="right"/>
              <w:ind w:right="99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6"/>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Second quarter</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33"/>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Third quarter</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6"/>
        </w:trPr>
        <w:tc>
          <w:tcPr>
            <w:tcW w:w="4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year-to-date</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(Loss) Per Share</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components of basic and diluted earnings per common share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460" w:type="dxa"/>
            <w:vAlign w:val="bottom"/>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26"/>
        </w:trPr>
        <w:tc>
          <w:tcPr>
            <w:tcW w:w="60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60" w:type="dxa"/>
            <w:vAlign w:val="bottom"/>
            <w:gridSpan w:val="10"/>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 in thousands)</w:t>
            </w:r>
          </w:p>
        </w:tc>
        <w:tc>
          <w:tcPr>
            <w:tcW w:w="0" w:type="dxa"/>
            <w:vAlign w:val="bottom"/>
          </w:tcPr>
          <w:p>
            <w:pPr>
              <w:spacing w:after="0"/>
              <w:rPr>
                <w:sz w:val="1"/>
                <w:szCs w:val="1"/>
                <w:color w:val="auto"/>
              </w:rPr>
            </w:pPr>
          </w:p>
        </w:tc>
      </w:tr>
      <w:tr>
        <w:trPr>
          <w:trHeight w:val="24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shares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distributed and undistributed earnings allocated to participating securities</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77"/>
        </w:trPr>
        <w:tc>
          <w:tcPr>
            <w:tcW w:w="6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290,188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187,253</w:t>
            </w:r>
          </w:p>
        </w:tc>
        <w:tc>
          <w:tcPr>
            <w:tcW w:w="0" w:type="dxa"/>
            <w:vAlign w:val="bottom"/>
          </w:tcPr>
          <w:p>
            <w:pPr>
              <w:spacing w:after="0"/>
              <w:rPr>
                <w:sz w:val="1"/>
                <w:szCs w:val="1"/>
                <w:color w:val="auto"/>
              </w:rPr>
            </w:pPr>
          </w:p>
        </w:tc>
      </w:tr>
      <w:tr>
        <w:trPr>
          <w:trHeight w:val="233"/>
        </w:trPr>
        <w:tc>
          <w:tcPr>
            <w:tcW w:w="6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Weighted-average potential common shares issuable</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60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288,826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204,730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290,188</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187,253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(loss) attributable to common shares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33"/>
        </w:trPr>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income (loss) attributable to common shares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8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line="291" w:lineRule="auto"/>
        <w:tabs>
          <w:tab w:leader="none" w:pos="48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restricted stock awards and performance stock awards that contain non-forfeitable distribution equivalent rights are considered participating securities and therefore are included in the earnings per share calculation pursuant to the two-class method.</w:t>
      </w:r>
    </w:p>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EQUITY-BASED COMPENSATION</w:t>
      </w:r>
    </w:p>
    <w:p>
      <w:pPr>
        <w:spacing w:after="0" w:line="24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September 30, 2025, approximately 3.7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the Equity Plan, Viper maintains its own long-term incentive plan, which is not significant to the Company.</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financial statement impacts of equity compensation plans and related costs on the Company’s financial statements: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580" w:type="dxa"/>
            <w:vAlign w:val="bottom"/>
            <w:gridSpan w:val="3"/>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26"/>
        </w:trPr>
        <w:tc>
          <w:tcPr>
            <w:tcW w:w="5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4"/>
          </w:tcPr>
          <w:p>
            <w:pPr>
              <w:jc w:val="right"/>
              <w:ind w:right="898"/>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22</w:t>
            </w:r>
          </w:p>
        </w:tc>
        <w:tc>
          <w:tcPr>
            <w:tcW w:w="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 capitalized pursuant to full cost method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6"/>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for oil and natural gas properties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9</w:t>
            </w: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restricted stock unit activity during the nine months ended September 30, 2025, under the Equity Plan: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04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8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Weighted Average Grant-Date</w:t>
            </w:r>
          </w:p>
        </w:tc>
      </w:tr>
      <w:tr>
        <w:trPr>
          <w:trHeight w:val="204"/>
        </w:trPr>
        <w:tc>
          <w:tcPr>
            <w:tcW w:w="7060" w:type="dxa"/>
            <w:vAlign w:val="bottom"/>
          </w:tcPr>
          <w:p>
            <w:pPr>
              <w:spacing w:after="0"/>
              <w:rPr>
                <w:sz w:val="17"/>
                <w:szCs w:val="17"/>
                <w:color w:val="auto"/>
              </w:rPr>
            </w:pPr>
          </w:p>
        </w:tc>
        <w:tc>
          <w:tcPr>
            <w:tcW w:w="2040" w:type="dxa"/>
            <w:vAlign w:val="bottom"/>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2"/>
        </w:trPr>
        <w:tc>
          <w:tcPr>
            <w:tcW w:w="70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645,408</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159.84</w:t>
            </w:r>
          </w:p>
        </w:tc>
      </w:tr>
      <w:tr>
        <w:trPr>
          <w:trHeight w:val="233"/>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675,821</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149.23</w:t>
            </w:r>
          </w:p>
        </w:tc>
      </w:tr>
      <w:tr>
        <w:trPr>
          <w:trHeight w:val="26"/>
        </w:trPr>
        <w:tc>
          <w:tcPr>
            <w:tcW w:w="7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9"/>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(135,930)</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160.73</w:t>
            </w:r>
          </w:p>
        </w:tc>
      </w:tr>
      <w:tr>
        <w:trPr>
          <w:trHeight w:val="233"/>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(49,150)</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153.37</w:t>
            </w:r>
          </w:p>
        </w:tc>
      </w:tr>
      <w:tr>
        <w:trPr>
          <w:trHeight w:val="26"/>
        </w:trPr>
        <w:tc>
          <w:tcPr>
            <w:tcW w:w="70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77"/>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2025</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1,136,149</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aggregate grant date fair value of restricted stock units that vested during the nine months ended September 30, 2025, was $22 million. As of September 30, 2025, the Company’s unrecognized compensation cost related to unvested restricted stock units was $119 million, which is expected to be recognized over a weighted-average period of 2.0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Based Restricted Stock Units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performance restricted stock units activity under the Equity Plan for the nine months ended September 30,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Performance Restricted</w:t>
            </w:r>
          </w:p>
        </w:tc>
        <w:tc>
          <w:tcPr>
            <w:tcW w:w="80" w:type="dxa"/>
            <w:vAlign w:val="bottom"/>
          </w:tcPr>
          <w:p>
            <w:pPr>
              <w:spacing w:after="0"/>
              <w:rPr>
                <w:sz w:val="16"/>
                <w:szCs w:val="16"/>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5"/>
              </w:rPr>
              <w:t>Weighted Average Grant-</w:t>
            </w: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172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32"/>
        </w:trPr>
        <w:tc>
          <w:tcPr>
            <w:tcW w:w="76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278,902</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w:t>
            </w:r>
          </w:p>
        </w:tc>
        <w:tc>
          <w:tcPr>
            <w:tcW w:w="0" w:type="dxa"/>
            <w:vAlign w:val="bottom"/>
          </w:tcPr>
          <w:p>
            <w:pPr>
              <w:spacing w:after="0"/>
              <w:rPr>
                <w:sz w:val="1"/>
                <w:szCs w:val="1"/>
                <w:color w:val="auto"/>
              </w:rPr>
            </w:pPr>
          </w:p>
        </w:tc>
      </w:tr>
      <w:tr>
        <w:trPr>
          <w:trHeight w:val="233"/>
        </w:trPr>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186,519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217.98</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7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(6,590)</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158.96</w:t>
            </w:r>
          </w:p>
        </w:tc>
        <w:tc>
          <w:tcPr>
            <w:tcW w:w="0" w:type="dxa"/>
            <w:vAlign w:val="bottom"/>
          </w:tcPr>
          <w:p>
            <w:pPr>
              <w:spacing w:after="0"/>
              <w:rPr>
                <w:sz w:val="1"/>
                <w:szCs w:val="1"/>
                <w:color w:val="auto"/>
              </w:rPr>
            </w:pPr>
          </w:p>
        </w:tc>
      </w:tr>
      <w:tr>
        <w:trPr>
          <w:trHeight w:val="252"/>
        </w:trPr>
        <w:tc>
          <w:tcPr>
            <w:tcW w:w="7680" w:type="dxa"/>
            <w:vAlign w:val="bottom"/>
          </w:tcPr>
          <w:p>
            <w:pPr>
              <w:ind w:left="20"/>
              <w:spacing w:after="0" w:line="251" w:lineRule="exact"/>
              <w:rPr>
                <w:sz w:val="20"/>
                <w:szCs w:val="20"/>
                <w:color w:val="auto"/>
              </w:rPr>
            </w:pPr>
            <w:r>
              <w:rPr>
                <w:rFonts w:ascii="Times New Roman" w:cs="Times New Roman" w:eastAsia="Times New Roman" w:hAnsi="Times New Roman"/>
                <w:sz w:val="17"/>
                <w:szCs w:val="17"/>
                <w:color w:val="auto"/>
              </w:rPr>
              <w:t>Unvested at September 30, 2025</w:t>
            </w:r>
            <w:r>
              <w:rPr>
                <w:rFonts w:ascii="Times New Roman" w:cs="Times New Roman" w:eastAsia="Times New Roman" w:hAnsi="Times New Roman"/>
                <w:sz w:val="22"/>
                <w:szCs w:val="22"/>
                <w:color w:val="auto"/>
                <w:vertAlign w:val="superscript"/>
              </w:rPr>
              <w:t>(1)</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458,831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 A maximum of 1,107,526 units could be awarded based upon the Company’s final TSR ranking.</w:t>
            </w: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the Company’s unrecognized compensation cost related to unvested performance based restricted stock units was $54 million, which is expected to be recognized over a weighted-average period of 1.5 years.</w:t>
      </w:r>
    </w:p>
    <w:p>
      <w:pPr>
        <w:spacing w:after="0" w:line="17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March 2025, eligible employees received performance restricted stock unit awards totaling 171,638 units from which a minimum of 0% and a maximum of 200% of the units could be awarded based upon the measurement of TSR of the Company’s common stock as compared to a designated peer group during the three-year performance period of January 1, 2025, to December 31, 2027, and cliff vest at December 31, 2027, subject to continued employment. The initial payout of the March 2025 awards will be further adjusted by a TSR modifier that may reduce the payout or increase the payout up to a maximum of 250%. Additionally, in May 2025 the Company granted 14,881 performance restricted stock units under substantially the same terms as the March 2025 performance restricted stock unit awards.</w:t>
      </w:r>
    </w:p>
    <w:p>
      <w:pPr>
        <w:spacing w:after="0" w:line="19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173"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a summary of the grant-date fair values of performance restricted stock units granted and the related assumptions for the awards granted during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2025</w:t>
            </w:r>
          </w:p>
        </w:tc>
        <w:tc>
          <w:tcPr>
            <w:tcW w:w="360" w:type="dxa"/>
            <w:vAlign w:val="bottom"/>
          </w:tcPr>
          <w:p>
            <w:pPr>
              <w:spacing w:after="0"/>
              <w:rPr>
                <w:sz w:val="18"/>
                <w:szCs w:val="18"/>
                <w:color w:val="auto"/>
              </w:rPr>
            </w:pP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May 2025</w:t>
            </w:r>
          </w:p>
        </w:tc>
      </w:tr>
      <w:tr>
        <w:trPr>
          <w:trHeight w:val="239"/>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Grant-date fair value</w:t>
            </w:r>
          </w:p>
        </w:tc>
        <w:tc>
          <w:tcPr>
            <w:tcW w:w="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167.75</w:t>
            </w:r>
          </w:p>
        </w:tc>
      </w:tr>
      <w:tr>
        <w:trPr>
          <w:trHeight w:val="233"/>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3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4.00 %</w:t>
            </w:r>
          </w:p>
        </w:tc>
      </w:tr>
      <w:tr>
        <w:trPr>
          <w:trHeight w:val="26"/>
        </w:trPr>
        <w:tc>
          <w:tcPr>
            <w:tcW w:w="7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 volatility</w:t>
            </w:r>
          </w:p>
        </w:tc>
        <w:tc>
          <w:tcPr>
            <w:tcW w:w="3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33.30 %</w:t>
            </w:r>
          </w:p>
        </w:tc>
      </w:tr>
      <w:tr>
        <w:trPr>
          <w:trHeight w:val="26"/>
        </w:trPr>
        <w:tc>
          <w:tcPr>
            <w:tcW w:w="7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following table provides the Company’s provision for (benefit from) income taxes and the effective income tax rate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0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00" w:type="dxa"/>
            <w:vAlign w:val="bottom"/>
            <w:gridSpan w:val="3"/>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r>
      <w:tr>
        <w:trPr>
          <w:trHeight w:val="226"/>
        </w:trPr>
        <w:tc>
          <w:tcPr>
            <w:tcW w:w="5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(In millions, except for tax rate)</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287</w:t>
            </w:r>
          </w:p>
        </w:tc>
        <w:tc>
          <w:tcPr>
            <w:tcW w:w="3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894</w:t>
            </w:r>
          </w:p>
        </w:tc>
        <w:tc>
          <w:tcPr>
            <w:tcW w:w="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685</w:t>
            </w:r>
          </w:p>
        </w:tc>
      </w:tr>
      <w:tr>
        <w:trPr>
          <w:trHeight w:val="233"/>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20.9 %</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21.3 %</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r>
    </w:tbl>
    <w:p>
      <w:pPr>
        <w:spacing w:after="0" w:line="33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Total income tax expense from continuing operations for the three and nine months ended September 30, 2025, differed from amounts computed by applying the U.S. federal statutory tax rate to pre-tax income primarily due to (i) state income taxes, net of federal benefit, (ii) the effect of research and development tax credits, (iii) limitations on the deduction of certain permanent items, and (iv) other permanent differences between book and taxable income. For the three and nine months ended September 30, 2024, total income tax expense from continuing operations differed from amounts computed by applying the U.S. federal statutory tax rate to pre-tax income primarily due to (i) state income taxes, net of federal benefit, (ii) the impact of permanently nondeductible transaction costs, and (iii) other differences between book and taxable income.</w:t>
      </w:r>
    </w:p>
    <w:p>
      <w:pPr>
        <w:spacing w:after="0" w:line="186" w:lineRule="exact"/>
        <w:rPr>
          <w:sz w:val="20"/>
          <w:szCs w:val="20"/>
          <w:color w:val="auto"/>
        </w:rPr>
      </w:pPr>
    </w:p>
    <w:p>
      <w:pPr>
        <w:jc w:val="both"/>
        <w:ind w:firstLine="621"/>
        <w:spacing w:after="0" w:line="243" w:lineRule="auto"/>
        <w:rPr>
          <w:sz w:val="20"/>
          <w:szCs w:val="20"/>
          <w:color w:val="auto"/>
        </w:rPr>
      </w:pPr>
      <w:r>
        <w:rPr>
          <w:rFonts w:ascii="Times New Roman" w:cs="Times New Roman" w:eastAsia="Times New Roman" w:hAnsi="Times New Roman"/>
          <w:sz w:val="17"/>
          <w:szCs w:val="17"/>
          <w:color w:val="auto"/>
        </w:rPr>
        <w:t>On July 4, 2025, H.R. 1, commonly known as the One Big Beautiful Bill Act (the “Act”), was enacted. The Act included multiple provisions applicable to U.S. income taxes for businesses, including immediate expensing of research or experimental expenses, bonus depreciation for qualified tangible property, deductible intangible drilling costs for purposes of the corporate alternative minimum tax, and enhancements to limits on business interest expense deductions. The Company accounted for the Act in the period of enactment and materially reduced its estimate of current tax expense for 2025, primarily offset by an increase in estimated deferred tax expense for 2025, with no material net impact on the effective tax rate for the quarter.</w:t>
      </w:r>
    </w:p>
    <w:p>
      <w:pPr>
        <w:spacing w:after="0" w:line="200"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In connection with the Sitio Acquisition, Viper acquired prepaid income tax balances of approximately $14 million and deferred tax assets of $5 million related to loss carryforwards. Viper also recognized a deferred tax liability of approximately $122 million.</w:t>
      </w:r>
    </w:p>
    <w:p>
      <w:pPr>
        <w:spacing w:after="0" w:line="18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2025 Drop Down in May 2025, the Company recorded a $170 million increase in tax payable and a $164 million decrease in deferred tax liability through paid in capital. Due to the resulting increase in the Company’s ownership of Viper LLC, the Company recorded a $202 million decrease to deferred tax liability, and a $212 million decrease in the deferred tax asset through non-controlling interest on the Company’s condensed consolidated balance sheet.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connection with the closing of the Endeavor Acquisition, the Company recognized a $7.2 billion deferred tax liability.</w:t>
      </w:r>
    </w:p>
    <w:p>
      <w:pPr>
        <w:spacing w:after="0" w:line="24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Based on application of the Inflation Reduction Act of 2022 guidance, the Company’s income tax expense for the three and nine months ended September 30, 2025, was not impacted by the corporate alternative minimum tax.</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At September 30, 2025, the Company has commodity derivative contracts and interest rate swaps outstanding. All derivative financial instruments are recorded at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Contracts</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spacing w:after="0" w:line="19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the Company had the following outstanding commodity derivative contracts. When aggregating multiple contracts, the weighted average contract price is disclosed.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Swaps</w:t>
            </w:r>
          </w:p>
        </w:tc>
        <w:tc>
          <w:tcPr>
            <w:tcW w:w="1380" w:type="dxa"/>
            <w:vAlign w:val="bottom"/>
          </w:tcPr>
          <w:p>
            <w:pPr>
              <w:ind w:left="920"/>
              <w:spacing w:after="0"/>
              <w:rPr>
                <w:sz w:val="20"/>
                <w:szCs w:val="20"/>
                <w:color w:val="auto"/>
              </w:rPr>
            </w:pPr>
            <w:r>
              <w:rPr>
                <w:rFonts w:ascii="Times New Roman" w:cs="Times New Roman" w:eastAsia="Times New Roman" w:hAnsi="Times New Roman"/>
                <w:sz w:val="15"/>
                <w:szCs w:val="15"/>
                <w:b w:val="1"/>
                <w:bCs w:val="1"/>
                <w:color w:val="auto"/>
                <w:w w:val="94"/>
              </w:rPr>
              <w:t>Collars</w:t>
            </w:r>
          </w:p>
        </w:tc>
        <w:tc>
          <w:tcPr>
            <w:tcW w:w="1000" w:type="dxa"/>
            <w:vAlign w:val="bottom"/>
          </w:tcPr>
          <w:p>
            <w:pPr>
              <w:spacing w:after="0"/>
              <w:rPr>
                <w:sz w:val="16"/>
                <w:szCs w:val="16"/>
                <w:color w:val="auto"/>
              </w:rPr>
            </w:pPr>
          </w:p>
        </w:tc>
      </w:tr>
      <w:tr>
        <w:trPr>
          <w:trHeight w:val="34"/>
        </w:trPr>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8"/>
        </w:trPr>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auto"/>
                <w:w w:val="97"/>
              </w:rPr>
              <w:t>Bbls/MMBtu Per</w:t>
            </w:r>
          </w:p>
        </w:tc>
        <w:tc>
          <w:tcPr>
            <w:tcW w:w="1980" w:type="dxa"/>
            <w:vAlign w:val="bottom"/>
          </w:tcPr>
          <w:p>
            <w:pPr>
              <w:spacing w:after="0"/>
              <w:rPr>
                <w:sz w:val="14"/>
                <w:szCs w:val="14"/>
                <w:color w:val="auto"/>
              </w:rPr>
            </w:pPr>
          </w:p>
        </w:tc>
        <w:tc>
          <w:tcPr>
            <w:tcW w:w="122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23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w w:val="96"/>
              </w:rPr>
              <w:t>Weighted Average Weighted Average</w:t>
            </w:r>
          </w:p>
        </w:tc>
      </w:tr>
      <w:tr>
        <w:trPr>
          <w:trHeight w:val="206"/>
        </w:trPr>
        <w:tc>
          <w:tcPr>
            <w:tcW w:w="1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Settlement Month</w:t>
            </w: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Settlement Year</w:t>
            </w:r>
          </w:p>
        </w:tc>
        <w:tc>
          <w:tcPr>
            <w:tcW w:w="1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Type of Contract</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Day</w:t>
            </w:r>
          </w:p>
        </w:tc>
        <w:tc>
          <w:tcPr>
            <w:tcW w:w="1980" w:type="dxa"/>
            <w:vAlign w:val="bottom"/>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w w:val="98"/>
              </w:rPr>
              <w:t>Index</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Differential</w:t>
            </w:r>
          </w:p>
        </w:tc>
        <w:tc>
          <w:tcPr>
            <w:tcW w:w="13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Floor Price</w:t>
            </w:r>
          </w:p>
        </w:tc>
        <w:tc>
          <w:tcPr>
            <w:tcW w:w="1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Ceiling Price</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OIL</w:t>
            </w:r>
          </w:p>
        </w:tc>
        <w:tc>
          <w:tcPr>
            <w:tcW w:w="1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33"/>
        </w:trPr>
        <w:tc>
          <w:tcPr>
            <w:tcW w:w="14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rPr>
              <w:t>Oct. - Dec.</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Roll Swap</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65,000</w:t>
            </w:r>
          </w:p>
        </w:tc>
        <w:tc>
          <w:tcPr>
            <w:tcW w:w="19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WTI Cushing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$1.07</w:t>
            </w:r>
          </w:p>
        </w:tc>
        <w:tc>
          <w:tcPr>
            <w:tcW w:w="80" w:type="dxa"/>
            <w:vAlign w:val="bottom"/>
          </w:tcPr>
          <w:p>
            <w:pPr>
              <w:spacing w:after="0"/>
              <w:rPr>
                <w:sz w:val="20"/>
                <w:szCs w:val="20"/>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9"/>
        </w:trPr>
        <w:tc>
          <w:tcPr>
            <w:tcW w:w="14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rPr>
              <w:t>Oct. - Dec.</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76,000</w:t>
            </w:r>
          </w:p>
        </w:tc>
        <w:tc>
          <w:tcPr>
            <w:tcW w:w="19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Argus WTI Midland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$1.05</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 - Jun.</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25,000</w:t>
            </w:r>
          </w:p>
        </w:tc>
        <w:tc>
          <w:tcPr>
            <w:tcW w:w="19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Argus WTI Midland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$0.96</w:t>
            </w:r>
          </w:p>
        </w:tc>
        <w:tc>
          <w:tcPr>
            <w:tcW w:w="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 - Dec.</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20,000</w:t>
            </w:r>
          </w:p>
        </w:tc>
        <w:tc>
          <w:tcPr>
            <w:tcW w:w="19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Argus WTI Midland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$0.95</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1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NATURAL GAS</w:t>
            </w: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4"/>
        </w:trPr>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9"/>
        </w:trPr>
        <w:tc>
          <w:tcPr>
            <w:tcW w:w="146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rPr>
              <w:t>Oct. - Dec.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Costless Collar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690,000</w:t>
            </w:r>
          </w:p>
        </w:tc>
        <w:tc>
          <w:tcPr>
            <w:tcW w:w="1980" w:type="dxa"/>
            <w:vAlign w:val="bottom"/>
            <w:tcBorders>
              <w:bottom w:val="single" w:sz="8" w:color="CCEEFF"/>
            </w:tcBorders>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Henry Hub</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w w:val="99"/>
              </w:rPr>
              <w:t>$2.49</w:t>
            </w:r>
          </w:p>
        </w:tc>
        <w:tc>
          <w:tcPr>
            <w:tcW w:w="1000" w:type="dxa"/>
            <w:vAlign w:val="bottom"/>
            <w:tcBorders>
              <w:bottom w:val="single" w:sz="8" w:color="CCEEFF"/>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$5.28</w:t>
            </w:r>
          </w:p>
        </w:tc>
      </w:tr>
      <w:tr>
        <w:trPr>
          <w:trHeight w:val="233"/>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Costless Collar</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800,000</w:t>
            </w:r>
          </w:p>
        </w:tc>
        <w:tc>
          <w:tcPr>
            <w:tcW w:w="19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Henry Hub</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w w:val="99"/>
              </w:rPr>
              <w:t>$2.88</w:t>
            </w: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7"/>
                <w:szCs w:val="17"/>
                <w:color w:val="auto"/>
              </w:rPr>
              <w:t>$6.34</w:t>
            </w:r>
          </w:p>
        </w:tc>
      </w:tr>
      <w:tr>
        <w:trPr>
          <w:trHeight w:val="26"/>
        </w:trPr>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9"/>
        </w:trPr>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Costless Collar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520,000</w:t>
            </w:r>
          </w:p>
        </w:tc>
        <w:tc>
          <w:tcPr>
            <w:tcW w:w="1980" w:type="dxa"/>
            <w:vAlign w:val="bottom"/>
            <w:tcBorders>
              <w:bottom w:val="single" w:sz="8" w:color="CCEEFF"/>
            </w:tcBorders>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Henry Hub</w:t>
            </w:r>
          </w:p>
        </w:tc>
        <w:tc>
          <w:tcPr>
            <w:tcW w:w="12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w w:val="99"/>
              </w:rPr>
              <w:t>$2.92</w:t>
            </w:r>
          </w:p>
        </w:tc>
        <w:tc>
          <w:tcPr>
            <w:tcW w:w="1000" w:type="dxa"/>
            <w:vAlign w:val="bottom"/>
            <w:tcBorders>
              <w:bottom w:val="single" w:sz="8" w:color="CCEEFF"/>
            </w:tcBorders>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rPr>
              <w:t>$6.37</w:t>
            </w:r>
          </w:p>
        </w:tc>
      </w:tr>
      <w:tr>
        <w:trPr>
          <w:trHeight w:val="259"/>
        </w:trPr>
        <w:tc>
          <w:tcPr>
            <w:tcW w:w="14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rPr>
              <w:t>Oct. - Dec.</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610,000</w:t>
            </w:r>
          </w:p>
        </w:tc>
        <w:tc>
          <w:tcPr>
            <w:tcW w:w="19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Waha Hub</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$(0.98)</w:t>
            </w:r>
          </w:p>
        </w:tc>
        <w:tc>
          <w:tcPr>
            <w:tcW w:w="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rPr>
              <w:t>Oct. - Dec.</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20,000</w:t>
            </w:r>
          </w:p>
        </w:tc>
        <w:tc>
          <w:tcPr>
            <w:tcW w:w="19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HSC Hub</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610,000</w:t>
            </w:r>
          </w:p>
        </w:tc>
        <w:tc>
          <w:tcPr>
            <w:tcW w:w="19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Waha Hub</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100,000</w:t>
            </w:r>
          </w:p>
        </w:tc>
        <w:tc>
          <w:tcPr>
            <w:tcW w:w="19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HSC Hub</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$(0.35)</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300,000</w:t>
            </w:r>
          </w:p>
        </w:tc>
        <w:tc>
          <w:tcPr>
            <w:tcW w:w="198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Waha Hub</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22"/>
                <w:szCs w:val="22"/>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r>
        <w:trPr>
          <w:trHeight w:val="259"/>
        </w:trPr>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 - Dec.</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Basis Swap</w:t>
            </w:r>
            <w:r>
              <w:rPr>
                <w:rFonts w:ascii="Times New Roman" w:cs="Times New Roman" w:eastAsia="Times New Roman" w:hAnsi="Times New Roman"/>
                <w:sz w:val="22"/>
                <w:szCs w:val="22"/>
                <w:color w:val="auto"/>
                <w:w w:val="97"/>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100,000</w:t>
            </w:r>
          </w:p>
        </w:tc>
        <w:tc>
          <w:tcPr>
            <w:tcW w:w="19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HSC Hub</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$(0.26)</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7"/>
                <w:szCs w:val="17"/>
                <w:color w:val="auto"/>
              </w:rPr>
              <w:t>$—</w:t>
            </w:r>
          </w:p>
        </w:tc>
      </w:tr>
    </w:tbl>
    <w:p>
      <w:pPr>
        <w:spacing w:after="0" w:line="72" w:lineRule="exact"/>
        <w:rPr>
          <w:sz w:val="20"/>
          <w:szCs w:val="20"/>
          <w:color w:val="auto"/>
        </w:rPr>
      </w:pPr>
    </w:p>
    <w:p>
      <w:pPr>
        <w:jc w:val="both"/>
        <w:ind w:left="320" w:hanging="317"/>
        <w:spacing w:after="0" w:line="272" w:lineRule="auto"/>
        <w:tabs>
          <w:tab w:leader="none" w:pos="43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fixed price basis swaps for the spread between the Cushing crude oil price and the Midland WTI crude oil price as well as the spread between the Henry Hub natural gas price, the Waha Hub and the HSC Hub natural gas price. The weighted average differential represents the amount of reduction to the Cushing, Oklahoma oil price and the Waha Hub and HSC Hub natural gas price for the notional volumes covered by the basis swap contracts.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5"/>
                <w:szCs w:val="15"/>
                <w:b w:val="1"/>
                <w:bCs w:val="1"/>
                <w:color w:val="auto"/>
                <w:w w:val="97"/>
              </w:rPr>
              <w:t>Settlement Month</w:t>
            </w:r>
          </w:p>
        </w:tc>
        <w:tc>
          <w:tcPr>
            <w:tcW w:w="1340" w:type="dxa"/>
            <w:vAlign w:val="bottom"/>
          </w:tcPr>
          <w:p>
            <w:pPr>
              <w:jc w:val="center"/>
              <w:ind w:left="15"/>
              <w:spacing w:after="0"/>
              <w:rPr>
                <w:sz w:val="20"/>
                <w:szCs w:val="20"/>
                <w:color w:val="auto"/>
              </w:rPr>
            </w:pPr>
            <w:r>
              <w:rPr>
                <w:rFonts w:ascii="Times New Roman" w:cs="Times New Roman" w:eastAsia="Times New Roman" w:hAnsi="Times New Roman"/>
                <w:sz w:val="15"/>
                <w:szCs w:val="15"/>
                <w:b w:val="1"/>
                <w:bCs w:val="1"/>
                <w:color w:val="auto"/>
                <w:w w:val="96"/>
              </w:rPr>
              <w:t>Settlement Year</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w w:val="96"/>
              </w:rPr>
              <w:t>Type of Contract</w:t>
            </w:r>
          </w:p>
        </w:tc>
        <w:tc>
          <w:tcPr>
            <w:tcW w:w="162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Bbls Per Day</w:t>
            </w:r>
          </w:p>
        </w:tc>
        <w:tc>
          <w:tcPr>
            <w:tcW w:w="2220" w:type="dxa"/>
            <w:vAlign w:val="bottom"/>
          </w:tcPr>
          <w:p>
            <w:pPr>
              <w:jc w:val="center"/>
              <w:ind w:left="15"/>
              <w:spacing w:after="0"/>
              <w:rPr>
                <w:sz w:val="20"/>
                <w:szCs w:val="20"/>
                <w:color w:val="auto"/>
              </w:rPr>
            </w:pPr>
            <w:r>
              <w:rPr>
                <w:rFonts w:ascii="Times New Roman" w:cs="Times New Roman" w:eastAsia="Times New Roman" w:hAnsi="Times New Roman"/>
                <w:sz w:val="15"/>
                <w:szCs w:val="15"/>
                <w:b w:val="1"/>
                <w:bCs w:val="1"/>
                <w:color w:val="auto"/>
                <w:w w:val="98"/>
              </w:rPr>
              <w:t>Index</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5"/>
                <w:szCs w:val="15"/>
                <w:b w:val="1"/>
                <w:bCs w:val="1"/>
                <w:color w:val="auto"/>
                <w:w w:val="97"/>
              </w:rPr>
              <w:t>Strike Price</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5"/>
                <w:szCs w:val="15"/>
                <w:b w:val="1"/>
                <w:bCs w:val="1"/>
                <w:color w:val="auto"/>
                <w:w w:val="97"/>
              </w:rPr>
              <w:t>Deferred Premium</w:t>
            </w:r>
          </w:p>
        </w:tc>
      </w:tr>
      <w:tr>
        <w:trPr>
          <w:trHeight w:val="34"/>
        </w:trPr>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OIL</w:t>
            </w:r>
          </w:p>
        </w:tc>
        <w:tc>
          <w:tcPr>
            <w:tcW w:w="1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23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Oct. - Dec.</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2025</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46,000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Brent</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$53.91</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$1.64</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1720" w:type="dxa"/>
            <w:vAlign w:val="bottom"/>
            <w:tcBorders>
              <w:bottom w:val="single" w:sz="8" w:color="CCEEFF"/>
            </w:tcBorders>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rPr>
              <w:t>Oct. - Dec.</w:t>
            </w:r>
          </w:p>
        </w:tc>
        <w:tc>
          <w:tcPr>
            <w:tcW w:w="134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2025</w:t>
            </w:r>
          </w:p>
        </w:tc>
        <w:tc>
          <w:tcPr>
            <w:tcW w:w="152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Borders>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100,000</w:t>
            </w:r>
          </w:p>
        </w:tc>
        <w:tc>
          <w:tcPr>
            <w:tcW w:w="222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Argus WTI Houston</w:t>
            </w:r>
          </w:p>
        </w:tc>
        <w:tc>
          <w:tcPr>
            <w:tcW w:w="13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$53.00</w:t>
            </w:r>
          </w:p>
        </w:tc>
        <w:tc>
          <w:tcPr>
            <w:tcW w:w="15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$1.68</w:t>
            </w:r>
          </w:p>
        </w:tc>
      </w:tr>
      <w:tr>
        <w:trPr>
          <w:trHeight w:val="23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Oct. - Dec.</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2025</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176,000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WTI Cushing</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$53.79</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$1.64</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1720" w:type="dxa"/>
            <w:vAlign w:val="bottom"/>
            <w:tcBorders>
              <w:bottom w:val="single" w:sz="8" w:color="CCEEFF"/>
            </w:tcBorders>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rPr>
              <w:t>Jan. - Mar.</w:t>
            </w:r>
          </w:p>
        </w:tc>
        <w:tc>
          <w:tcPr>
            <w:tcW w:w="134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Borders>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36,000</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Brent</w:t>
            </w:r>
          </w:p>
        </w:tc>
        <w:tc>
          <w:tcPr>
            <w:tcW w:w="13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$53.13</w:t>
            </w:r>
          </w:p>
        </w:tc>
        <w:tc>
          <w:tcPr>
            <w:tcW w:w="15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$1.73</w:t>
            </w:r>
          </w:p>
        </w:tc>
      </w:tr>
      <w:tr>
        <w:trPr>
          <w:trHeight w:val="233"/>
        </w:trPr>
        <w:tc>
          <w:tcPr>
            <w:tcW w:w="17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rPr>
              <w:t>Jan. - Mar.</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85,000</w:t>
            </w:r>
          </w:p>
        </w:tc>
        <w:tc>
          <w:tcPr>
            <w:tcW w:w="22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rPr>
              <w:t>Argus WTI Houston</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$51.26</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$1.65</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1720" w:type="dxa"/>
            <w:vAlign w:val="bottom"/>
            <w:tcBorders>
              <w:bottom w:val="single" w:sz="8" w:color="CCEEFF"/>
            </w:tcBorders>
            <w:shd w:val="clear" w:color="auto" w:fill="CCEEFF"/>
          </w:tcPr>
          <w:p>
            <w:pPr>
              <w:jc w:val="center"/>
              <w:ind w:left="56"/>
              <w:spacing w:after="0"/>
              <w:rPr>
                <w:sz w:val="20"/>
                <w:szCs w:val="20"/>
                <w:color w:val="auto"/>
              </w:rPr>
            </w:pPr>
            <w:r>
              <w:rPr>
                <w:rFonts w:ascii="Times New Roman" w:cs="Times New Roman" w:eastAsia="Times New Roman" w:hAnsi="Times New Roman"/>
                <w:sz w:val="17"/>
                <w:szCs w:val="17"/>
                <w:color w:val="auto"/>
              </w:rPr>
              <w:t>Jan. - Mar.</w:t>
            </w:r>
          </w:p>
        </w:tc>
        <w:tc>
          <w:tcPr>
            <w:tcW w:w="134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Borders>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160,000</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WTI Cushing</w:t>
            </w:r>
          </w:p>
        </w:tc>
        <w:tc>
          <w:tcPr>
            <w:tcW w:w="13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$52.23</w:t>
            </w:r>
          </w:p>
        </w:tc>
        <w:tc>
          <w:tcPr>
            <w:tcW w:w="15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$1.66</w:t>
            </w:r>
          </w:p>
        </w:tc>
      </w:tr>
      <w:tr>
        <w:trPr>
          <w:trHeight w:val="23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w w:val="98"/>
              </w:rPr>
              <w:t>Apr. - Jun.</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17,000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Brent</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$52.50</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$1.74</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1720" w:type="dxa"/>
            <w:vAlign w:val="bottom"/>
            <w:tcBorders>
              <w:bottom w:val="single" w:sz="8" w:color="CCEEFF"/>
            </w:tcBorders>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8"/>
              </w:rPr>
              <w:t>Apr. - Jun.</w:t>
            </w:r>
          </w:p>
        </w:tc>
        <w:tc>
          <w:tcPr>
            <w:tcW w:w="134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Borders>
              <w:bottom w:val="single" w:sz="8" w:color="CCEEFF"/>
            </w:tcBorders>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50,000</w:t>
            </w:r>
          </w:p>
        </w:tc>
        <w:tc>
          <w:tcPr>
            <w:tcW w:w="222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Argus WTI Houston</w:t>
            </w:r>
          </w:p>
        </w:tc>
        <w:tc>
          <w:tcPr>
            <w:tcW w:w="13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$50.00</w:t>
            </w:r>
          </w:p>
        </w:tc>
        <w:tc>
          <w:tcPr>
            <w:tcW w:w="15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$1.64</w:t>
            </w:r>
          </w:p>
        </w:tc>
      </w:tr>
      <w:tr>
        <w:trPr>
          <w:trHeight w:val="23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w w:val="98"/>
              </w:rPr>
              <w:t>Apr. - Jun.</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65,000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WTI Cushing</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$50.00</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$1.75</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1720" w:type="dxa"/>
            <w:vAlign w:val="bottom"/>
            <w:tcBorders>
              <w:bottom w:val="single" w:sz="8" w:color="CCEEFF"/>
            </w:tcBorders>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9"/>
              </w:rPr>
              <w:t>Jul. - Sep.</w:t>
            </w:r>
          </w:p>
        </w:tc>
        <w:tc>
          <w:tcPr>
            <w:tcW w:w="134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Borders>
              <w:bottom w:val="single" w:sz="8" w:color="CCEEFF"/>
            </w:tcBorders>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w w:val="99"/>
              </w:rPr>
              <w:t>5,000</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Brent</w:t>
            </w:r>
          </w:p>
        </w:tc>
        <w:tc>
          <w:tcPr>
            <w:tcW w:w="1320" w:type="dxa"/>
            <w:vAlign w:val="bottom"/>
            <w:tcBorders>
              <w:bottom w:val="single" w:sz="8" w:color="CCEEFF"/>
            </w:tcBorders>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$52.50</w:t>
            </w:r>
          </w:p>
        </w:tc>
        <w:tc>
          <w:tcPr>
            <w:tcW w:w="150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$1.63</w:t>
            </w:r>
          </w:p>
        </w:tc>
      </w:tr>
      <w:tr>
        <w:trPr>
          <w:trHeight w:val="233"/>
        </w:trPr>
        <w:tc>
          <w:tcPr>
            <w:tcW w:w="17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w w:val="99"/>
              </w:rPr>
              <w:t>Jul. - Sep.</w:t>
            </w:r>
          </w:p>
        </w:tc>
        <w:tc>
          <w:tcPr>
            <w:tcW w:w="134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tcPr>
          <w:p>
            <w:pPr>
              <w:jc w:val="center"/>
              <w:ind w:right="35"/>
              <w:spacing w:after="0"/>
              <w:rPr>
                <w:sz w:val="20"/>
                <w:szCs w:val="20"/>
                <w:color w:val="auto"/>
              </w:rPr>
            </w:pPr>
            <w:r>
              <w:rPr>
                <w:rFonts w:ascii="Times New Roman" w:cs="Times New Roman" w:eastAsia="Times New Roman" w:hAnsi="Times New Roman"/>
                <w:sz w:val="17"/>
                <w:szCs w:val="17"/>
                <w:color w:val="auto"/>
                <w:w w:val="99"/>
              </w:rPr>
              <w:t>5,000</w:t>
            </w:r>
          </w:p>
        </w:tc>
        <w:tc>
          <w:tcPr>
            <w:tcW w:w="22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rPr>
              <w:t>Argus WTI Houston</w:t>
            </w:r>
          </w:p>
        </w:tc>
        <w:tc>
          <w:tcPr>
            <w:tcW w:w="13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8"/>
              </w:rPr>
              <w:t>$50.00</w:t>
            </w:r>
          </w:p>
        </w:tc>
        <w:tc>
          <w:tcPr>
            <w:tcW w:w="15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$1.70</w:t>
            </w:r>
          </w:p>
        </w:tc>
      </w:tr>
      <w:tr>
        <w:trPr>
          <w:trHeight w:val="26"/>
        </w:trPr>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3"/>
        </w:trPr>
        <w:tc>
          <w:tcPr>
            <w:tcW w:w="172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9"/>
              </w:rPr>
              <w:t>Jul. - Sep.</w:t>
            </w:r>
          </w:p>
        </w:tc>
        <w:tc>
          <w:tcPr>
            <w:tcW w:w="13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2026</w:t>
            </w:r>
          </w:p>
        </w:tc>
        <w:tc>
          <w:tcPr>
            <w:tcW w:w="152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w w:val="96"/>
              </w:rPr>
              <w:t>Put</w:t>
            </w:r>
          </w:p>
        </w:tc>
        <w:tc>
          <w:tcPr>
            <w:tcW w:w="162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10,000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WTI Cushing</w:t>
            </w:r>
          </w:p>
        </w:tc>
        <w:tc>
          <w:tcPr>
            <w:tcW w:w="132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8"/>
              </w:rPr>
              <w:t>$50.00</w:t>
            </w:r>
          </w:p>
        </w:tc>
        <w:tc>
          <w:tcPr>
            <w:tcW w:w="15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$1.83</w:t>
            </w:r>
          </w:p>
        </w:tc>
      </w:tr>
      <w:tr>
        <w:trPr>
          <w:trHeight w:val="26"/>
        </w:trPr>
        <w:tc>
          <w:tcPr>
            <w:tcW w:w="1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Swaps and Treasury Locks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Swaps</w:t>
      </w:r>
    </w:p>
    <w:p>
      <w:pPr>
        <w:spacing w:after="0" w:line="24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of September 30, 2025, the Company has two receive-fixed, pay-variable interest rate swap agreements for notional amounts of $150 million, which are considered economic hedges of the Company’s 3.50% fixed rate senior notes due 2029 (the “2029 Notes”). During the three and nine months ended September 30, 2025, the Company terminated and settled an aggregate $150 million and $600 million, respectively, of the previous $900 million notional amount of interest rate swaps for an aggregate loss of $15 million and $67 million, respectively. The losses on the partial termination of interest rate swaps are recognized in the caption “Gain (loss) on derivative instruments, net” on the condensed consolidated statements of operations for the three and nine months ended September 30, 2025.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spacing w:after="0" w:line="20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for further details.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Treasury Locks</w:t>
      </w:r>
    </w:p>
    <w:p>
      <w:pPr>
        <w:spacing w:after="0" w:line="24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From time to time the Company enters into certain treasury lock contracts to reduce the forecasted interest rate risk associated with the issuance of senior unsecured notes. Changes in the value and settlement of treasury locks are recognized under the caption “Gain (loss) on derivative instruments, net” on the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 Offsetting of Derivative Assets and Liabilities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r>
        <w:rPr>
          <w:rFonts w:ascii="Times New Roman" w:cs="Times New Roman" w:eastAsia="Times New Roman" w:hAnsi="Times New Roman"/>
          <w:sz w:val="17"/>
          <w:szCs w:val="17"/>
          <w:u w:val="single" w:color="auto"/>
          <w:color w:val="0000FF"/>
        </w:rPr>
        <w:t>Fair Value Measurements</w:t>
      </w:r>
      <w:r>
        <w:rPr>
          <w:rFonts w:ascii="Times New Roman" w:cs="Times New Roman" w:eastAsia="Times New Roman" w:hAnsi="Times New Roman"/>
          <w:sz w:val="17"/>
          <w:szCs w:val="17"/>
          <w:color w:val="auto"/>
        </w:rPr>
        <w:t xml:space="preserve"> for further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Losses on Derivative Instruments</w:t>
      </w: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following table summarizes the gains and losses on derivative instruments included in the condensed consolidated statements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8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580" w:type="dxa"/>
            <w:vAlign w:val="bottom"/>
            <w:gridSpan w:val="4"/>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26"/>
        </w:trPr>
        <w:tc>
          <w:tcPr>
            <w:tcW w:w="56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5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3"/>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contracts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6"/>
        </w:trPr>
        <w:tc>
          <w:tcPr>
            <w:tcW w:w="5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rate swaps</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3"/>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9"/>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locks</w:t>
            </w: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2"/>
        </w:trPr>
        <w:tc>
          <w:tcPr>
            <w:tcW w:w="5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5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received (paid) on settlements: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5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contracts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59"/>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rate swaps</w:t>
            </w:r>
            <w:r>
              <w:rPr>
                <w:rFonts w:ascii="Times New Roman" w:cs="Times New Roman" w:eastAsia="Times New Roman" w:hAnsi="Times New Roman"/>
                <w:sz w:val="22"/>
                <w:szCs w:val="22"/>
                <w:color w:val="auto"/>
                <w:vertAlign w:val="superscript"/>
              </w:rPr>
              <w:t>(1)</w:t>
            </w:r>
          </w:p>
        </w:tc>
        <w:tc>
          <w:tcPr>
            <w:tcW w:w="9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59"/>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locks</w:t>
            </w: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2"/>
        </w:trPr>
        <w:tc>
          <w:tcPr>
            <w:tcW w:w="5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5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03"/>
        </w:trPr>
        <w:tc>
          <w:tcPr>
            <w:tcW w:w="5640" w:type="dxa"/>
            <w:vAlign w:val="bottom"/>
          </w:tcPr>
          <w:p>
            <w:pPr>
              <w:spacing w:after="0"/>
              <w:rPr>
                <w:sz w:val="24"/>
                <w:szCs w:val="24"/>
                <w:color w:val="auto"/>
              </w:rPr>
            </w:pP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9"/>
        </w:trPr>
        <w:tc>
          <w:tcPr>
            <w:tcW w:w="56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8" w:lineRule="exact"/>
        <w:rPr>
          <w:sz w:val="20"/>
          <w:szCs w:val="20"/>
          <w:color w:val="auto"/>
        </w:rPr>
      </w:pPr>
    </w:p>
    <w:p>
      <w:pPr>
        <w:jc w:val="both"/>
        <w:ind w:left="320" w:hanging="317"/>
        <w:spacing w:after="0" w:line="272" w:lineRule="auto"/>
        <w:tabs>
          <w:tab w:leader="none" w:pos="3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nine months ended September 30, 2025, includes cash paid on interest rate swaps terminated prior to their contractual maturity of $15 million and $67 million, respectively. The three and nine months ended September 30, 2024, includes cash paid on interest rate swaps terminated prior to their contractual maturity of $37 million.</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 on a Recurring Basis</w:t>
      </w:r>
    </w:p>
    <w:p>
      <w:pPr>
        <w:spacing w:after="0" w:line="246" w:lineRule="exact"/>
        <w:rPr>
          <w:sz w:val="20"/>
          <w:szCs w:val="20"/>
          <w:color w:val="auto"/>
        </w:rPr>
      </w:pPr>
    </w:p>
    <w:p>
      <w:pPr>
        <w:jc w:val="both"/>
        <w:ind w:firstLine="621"/>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discussed in </w:t>
      </w:r>
      <w:hyperlink r:id="rId67">
        <w:r>
          <w:rPr>
            <w:rFonts w:ascii="Times New Roman" w:cs="Times New Roman" w:eastAsia="Times New Roman" w:hAnsi="Times New Roman"/>
            <w:sz w:val="17"/>
            <w:szCs w:val="17"/>
            <w:u w:val="single" w:color="auto"/>
            <w:color w:val="0000FF"/>
          </w:rPr>
          <w:t>Note 14—Fair Value Measurements in the Company’s 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 certain financial instruments of the Company are reported at fair value on the Company’s condensed consolidated balance sheets. 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September 30, 2025, and December 31, 2024.</w:t>
      </w:r>
    </w:p>
    <w:p>
      <w:pPr>
        <w:spacing w:after="0" w:line="19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Viper LLC’s 2026 WTI Contingent Liability is reported at fair value using observable market data inputs and a Monte Carlo pricing model, which are considered Level 2 inputs within the fair value hierarchy. The 2026 WTI Contingent Liability was recorded in “Other accrued liabilities” on the Company’s condensed consolidated balance sheet at September 30,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and nine months ended September 30, 2025.</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fair value of financial instruments that are recorded at fair value in the condensed consolidated balance sheets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and December 31, 2024:</w:t>
      </w:r>
    </w:p>
    <w:p>
      <w:pPr>
        <w:spacing w:after="0" w:line="28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24765</wp:posOffset>
            </wp:positionV>
            <wp:extent cx="41973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419735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5"/>
              </w:rPr>
              <w:t>Gross Amounts</w:t>
            </w:r>
          </w:p>
        </w:tc>
        <w:tc>
          <w:tcPr>
            <w:tcW w:w="140" w:type="dxa"/>
            <w:vAlign w:val="bottom"/>
          </w:tcPr>
          <w:p>
            <w:pPr>
              <w:spacing w:after="0"/>
              <w:rPr>
                <w:sz w:val="16"/>
                <w:szCs w:val="16"/>
                <w:color w:val="auto"/>
              </w:rPr>
            </w:pPr>
          </w:p>
        </w:tc>
        <w:tc>
          <w:tcPr>
            <w:tcW w:w="11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Net Fair Value</w:t>
            </w:r>
          </w:p>
        </w:tc>
      </w:tr>
      <w:tr>
        <w:trPr>
          <w:trHeight w:val="181"/>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58"/>
              <w:spacing w:after="0" w:line="181" w:lineRule="exact"/>
              <w:rPr>
                <w:sz w:val="20"/>
                <w:szCs w:val="20"/>
                <w:color w:val="auto"/>
              </w:rPr>
            </w:pPr>
            <w:r>
              <w:rPr>
                <w:rFonts w:ascii="Times New Roman" w:cs="Times New Roman" w:eastAsia="Times New Roman" w:hAnsi="Times New Roman"/>
                <w:sz w:val="16"/>
                <w:szCs w:val="16"/>
                <w:b w:val="1"/>
                <w:bCs w:val="1"/>
                <w:color w:val="auto"/>
                <w:w w:val="96"/>
              </w:rPr>
              <w:t>Total Gross</w:t>
            </w:r>
          </w:p>
        </w:tc>
        <w:tc>
          <w:tcPr>
            <w:tcW w:w="13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Offset in Balance</w:t>
            </w:r>
          </w:p>
        </w:tc>
        <w:tc>
          <w:tcPr>
            <w:tcW w:w="140" w:type="dxa"/>
            <w:vAlign w:val="bottom"/>
          </w:tcPr>
          <w:p>
            <w:pPr>
              <w:spacing w:after="0"/>
              <w:rPr>
                <w:sz w:val="15"/>
                <w:szCs w:val="15"/>
                <w:color w:val="auto"/>
              </w:rPr>
            </w:pPr>
          </w:p>
        </w:tc>
        <w:tc>
          <w:tcPr>
            <w:tcW w:w="1160" w:type="dxa"/>
            <w:vAlign w:val="bottom"/>
          </w:tcPr>
          <w:p>
            <w:pPr>
              <w:jc w:val="center"/>
              <w:ind w:right="58"/>
              <w:spacing w:after="0" w:line="181" w:lineRule="exact"/>
              <w:rPr>
                <w:sz w:val="20"/>
                <w:szCs w:val="20"/>
                <w:color w:val="auto"/>
              </w:rPr>
            </w:pPr>
            <w:r>
              <w:rPr>
                <w:rFonts w:ascii="Times New Roman" w:cs="Times New Roman" w:eastAsia="Times New Roman" w:hAnsi="Times New Roman"/>
                <w:sz w:val="16"/>
                <w:szCs w:val="16"/>
                <w:b w:val="1"/>
                <w:bCs w:val="1"/>
                <w:color w:val="auto"/>
                <w:w w:val="96"/>
              </w:rPr>
              <w:t>Presented in</w:t>
            </w:r>
          </w:p>
        </w:tc>
      </w:tr>
      <w:tr>
        <w:trPr>
          <w:trHeight w:val="229"/>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r>
      <w:tr>
        <w:trPr>
          <w:trHeight w:val="224"/>
        </w:trPr>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assets-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assets-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assets- 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44 $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liabilities- Derivative 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8"/>
        </w:trPr>
        <w:tc>
          <w:tcPr>
            <w:tcW w:w="4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Interest rate swaps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liabilities- Other accrued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liabilities-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8"/>
        </w:trPr>
        <w:tc>
          <w:tcPr>
            <w:tcW w:w="4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24765</wp:posOffset>
            </wp:positionV>
            <wp:extent cx="41973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19735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5"/>
              </w:rPr>
              <w:t>Gross Amounts</w:t>
            </w:r>
          </w:p>
        </w:tc>
        <w:tc>
          <w:tcPr>
            <w:tcW w:w="140" w:type="dxa"/>
            <w:vAlign w:val="bottom"/>
          </w:tcPr>
          <w:p>
            <w:pPr>
              <w:spacing w:after="0"/>
              <w:rPr>
                <w:sz w:val="16"/>
                <w:szCs w:val="16"/>
                <w:color w:val="auto"/>
              </w:rPr>
            </w:pPr>
          </w:p>
        </w:tc>
        <w:tc>
          <w:tcPr>
            <w:tcW w:w="11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Net Fair Value</w:t>
            </w:r>
          </w:p>
        </w:tc>
      </w:tr>
      <w:tr>
        <w:trPr>
          <w:trHeight w:val="181"/>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right"/>
              <w:ind w:right="58"/>
              <w:spacing w:after="0" w:line="181" w:lineRule="exact"/>
              <w:rPr>
                <w:sz w:val="20"/>
                <w:szCs w:val="20"/>
                <w:color w:val="auto"/>
              </w:rPr>
            </w:pPr>
            <w:r>
              <w:rPr>
                <w:rFonts w:ascii="Times New Roman" w:cs="Times New Roman" w:eastAsia="Times New Roman" w:hAnsi="Times New Roman"/>
                <w:sz w:val="16"/>
                <w:szCs w:val="16"/>
                <w:b w:val="1"/>
                <w:bCs w:val="1"/>
                <w:color w:val="auto"/>
                <w:w w:val="96"/>
              </w:rPr>
              <w:t>Total Gross</w:t>
            </w:r>
          </w:p>
        </w:tc>
        <w:tc>
          <w:tcPr>
            <w:tcW w:w="13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Offset in Balance</w:t>
            </w:r>
          </w:p>
        </w:tc>
        <w:tc>
          <w:tcPr>
            <w:tcW w:w="140" w:type="dxa"/>
            <w:vAlign w:val="bottom"/>
          </w:tcPr>
          <w:p>
            <w:pPr>
              <w:spacing w:after="0"/>
              <w:rPr>
                <w:sz w:val="15"/>
                <w:szCs w:val="15"/>
                <w:color w:val="auto"/>
              </w:rPr>
            </w:pPr>
          </w:p>
        </w:tc>
        <w:tc>
          <w:tcPr>
            <w:tcW w:w="1160" w:type="dxa"/>
            <w:vAlign w:val="bottom"/>
          </w:tcPr>
          <w:p>
            <w:pPr>
              <w:jc w:val="center"/>
              <w:ind w:right="58"/>
              <w:spacing w:after="0" w:line="181" w:lineRule="exact"/>
              <w:rPr>
                <w:sz w:val="20"/>
                <w:szCs w:val="20"/>
                <w:color w:val="auto"/>
              </w:rPr>
            </w:pPr>
            <w:r>
              <w:rPr>
                <w:rFonts w:ascii="Times New Roman" w:cs="Times New Roman" w:eastAsia="Times New Roman" w:hAnsi="Times New Roman"/>
                <w:sz w:val="16"/>
                <w:szCs w:val="16"/>
                <w:b w:val="1"/>
                <w:bCs w:val="1"/>
                <w:color w:val="auto"/>
                <w:w w:val="96"/>
              </w:rPr>
              <w:t>Presented in</w:t>
            </w:r>
          </w:p>
        </w:tc>
      </w:tr>
      <w:tr>
        <w:trPr>
          <w:trHeight w:val="229"/>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r>
      <w:tr>
        <w:trPr>
          <w:trHeight w:val="224"/>
        </w:trPr>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assets-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assets-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assets- 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liabilities- Derivative 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8"/>
        </w:trPr>
        <w:tc>
          <w:tcPr>
            <w:tcW w:w="4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Interest rate swaps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8"/>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liabilities- Derivative instruments: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8"/>
        </w:trPr>
        <w:tc>
          <w:tcPr>
            <w:tcW w:w="4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8"/>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6"/>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 liabilities- Other long-term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8"/>
        </w:trPr>
        <w:tc>
          <w:tcPr>
            <w:tcW w:w="4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2026 WTI Contingent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Not Recorded at Fair Value</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the fair value of financial instruments that are not recorded at fair value in the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ind w:right="858"/>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4"/>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16,242</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12,975</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12,564</w:t>
            </w:r>
          </w:p>
        </w:tc>
      </w:tr>
      <w:tr>
        <w:trPr>
          <w:trHeight w:val="26"/>
        </w:trPr>
        <w:tc>
          <w:tcPr>
            <w:tcW w:w="4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fair values of the Company’s borrowings under the Credit Agreement, the Viper LLC Revolving Credit Facility, the 2025 Term Loan, Viper Term Loan and Tranche A Loans (prior to repayment and termination)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and Liabilities Measured at Fair Value on a Nonrecurring Basis</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Note 5—</w:t>
      </w:r>
      <w:r>
        <w:rPr>
          <w:rFonts w:ascii="Times New Roman" w:cs="Times New Roman" w:eastAsia="Times New Roman" w:hAnsi="Times New Roman"/>
          <w:sz w:val="17"/>
          <w:szCs w:val="17"/>
          <w:u w:val="single" w:color="auto"/>
          <w:color w:val="0000FF"/>
        </w:rPr>
        <w:t>Endeavor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Energy Resources, LP Acquisition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Note 6—</w:t>
      </w:r>
      <w:r>
        <w:rPr>
          <w:rFonts w:ascii="Times New Roman" w:cs="Times New Roman" w:eastAsia="Times New Roman" w:hAnsi="Times New Roman"/>
          <w:sz w:val="17"/>
          <w:szCs w:val="17"/>
          <w:u w:val="single" w:color="auto"/>
          <w:color w:val="0000FF"/>
        </w:rPr>
        <w:t>Property and Equipment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additional discussion of nonrecurring fair value adjustments.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Assets</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carrying amount of cash and cash equivalents, accounts receivable, prepaid expenses and other current assets, funds held in escrow, accounts payable and other accrued liabilities approximate their fair value because of the short-term nature of the instruments.</w:t>
      </w:r>
    </w:p>
    <w:p>
      <w:pPr>
        <w:spacing w:after="0" w:line="200" w:lineRule="exact"/>
        <w:rPr>
          <w:sz w:val="20"/>
          <w:szCs w:val="20"/>
          <w:color w:val="auto"/>
        </w:rPr>
      </w:pPr>
    </w:p>
    <w:p>
      <w:pPr>
        <w:spacing w:after="0" w:line="38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SUPPLEMENTAL INFORMATION TO STATEMENTS OF CASH FLOWS</w:t>
      </w:r>
    </w:p>
    <w:p>
      <w:pPr>
        <w:spacing w:after="0" w:line="300"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5144135</wp:posOffset>
            </wp:positionH>
            <wp:positionV relativeFrom="paragraph">
              <wp:posOffset>24765</wp:posOffset>
            </wp:positionV>
            <wp:extent cx="1995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995805" cy="8255"/>
                    </a:xfrm>
                    <a:prstGeom prst="rect">
                      <a:avLst/>
                    </a:prstGeom>
                    <a:noFill/>
                  </pic:spPr>
                </pic:pic>
              </a:graphicData>
            </a:graphic>
          </wp:anchor>
        </w:drawing>
      </w:r>
    </w:p>
    <w:p>
      <w:pPr>
        <w:spacing w:after="0" w:line="42" w:lineRule="exact"/>
        <w:rPr>
          <w:sz w:val="20"/>
          <w:szCs w:val="20"/>
          <w:color w:val="auto"/>
        </w:rPr>
      </w:pPr>
    </w:p>
    <w:p>
      <w:pPr>
        <w:ind w:left="8700"/>
        <w:spacing w:after="0"/>
        <w:tabs>
          <w:tab w:leader="none" w:pos="103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5144135</wp:posOffset>
            </wp:positionH>
            <wp:positionV relativeFrom="paragraph">
              <wp:posOffset>24765</wp:posOffset>
            </wp:positionV>
            <wp:extent cx="1995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995805" cy="8255"/>
                    </a:xfrm>
                    <a:prstGeom prst="rect">
                      <a:avLst/>
                    </a:prstGeom>
                    <a:noFill/>
                  </pic:spPr>
                </pic:pic>
              </a:graphicData>
            </a:graphic>
          </wp:anchor>
        </w:drawing>
      </w:r>
    </w:p>
    <w:p>
      <w:pPr>
        <w:spacing w:after="0" w:line="4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3"/>
        </w:trPr>
        <w:tc>
          <w:tcPr>
            <w:tcW w:w="7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received for income taxes, net</w:t>
            </w:r>
          </w:p>
        </w:tc>
        <w:tc>
          <w:tcPr>
            <w:tcW w:w="16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(1,216)</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6"/>
        </w:trPr>
        <w:tc>
          <w:tcPr>
            <w:tcW w:w="7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1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3"/>
        </w:trPr>
        <w:tc>
          <w:tcPr>
            <w:tcW w:w="7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capital expenditures included in accounts payable and accrued expenses</w:t>
            </w:r>
          </w:p>
        </w:tc>
        <w:tc>
          <w:tcPr>
            <w:tcW w:w="16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w w:val="99"/>
              </w:rPr>
              <w:t>1,043</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6"/>
        </w:trPr>
        <w:tc>
          <w:tcPr>
            <w:tcW w:w="7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7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shares issued for acquisitions</w:t>
            </w:r>
          </w:p>
        </w:tc>
        <w:tc>
          <w:tcPr>
            <w:tcW w:w="164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center"/>
              <w:ind w:left="294"/>
              <w:spacing w:after="0"/>
              <w:rPr>
                <w:sz w:val="20"/>
                <w:szCs w:val="20"/>
                <w:color w:val="auto"/>
              </w:rPr>
            </w:pPr>
            <w:r>
              <w:rPr>
                <w:rFonts w:ascii="Times New Roman" w:cs="Times New Roman" w:eastAsia="Times New Roman" w:hAnsi="Times New Roman"/>
                <w:sz w:val="17"/>
                <w:szCs w:val="17"/>
                <w:color w:val="auto"/>
              </w:rPr>
              <w:t>(2,536)</w:t>
            </w:r>
          </w:p>
        </w:tc>
        <w:tc>
          <w:tcPr>
            <w:tcW w:w="56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(20,110)</w:t>
            </w:r>
          </w:p>
        </w:tc>
      </w:tr>
      <w:tr>
        <w:trPr>
          <w:trHeight w:val="233"/>
        </w:trPr>
        <w:tc>
          <w:tcPr>
            <w:tcW w:w="7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Viper LLC’s units issued for acquisition</w:t>
            </w:r>
          </w:p>
        </w:tc>
        <w:tc>
          <w:tcPr>
            <w:tcW w:w="16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(1,445)</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4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spacing w:after="0" w:line="19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2025 Dividend Declaration</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October 30, 2025, the board of directors of the Company declared a base cash dividend for the third quarter of 2025 of $1.00 per share of common stock, payable on November 20, 2025, to its stockholders of record at the close of business on November 13, 2025. Future base and variable dividends are at the discretion of the Company’s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Diamondback Divestitures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EPIC Divestiture</w:t>
      </w:r>
    </w:p>
    <w:p>
      <w:pPr>
        <w:spacing w:after="0" w:line="24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October 31, 2025, the Company divested its 27.5% equity interest in EPIC Crude Holdings, LP (“EPIC”) pursuant to a definitive purchase and sale agreement with Plains All American Pipeline, L.P. and Plains GP Holdings (collectively, “Plains”) for approximately $504 million in cash and an additional $96 million in contingent consideration (the “EPIC Divestiture”). The contingent cash payment is due should the capacity expansion of EPIC be formally sanctioned before year-end 2027. On October 31, 2025, the Company used $500 million of the cash proceeds received from the EPIC Divestiture to partially repay principal borrowings under the Company’s 2025 Term Loan.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Divestiture of Water Assets to Deep Blue</w:t>
      </w:r>
    </w:p>
    <w:p>
      <w:pPr>
        <w:spacing w:after="0" w:line="248"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October 1, 2025, the Company divested Environmental Disposal Systems, LLC (“EDS”), its subsidiary, to Deep Blue, which was originally acquired in connection with the Endeavor Acquisition, in exchange for upfront net cash proceeds of $694 million. The transaction provides for the potential for the Company to earn up to an additional $200 million in contingent consideration based on the achievement of certain completion thresholds for the years 2026 through 2028. As part of the divestiture, the Company renewed its 15-year dedication to Deep Blue for its produced water and supply water within a 12-county area of mutual interest in the Midland Basin. The Company’s equity ownership interest in Deep Blue remained at 30% following the closing of the transaction. The cash proceeds from the divestiture were used to repay borrowings under the Credit Agreement and for general corporate purposes.</w:t>
      </w:r>
    </w:p>
    <w:p>
      <w:pPr>
        <w:spacing w:after="0" w:line="19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the assets related to this divestiture met the criteria to be classified as held for sale on the Company’s condensed consolidated balance sheets. See Note 6—</w:t>
      </w:r>
      <w:r>
        <w:rPr>
          <w:rFonts w:ascii="Times New Roman" w:cs="Times New Roman" w:eastAsia="Times New Roman" w:hAnsi="Times New Roman"/>
          <w:sz w:val="17"/>
          <w:szCs w:val="17"/>
          <w:u w:val="single" w:color="auto"/>
          <w:color w:val="0000FF"/>
        </w:rPr>
        <w:t>Property and Equipment</w:t>
      </w:r>
      <w:r>
        <w:rPr>
          <w:rFonts w:ascii="Times New Roman" w:cs="Times New Roman" w:eastAsia="Times New Roman" w:hAnsi="Times New Roman"/>
          <w:sz w:val="17"/>
          <w:szCs w:val="17"/>
          <w:color w:val="auto"/>
        </w:rPr>
        <w:t xml:space="preserve"> for additional discussion about the balance sheet classification of these assets as of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Viper Divestiture</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Pending Divestiture of Non-Permian Assets</w:t>
      </w:r>
    </w:p>
    <w:p>
      <w:pPr>
        <w:spacing w:after="0" w:line="24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October 30, 2025, Viper entered into an equity interest purchase agreement to divest all its non-Permian assets, including those acquired from Sitio, to an affiliate of GRP Energy Capital LLC and Warwick Capital Partners LLP for a purchase price of approximately $670 million, subject to customary purchase price adjustments (the “Pending Viper Non-Permian Divestiture”). The properties to be divested consist of approximately 9,400 net royalty acres in the Denver-Julesburg, Eagle Ford and Williston basins with current production of approximately 4,750 BO/d. The Pending Viper Non-Permian Divestiture is subject to customary closing conditions and is expected to close in the first quarter of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of Notes</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the fourth quarter of 2025, the Company opportunistically repurchased an aggregate principal amount of approximately $203 million of its senior notes, which consisted of $152 million of the 4.400% Senior Notes due 2051 and $51 million of the 4.250% Senior Notes due 2052, in open market transactions for total cash consideration, including accrued interest paid, of approximately $167 million, at an average of 82.3% of par value. These repurchases resulted in a gain on extinguishment of debt of approximately $33 million during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18.</w:t>
        <w:tab/>
        <w:t>SEGMENT INFORMATION</w:t>
      </w:r>
    </w:p>
    <w:p>
      <w:pPr>
        <w:spacing w:after="0" w:line="24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 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r>
        <w:rPr>
          <w:rFonts w:ascii="Times New Roman" w:cs="Times New Roman" w:eastAsia="Times New Roman" w:hAnsi="Times New Roman"/>
          <w:sz w:val="17"/>
          <w:szCs w:val="17"/>
          <w:u w:val="single" w:color="auto"/>
          <w:color w:val="0000FF"/>
        </w:rPr>
        <w:t>Revenue from Contracts with Customers</w:t>
      </w:r>
      <w:r>
        <w:rPr>
          <w:rFonts w:ascii="Times New Roman" w:cs="Times New Roman" w:eastAsia="Times New Roman" w:hAnsi="Times New Roman"/>
          <w:sz w:val="17"/>
          <w:szCs w:val="17"/>
          <w:color w:val="auto"/>
        </w:rPr>
        <w:t xml:space="preserve"> for further discussion of the Company’s sources of revenue.</w:t>
      </w:r>
    </w:p>
    <w:p>
      <w:pPr>
        <w:spacing w:after="0" w:line="199"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The Chief Operating Decision Maker (“CODM”) uses the Company’s condensed consolidated financial results to make key operating decisions, assess performance and to allocate resources.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spacing w:after="0" w:line="200" w:lineRule="exact"/>
        <w:rPr>
          <w:sz w:val="20"/>
          <w:szCs w:val="20"/>
          <w:color w:val="auto"/>
        </w:rPr>
      </w:pPr>
    </w:p>
    <w:p>
      <w:pPr>
        <w:spacing w:after="0" w:line="20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pacing w:after="0" w:line="3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4" w:lineRule="exact"/>
        <w:rPr>
          <w:sz w:val="20"/>
          <w:szCs w:val="20"/>
          <w:color w:val="auto"/>
        </w:rPr>
      </w:pPr>
    </w:p>
    <w:p>
      <w:pPr>
        <w:jc w:val="both"/>
        <w:ind w:firstLine="621"/>
        <w:spacing w:after="0" w:line="263"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32">
        <w:r>
          <w:rPr>
            <w:rFonts w:ascii="Times New Roman" w:cs="Times New Roman" w:eastAsia="Times New Roman" w:hAnsi="Times New Roman"/>
            <w:sz w:val="17"/>
            <w:szCs w:val="17"/>
            <w:i w:val="1"/>
            <w:iCs w:val="1"/>
            <w:u w:val="single" w:color="auto"/>
            <w:color w:val="0000FF"/>
          </w:rPr>
          <w:t>Annual Report on Form 10-K</w:t>
        </w:r>
        <w:r>
          <w:rPr>
            <w:rFonts w:ascii="Times New Roman" w:cs="Times New Roman" w:eastAsia="Times New Roman" w:hAnsi="Times New Roman"/>
            <w:sz w:val="17"/>
            <w:szCs w:val="17"/>
            <w:i w:val="1"/>
            <w:iCs w:val="1"/>
            <w:u w:val="single" w:color="auto"/>
            <w:color w:val="auto"/>
          </w:rPr>
          <w:t xml:space="preserve"> </w:t>
        </w:r>
      </w:hyperlink>
      <w:r>
        <w:rPr>
          <w:rFonts w:ascii="Times New Roman" w:cs="Times New Roman" w:eastAsia="Times New Roman" w:hAnsi="Times New Roman"/>
          <w:sz w:val="17"/>
          <w:szCs w:val="17"/>
          <w:i w:val="1"/>
          <w:iCs w:val="1"/>
          <w:color w:val="auto"/>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7"/>
          <w:szCs w:val="17"/>
          <w:i w:val="1"/>
          <w:iCs w:val="1"/>
          <w:u w:val="single" w:color="auto"/>
          <w:color w:val="0000FF"/>
        </w:rPr>
        <w:t>Part II. Item 1A.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0000FF"/>
        </w:rPr>
        <w:t>Risk Factors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color w:val="000000"/>
        </w:rPr>
        <w:t>and</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u w:val="single" w:color="auto"/>
          <w:color w:val="0000FF"/>
        </w:rPr>
        <w:t>Cautionary Statement Regarding Forward-Looking Statements</w:t>
      </w:r>
      <w:r>
        <w:rPr>
          <w:rFonts w:ascii="Times New Roman" w:cs="Times New Roman" w:eastAsia="Times New Roman" w:hAnsi="Times New Roman"/>
          <w:sz w:val="17"/>
          <w:szCs w:val="17"/>
          <w:i w:val="1"/>
          <w:iCs w:val="1"/>
          <w:color w:val="000000"/>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are an independent oil and natural gas company currently focused on the acquisition, development, exploration and exploitation of unconventional, onshore oil and natural gas reserves in the Permian Basin in West Texas. As discussed in Note 1—</w:t>
      </w:r>
      <w:r>
        <w:rPr>
          <w:rFonts w:ascii="Times New Roman" w:cs="Times New Roman" w:eastAsia="Times New Roman" w:hAnsi="Times New Roman"/>
          <w:sz w:val="17"/>
          <w:szCs w:val="17"/>
          <w:u w:val="single" w:color="auto"/>
          <w:color w:val="0000FF"/>
        </w:rPr>
        <w:t>Description of the Business and Basis of Presentation</w:t>
      </w:r>
      <w:r>
        <w:rPr>
          <w:rFonts w:ascii="Times New Roman" w:cs="Times New Roman" w:eastAsia="Times New Roman" w:hAnsi="Times New Roman"/>
          <w:sz w:val="17"/>
          <w:szCs w:val="17"/>
          <w:color w:val="auto"/>
        </w:rPr>
        <w:t xml:space="preserve"> and Note 18—</w:t>
      </w:r>
      <w:r>
        <w:rPr>
          <w:rFonts w:ascii="Times New Roman" w:cs="Times New Roman" w:eastAsia="Times New Roman" w:hAnsi="Times New Roman"/>
          <w:sz w:val="17"/>
          <w:szCs w:val="17"/>
          <w:u w:val="single" w:color="auto"/>
          <w:color w:val="0000FF"/>
        </w:rPr>
        <w:t>Segment Information</w:t>
      </w:r>
      <w:r>
        <w:rPr>
          <w:rFonts w:ascii="Times New Roman" w:cs="Times New Roman" w:eastAsia="Times New Roman" w:hAnsi="Times New Roman"/>
          <w:sz w:val="17"/>
          <w:szCs w:val="17"/>
          <w:color w:val="auto"/>
        </w:rPr>
        <w:t xml:space="preserve"> of the notes to the condensed consolidated financial statements, as of September 30, 2025, we have one reportable segment, the upstream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2025 Financial and Operating Highlights</w:t>
      </w:r>
    </w:p>
    <w:p>
      <w:pPr>
        <w:spacing w:after="0" w:line="246" w:lineRule="exact"/>
        <w:rPr>
          <w:sz w:val="20"/>
          <w:szCs w:val="20"/>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net income of $1.0 billion.</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dividends to stockholders of $289 million during the third quarter of 2025 and declared a base cash dividend payable in the fourth quarter of 2025 of $1.00 per share of common stock.</w:t>
      </w:r>
    </w:p>
    <w:p>
      <w:pPr>
        <w:spacing w:after="0" w:line="172"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our common stock repurchase program authorization to $8.0 billion, excluding excise taxes, repurchased $603 million of our common stock, excluding excise taxes, and had approximately $3.1 billion available for future repurchases under our common stock repurchase program at September 30, 2025.</w:t>
      </w:r>
    </w:p>
    <w:p>
      <w:pPr>
        <w:spacing w:after="0" w:line="189"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operating costs were $10.05 per BOE, including lease operating expenses of $5.65 per BOE, cash general and administrative expenses of $0.55 per BOE and production and ad valorem taxes of $2.44 per BOE and gathering, processing and transportation expenses of $1.41 per BOE.</w:t>
      </w:r>
    </w:p>
    <w:p>
      <w:pPr>
        <w:spacing w:after="0" w:line="17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average production was 942.9 MBOE/d.</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Drilled 107 gross horizontal wells in the Midland Basin and one gross horizontal well in the Delaware Basin and turned 137 gross operated horizontal wells (137 in the Midland Basin and none in the Delaware Basin) to production.</w:t>
      </w:r>
    </w:p>
    <w:p>
      <w:pPr>
        <w:spacing w:after="0" w:line="17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capital expenditures, excluding acquisitions, were $774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and Recent Developments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Acquisitions and Divestitures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Diamondback Divestitures</w:t>
      </w:r>
    </w:p>
    <w:p>
      <w:pPr>
        <w:spacing w:after="0" w:line="2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EPIC Divestiture</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October 31, 2025, we divested our 27.5% equity interest in EPIC pursuant to a definitive purchase and sale agreement with Plains for approximately $504 million in cash and an additional $96 million in contingent consideration. On October 31, 2025, we used $500 million of the cash proceeds received from the EPIC Divestiture to partially repay principal borrowings under the Company’s 2025 Term Loan.</w:t>
      </w:r>
    </w:p>
    <w:p>
      <w:pPr>
        <w:spacing w:after="0" w:line="1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Divestiture of Water Assets to Deep Blue</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October 1, 2025, we divested EDS to Deep Blue, which was originally acquired in connection with the Endeavor Acquisition, in exchange for upfront net cash proceeds of $694 million and the potential for us to earn up to an additional $200 million in contingent consideration based on the achievement of certain completion thresholds for the years 2026 through 2028. As part of the divestiture, the Company renewed its 15-year dedication to Deep Blue for its produced water and supply water within a 12-county area of mutual interest in the Midland Basin. The cash proceeds from the divestiture were used to repay borrowings under the Credit Agreement and for general corporate purposes.</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Viper Acquisitions and Divestitures</w:t>
      </w:r>
    </w:p>
    <w:p>
      <w:pPr>
        <w:spacing w:after="0" w:line="2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Pending Viper Divestiture of Non-Permian Assets</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October 30, 2025, Viper entered into an equity interest purchase agreement to divest all its non-Permian assets, including those acquired from Sitio, for a purchase price of approximately $670 million, subject to customary purchase price adjustments. The properties to be divested consist of approximately 9,400 net royalty acres in the Denver-Julesburg, Eagle Ford and Williston basins with current production of approximately 4,750 BO/d. The Pending Viper Non-Permian Divestiture is subject to customary closing conditions and is expected to close in the first quarter of 2026.</w:t>
      </w:r>
    </w:p>
    <w:p>
      <w:pPr>
        <w:spacing w:after="0" w:line="1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Sitio Acquisition</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August 19, 2025, Viper and Viper LLC completed the Sitio Acquisition in an all-equity transaction valued at approximately $4.0 billion, subject to further adjustments for transaction costs and certain customary post-closing adjustments, including the retirement of Sitio’s net debt of $1.2 billion. 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Transactions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Viper 2025 Notes Offering and Redemption of Notes</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July 23, 2025, Viper LLC issued the Viper 2025 Notes for an aggregate principal amount of $1.6 billion. Viper used a portion of the net proceeds from the issuance of the Viper 2025 Notes to redeem or satisfy and discharge, as applicable, approximately $780 million in aggregate principal amount of their previously outstanding senior notes, including accrued interest paid and redemption premiums. The Viper 2027 Notes were subsequently redeemed in full on November 1, 2025. Viper used the remaining net proceeds (i) to retire Sitio’s 7.875% senior notes due 2028, (ii) to repay borrowings under Sitio’s revolving credit facility, (iii) to pay fees, costs and expenses related to the redemption or repayment of such debt, and (iv) for general corporate purposes.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Viper Term Loan</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connection with the closing of the Sitio Acquisition, Viper LLC entered into the $500 million Viper Term Loan, which Viper drew in a single borrowing to partially fund the retirement of Sitio’s debt.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 for further discussion of the capital transactions above.</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Retirement of Notes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the fourth quarter of 2025, we opportunistically repurchased principal amounts of $152 million of our 4.400% Senior Notes due 2051 and $51 million of our 4.250% Senior Notes due 2052 in open market transactions for total cash consideration of $167 million, including accrued interest paid, at an average of 82.3% of par value.</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and Note 17—</w:t>
      </w:r>
      <w:r>
        <w:rPr>
          <w:rFonts w:ascii="Times New Roman" w:cs="Times New Roman" w:eastAsia="Times New Roman" w:hAnsi="Times New Roman"/>
          <w:sz w:val="17"/>
          <w:szCs w:val="17"/>
          <w:u w:val="single" w:color="auto"/>
          <w:color w:val="0000FF"/>
        </w:rPr>
        <w:t>Subsequent Events</w:t>
      </w:r>
      <w:r>
        <w:rPr>
          <w:rFonts w:ascii="Times New Roman" w:cs="Times New Roman" w:eastAsia="Times New Roman" w:hAnsi="Times New Roman"/>
          <w:sz w:val="17"/>
          <w:szCs w:val="17"/>
          <w:color w:val="auto"/>
        </w:rPr>
        <w:t xml:space="preserve"> of the notes to the condensed consolidated financial statements for further discussion of the transactions above.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Commodity Prices and Impairment</w:t>
      </w:r>
    </w:p>
    <w:p>
      <w:pPr>
        <w:spacing w:after="0" w:line="24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During the first nine months of 2025 and 2024, WTI prices averaged $66.65 and $77.61 per Bbl, respectively, and Henry Hub prices averaged $3.48 and $2.22 per MMBtu, respectively.</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Given the overall decline in SEC Prices through the first three quarters of 2025 and into the fourth quarter of 2025 as compared to 2024, we believe a material non-cash impairment of our assets is reasonably likely to occur in the fourth quarter of 2025. In addition to commodity prices, our production rates, levels of proved reserves, future development costs, transfers of unevaluated properties, income tax rate assumptions and other factors will determine our actual ceiling test calculation and impairment analysis in future periods. Based on the number of factors that may impact our future estimate of proved reserves, we are currently unable to determine an estimate of the amount or range of amounts of any potential impairment charge in the fourth quarter of 2025. Impairment charges affect our results of operations but do not reduce our cash flow.</w:t>
      </w:r>
    </w:p>
    <w:p>
      <w:pPr>
        <w:spacing w:after="0" w:line="19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 xml:space="preserve">For additional information around risks related to commodity prices, see </w:t>
      </w:r>
      <w:r>
        <w:rPr>
          <w:rFonts w:ascii="Times New Roman" w:cs="Times New Roman" w:eastAsia="Times New Roman" w:hAnsi="Times New Roman"/>
          <w:sz w:val="17"/>
          <w:szCs w:val="17"/>
          <w:u w:val="single" w:color="auto"/>
          <w:color w:val="0000FF"/>
        </w:rPr>
        <w:t>Part II. Item 3. Quantitative and Qualitative Disclosures About Market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Commodity Price Risk</w:t>
      </w:r>
      <w:r>
        <w:rPr>
          <w:rFonts w:ascii="Times New Roman" w:cs="Times New Roman" w:eastAsia="Times New Roman" w:hAnsi="Times New Roman"/>
          <w:sz w:val="17"/>
          <w:szCs w:val="17"/>
          <w:color w:val="000000"/>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Upstream Operations</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19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we had approximately 862,019 net acres in the Permian Basin, which primarily consisted of approximately 751,146 net acres in the Midland Basin and 110,873 net acres in the Delaware Basin.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total number of operated horizontal wells drilled and completed during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60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Borders>
              <w:bottom w:val="single" w:sz="8" w:color="auto"/>
            </w:tcBorders>
            <w:gridSpan w:val="9"/>
          </w:tcPr>
          <w:p>
            <w:pPr>
              <w:ind w:left="8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620" w:type="dxa"/>
            <w:vAlign w:val="bottom"/>
            <w:tcBorders>
              <w:bottom w:val="single" w:sz="8" w:color="auto"/>
            </w:tcBorders>
          </w:tcPr>
          <w:p>
            <w:pPr>
              <w:spacing w:after="0"/>
              <w:rPr>
                <w:sz w:val="18"/>
                <w:szCs w:val="18"/>
                <w:color w:val="auto"/>
              </w:rPr>
            </w:pPr>
          </w:p>
        </w:tc>
      </w:tr>
      <w:tr>
        <w:trPr>
          <w:trHeight w:val="233"/>
        </w:trPr>
        <w:tc>
          <w:tcPr>
            <w:tcW w:w="2700" w:type="dxa"/>
            <w:vAlign w:val="bottom"/>
          </w:tcPr>
          <w:p>
            <w:pPr>
              <w:spacing w:after="0"/>
              <w:rPr>
                <w:sz w:val="20"/>
                <w:szCs w:val="20"/>
                <w:color w:val="auto"/>
              </w:rPr>
            </w:pPr>
          </w:p>
        </w:tc>
        <w:tc>
          <w:tcPr>
            <w:tcW w:w="13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w w:val="93"/>
              </w:rPr>
              <w:t>Completed</w:t>
            </w:r>
            <w:r>
              <w:rPr>
                <w:rFonts w:ascii="Times New Roman" w:cs="Times New Roman" w:eastAsia="Times New Roman" w:hAnsi="Times New Roman"/>
                <w:sz w:val="20"/>
                <w:szCs w:val="20"/>
                <w:b w:val="1"/>
                <w:bCs w:val="1"/>
                <w:color w:val="auto"/>
                <w:w w:val="93"/>
                <w:vertAlign w:val="superscript"/>
              </w:rPr>
              <w:t>(1)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w w:val="90"/>
              </w:rPr>
              <w:t>Completed</w:t>
            </w:r>
            <w:r>
              <w:rPr>
                <w:rFonts w:ascii="Times New Roman" w:cs="Times New Roman" w:eastAsia="Times New Roman" w:hAnsi="Times New Roman"/>
                <w:sz w:val="20"/>
                <w:szCs w:val="20"/>
                <w:b w:val="1"/>
                <w:bCs w:val="1"/>
                <w:color w:val="auto"/>
                <w:w w:val="90"/>
                <w:vertAlign w:val="superscript"/>
              </w:rPr>
              <w:t>(2)</w:t>
            </w:r>
          </w:p>
        </w:tc>
        <w:tc>
          <w:tcPr>
            <w:tcW w:w="620" w:type="dxa"/>
            <w:vAlign w:val="bottom"/>
            <w:tcBorders>
              <w:bottom w:val="single" w:sz="8" w:color="auto"/>
            </w:tcBorders>
          </w:tcPr>
          <w:p>
            <w:pPr>
              <w:spacing w:after="0"/>
              <w:rPr>
                <w:sz w:val="20"/>
                <w:szCs w:val="20"/>
                <w:color w:val="auto"/>
              </w:rPr>
            </w:pPr>
          </w:p>
        </w:tc>
      </w:tr>
      <w:tr>
        <w:trPr>
          <w:trHeight w:val="219"/>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Area:</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w:t>
            </w: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w w:val="91"/>
              </w:rPr>
              <w:t>Net</w:t>
            </w:r>
          </w:p>
        </w:tc>
      </w:tr>
      <w:tr>
        <w:trPr>
          <w:trHeight w:val="239"/>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Midland Basin</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33"/>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Basin</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46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6"/>
        </w:trPr>
        <w:tc>
          <w:tcPr>
            <w:tcW w:w="2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7"/>
        </w:trPr>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20" w:hanging="317"/>
        <w:spacing w:after="0" w:line="261" w:lineRule="auto"/>
        <w:tabs>
          <w:tab w:leader="none" w:pos="31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lateral length for the wells completed during the third quarter of 2025 was 11,020 feet. Operated completions during the third quarter of 2025 consisted of 28 Lower Spraberry wells, 27 Wolfcamp A wells, 27 Wolfcamp B wells, 26 Jo Mill wells, 11 Middle Spraberry wells, 10 Dean wells, four Barnett wells, three Upper Spraberry wells and one Wolfcamp D.</w:t>
      </w:r>
    </w:p>
    <w:p>
      <w:pPr>
        <w:spacing w:after="0" w:line="1" w:lineRule="exact"/>
        <w:rPr>
          <w:rFonts w:ascii="Times New Roman" w:cs="Times New Roman" w:eastAsia="Times New Roman" w:hAnsi="Times New Roman"/>
          <w:sz w:val="17"/>
          <w:szCs w:val="17"/>
          <w:color w:val="auto"/>
        </w:rPr>
      </w:pPr>
    </w:p>
    <w:p>
      <w:pPr>
        <w:jc w:val="both"/>
        <w:ind w:left="320" w:hanging="317"/>
        <w:spacing w:after="0" w:line="261" w:lineRule="auto"/>
        <w:tabs>
          <w:tab w:leader="none" w:pos="31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lateral length for the wells completed during the nine months ended September 30, 2025, was 12,060 feet. Operated completions during the nine months ended September 30, 2025, consisted of 80 Wolfcamp B wells, 77 Lower Spraberry wells, 71 Wolfcamp A wells, 54 Jo Mill wells, 32 Middle Spraberry wells, 22 Dean wells, 13 Upper Spraberry wells, 10 Barnett wells, eight Third Bone Spring wells, seven Wolfcamp D wells and two Second Bone Spring wells.</w:t>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we operated the following wells: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26"/>
        </w:trPr>
        <w:tc>
          <w:tcPr>
            <w:tcW w:w="4020" w:type="dxa"/>
            <w:vAlign w:val="bottom"/>
          </w:tcPr>
          <w:p>
            <w:pPr>
              <w:spacing w:after="0"/>
              <w:rPr>
                <w:sz w:val="19"/>
                <w:szCs w:val="19"/>
                <w:color w:val="auto"/>
              </w:rPr>
            </w:pPr>
          </w:p>
        </w:tc>
        <w:tc>
          <w:tcPr>
            <w:tcW w:w="16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w w:val="94"/>
              </w:rPr>
              <w:t>Vertical Wells</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Horizontal Wells</w:t>
            </w:r>
          </w:p>
        </w:tc>
        <w:tc>
          <w:tcPr>
            <w:tcW w:w="100" w:type="dxa"/>
            <w:vAlign w:val="bottom"/>
          </w:tcPr>
          <w:p>
            <w:pPr>
              <w:spacing w:after="0"/>
              <w:rPr>
                <w:sz w:val="19"/>
                <w:szCs w:val="19"/>
                <w:color w:val="auto"/>
              </w:rPr>
            </w:pPr>
          </w:p>
        </w:tc>
        <w:tc>
          <w:tcPr>
            <w:tcW w:w="15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Borders>
              <w:bottom w:val="single" w:sz="8" w:color="auto"/>
            </w:tcBorders>
          </w:tcPr>
          <w:p>
            <w:pPr>
              <w:spacing w:after="0"/>
              <w:rPr>
                <w:sz w:val="19"/>
                <w:szCs w:val="19"/>
                <w:color w:val="auto"/>
              </w:rPr>
            </w:pPr>
          </w:p>
        </w:tc>
      </w:tr>
      <w:tr>
        <w:trPr>
          <w:trHeight w:val="226"/>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Area:</w:t>
            </w:r>
          </w:p>
        </w:tc>
        <w:tc>
          <w:tcPr>
            <w:tcW w:w="16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9"/>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Midland Basin</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w:t>
            </w:r>
          </w:p>
        </w:tc>
      </w:tr>
      <w:tr>
        <w:trPr>
          <w:trHeight w:val="23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Basin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26"/>
        </w:trPr>
        <w:tc>
          <w:tcPr>
            <w:tcW w:w="4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9,227</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we and Viper held interests in 54,868 gross (9,571 net) wells, including 1,988 gross (332 net) wells in which we have a non-operated working interest.</w:t>
      </w:r>
    </w:p>
    <w:p>
      <w:pPr>
        <w:spacing w:after="0" w:line="17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Consistent with our previously announced expected levels of activity for the remainder of 2025, we ran 13 rigs and five completion crews during the third quarter of 2025 to execute on our capital and operating plan, including holding oil production volumes relatively flat. While our development plan during the first two quarters of 2025 had reduced capital expenditure budgets compared to our original 2025 guidance, capital expenditures are expected to increase moderately in the fourth quarter of 2025 as part of our effort to hold oil production relatively flat. A core tenet of our plan to remain disciplined on our expenditures and moderating oil production is maximizing the consistency of our ability to operate efficiently at scale.</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Guidance</w:t>
      </w:r>
    </w:p>
    <w:p>
      <w:pPr>
        <w:spacing w:after="0" w:line="24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revised development plan is presented below. Under the revised development plan, we target maintaining maximum operational flexibility in anticipation of the market revealing a stronger signal regarding the future of commodity prices. We currently plan to continue moderating oil production volumes through the end of 2025, while also improving per share metrics through increased efficiency and the use of our enhanced stock repurchase plan. As a result, we are raising our annual BOE guidance by approximately 2%, primarily to reflect the successful closing of the Sitio merger, coupled with continued improvements in gas capture efficiency. Additionally, we expect to reduce our debt in the fourth quarter of 2025 through the generation of cash flow from operations as well as from proceeds from the divestiture of non-core assets.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updated estimates of certain financial and operating results for the full year of 2025 and the fourth quarter of 2025:</w:t>
      </w:r>
    </w:p>
    <w:p>
      <w:pPr>
        <w:spacing w:after="0" w:line="298"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2025 Guidance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production - MBOE/d</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910 - 920</w:t>
            </w:r>
          </w:p>
        </w:tc>
        <w:tc>
          <w:tcPr>
            <w:tcW w:w="21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(from 890 - 910)</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Oil production - MBO/d</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495 - 498</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(from 485 - 492)</w:t>
            </w:r>
          </w:p>
        </w:tc>
      </w:tr>
      <w:tr>
        <w:trPr>
          <w:trHeight w:val="26"/>
        </w:trPr>
        <w:tc>
          <w:tcPr>
            <w:tcW w:w="7440" w:type="dxa"/>
            <w:vAlign w:val="bottom"/>
          </w:tcPr>
          <w:p>
            <w:pPr>
              <w:spacing w:after="0"/>
              <w:rPr>
                <w:sz w:val="2"/>
                <w:szCs w:val="2"/>
                <w:color w:val="auto"/>
              </w:rPr>
            </w:pPr>
          </w:p>
        </w:tc>
        <w:tc>
          <w:tcPr>
            <w:tcW w:w="3800" w:type="dxa"/>
            <w:vAlign w:val="bottom"/>
            <w:gridSpan w:val="3"/>
          </w:tcPr>
          <w:p>
            <w:pPr>
              <w:spacing w:after="0"/>
              <w:rPr>
                <w:sz w:val="2"/>
                <w:szCs w:val="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Q4 2025 oil production - MBO/d (total - MBOE/d)</w:t>
            </w:r>
          </w:p>
        </w:tc>
        <w:tc>
          <w:tcPr>
            <w:tcW w:w="3800" w:type="dxa"/>
            <w:vAlign w:val="bottom"/>
            <w:tcBorders>
              <w:bottom w:val="single" w:sz="8" w:color="CCEEFF"/>
            </w:tcBorders>
            <w:gridSpan w:val="3"/>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rPr>
              <w:t>505 - 515 (927 - 963)</w:t>
            </w:r>
          </w:p>
        </w:tc>
      </w:tr>
      <w:tr>
        <w:trPr>
          <w:trHeight w:val="246"/>
        </w:trPr>
        <w:tc>
          <w:tcPr>
            <w:tcW w:w="7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3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(Unit costs $/BOE):</w:t>
            </w:r>
          </w:p>
        </w:tc>
        <w:tc>
          <w:tcPr>
            <w:tcW w:w="1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operating expenses, including workovers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$5.40 - $5.70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(from $5.30 - $5.70)</w:t>
            </w:r>
          </w:p>
        </w:tc>
      </w:tr>
      <w:tr>
        <w:trPr>
          <w:trHeight w:val="26"/>
        </w:trPr>
        <w:tc>
          <w:tcPr>
            <w:tcW w:w="74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 - cash</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$0.75</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$0.35</w:t>
            </w:r>
          </w:p>
        </w:tc>
      </w:tr>
      <w:tr>
        <w:trPr>
          <w:trHeight w:val="26"/>
        </w:trPr>
        <w:tc>
          <w:tcPr>
            <w:tcW w:w="74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940" w:type="dxa"/>
            <w:vAlign w:val="bottom"/>
          </w:tcPr>
          <w:p>
            <w:pPr>
              <w:spacing w:after="0"/>
              <w:rPr>
                <w:sz w:val="2"/>
                <w:szCs w:val="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$15.50</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$0.80</w:t>
            </w:r>
          </w:p>
        </w:tc>
      </w:tr>
      <w:tr>
        <w:trPr>
          <w:trHeight w:val="26"/>
        </w:trPr>
        <w:tc>
          <w:tcPr>
            <w:tcW w:w="7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processing and transportation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 $1.60</w:t>
            </w: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(from $1.60 - $1.75)</w:t>
            </w:r>
          </w:p>
        </w:tc>
      </w:tr>
      <w:tr>
        <w:trPr>
          <w:trHeight w:val="246"/>
        </w:trPr>
        <w:tc>
          <w:tcPr>
            <w:tcW w:w="7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140" w:type="dxa"/>
            <w:vAlign w:val="bottom"/>
            <w:gridSpan w:val="2"/>
          </w:tcPr>
          <w:p>
            <w:pPr>
              <w:spacing w:after="0"/>
              <w:rPr>
                <w:sz w:val="21"/>
                <w:szCs w:val="21"/>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and ad valorem taxes (% of revenue)</w:t>
            </w:r>
          </w:p>
        </w:tc>
        <w:tc>
          <w:tcPr>
            <w:tcW w:w="166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jc w:val="right"/>
              <w:ind w:right="1654"/>
              <w:spacing w:after="0"/>
              <w:rPr>
                <w:sz w:val="20"/>
                <w:szCs w:val="20"/>
                <w:color w:val="auto"/>
              </w:rPr>
            </w:pPr>
            <w:r>
              <w:rPr>
                <w:rFonts w:ascii="Times New Roman" w:cs="Times New Roman" w:eastAsia="Times New Roman" w:hAnsi="Times New Roman"/>
                <w:sz w:val="17"/>
                <w:szCs w:val="17"/>
                <w:color w:val="auto"/>
              </w:rPr>
              <w:t>~7%</w:t>
            </w:r>
          </w:p>
        </w:tc>
      </w:tr>
      <w:tr>
        <w:trPr>
          <w:trHeight w:val="30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Q4 2025 cash taxes (in millions)</w:t>
            </w:r>
            <w:r>
              <w:rPr>
                <w:rFonts w:ascii="Times New Roman" w:cs="Times New Roman" w:eastAsia="Times New Roman" w:hAnsi="Times New Roman"/>
                <w:sz w:val="22"/>
                <w:szCs w:val="22"/>
                <w:color w:val="auto"/>
                <w:vertAlign w:val="superscript"/>
              </w:rPr>
              <w:t>(1)(2)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$350</w:t>
            </w:r>
          </w:p>
        </w:tc>
      </w:tr>
    </w:tbl>
    <w:p>
      <w:pPr>
        <w:spacing w:after="0" w:line="31"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approximately $175 million in tax impacts from asset divestitures in the fourth quarter.</w:t>
      </w:r>
    </w:p>
    <w:p>
      <w:pPr>
        <w:spacing w:after="0" w:line="3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estimated favorable impact on the year-to-date period of tax legislation enacted in the third quarter.</w:t>
      </w:r>
    </w:p>
    <w:p>
      <w:pPr>
        <w:spacing w:after="0" w:line="200" w:lineRule="exact"/>
        <w:rPr>
          <w:sz w:val="20"/>
          <w:szCs w:val="20"/>
          <w:color w:val="auto"/>
        </w:rPr>
      </w:pP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2025, and June 30, 2025</w:t>
      </w:r>
    </w:p>
    <w:p>
      <w:pPr>
        <w:spacing w:after="0" w:line="246" w:lineRule="exact"/>
        <w:rPr>
          <w:sz w:val="20"/>
          <w:szCs w:val="20"/>
          <w:color w:val="auto"/>
        </w:rPr>
      </w:pPr>
    </w:p>
    <w:p>
      <w:pPr>
        <w:jc w:val="both"/>
        <w:ind w:firstLine="621"/>
        <w:spacing w:after="0" w:line="265" w:lineRule="auto"/>
        <w:rPr>
          <w:sz w:val="20"/>
          <w:szCs w:val="20"/>
          <w:color w:val="auto"/>
        </w:rPr>
      </w:pPr>
      <w:r>
        <w:rPr>
          <w:rFonts w:ascii="Times New Roman" w:cs="Times New Roman" w:eastAsia="Times New Roman" w:hAnsi="Times New Roman"/>
          <w:sz w:val="17"/>
          <w:szCs w:val="17"/>
          <w:color w:val="auto"/>
        </w:rPr>
        <w:t>As noted in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0000FF"/>
        </w:rPr>
        <w:t>Commodity Prices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selected operating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9"/>
                <w:szCs w:val="19"/>
                <w:color w:val="auto"/>
              </w:rPr>
            </w:pPr>
          </w:p>
        </w:tc>
        <w:tc>
          <w:tcPr>
            <w:tcW w:w="15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0"/>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(In millions):</w:t>
            </w: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3"/>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Oil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9"/>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 sales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33"/>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liquid sales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6"/>
        </w:trPr>
        <w:tc>
          <w:tcPr>
            <w:tcW w:w="7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7"/>
        </w:trPr>
        <w:tc>
          <w:tcPr>
            <w:tcW w:w="75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oil, natural gas and natural gas liquid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3"/>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Oil (MBbls)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45,108</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9"/>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Natural gas (MMcf)</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110,119</w:t>
            </w:r>
          </w:p>
        </w:tc>
      </w:tr>
      <w:tr>
        <w:trPr>
          <w:trHeight w:val="233"/>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20,248</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86,751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83,709</w:t>
            </w:r>
          </w:p>
        </w:tc>
      </w:tr>
      <w:tr>
        <w:trPr>
          <w:trHeight w:val="207"/>
        </w:trPr>
        <w:tc>
          <w:tcPr>
            <w:tcW w:w="7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Daily oil volumes (BO/d)</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503,750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495,692</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Daily combined volumes (BOE/d)</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942,946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919,879</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7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4"/>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48"/>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Oil ($ per Bbl)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w:t>
            </w:r>
          </w:p>
        </w:tc>
      </w:tr>
      <w:tr>
        <w:trPr>
          <w:trHeight w:val="233"/>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Natural gas ($ per Mcf)</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9"/>
        </w:trPr>
        <w:tc>
          <w:tcPr>
            <w:tcW w:w="7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Natural gas liquids ($ per Bbl)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w:t>
            </w:r>
          </w:p>
        </w:tc>
      </w:tr>
      <w:tr>
        <w:trPr>
          <w:trHeight w:val="233"/>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Combined ($ per BOE)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39.73</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39.61</w:t>
            </w:r>
          </w:p>
        </w:tc>
      </w:tr>
      <w:tr>
        <w:trPr>
          <w:trHeight w:val="26"/>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7"/>
        </w:trPr>
        <w:tc>
          <w:tcPr>
            <w:tcW w:w="7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59"/>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Oil, hedged ($ per Bbl)</w:t>
            </w:r>
            <w:r>
              <w:rPr>
                <w:rFonts w:ascii="Times New Roman" w:cs="Times New Roman" w:eastAsia="Times New Roman" w:hAnsi="Times New Roman"/>
                <w:sz w:val="22"/>
                <w:szCs w:val="22"/>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63.70</w:t>
            </w:r>
          </w:p>
        </w:tc>
        <w:tc>
          <w:tcPr>
            <w:tcW w:w="8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w:t>
            </w:r>
          </w:p>
        </w:tc>
      </w:tr>
      <w:tr>
        <w:trPr>
          <w:trHeight w:val="25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Natural gas, hedged ($ per Mcf)</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59"/>
        </w:trPr>
        <w:tc>
          <w:tcPr>
            <w:tcW w:w="7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Natural gas liquids, hedged ($ per Bbl)</w:t>
            </w:r>
            <w:r>
              <w:rPr>
                <w:rFonts w:ascii="Times New Roman" w:cs="Times New Roman" w:eastAsia="Times New Roman" w:hAnsi="Times New Roman"/>
                <w:sz w:val="22"/>
                <w:szCs w:val="22"/>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8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w:t>
            </w:r>
          </w:p>
        </w:tc>
      </w:tr>
      <w:tr>
        <w:trPr>
          <w:trHeight w:val="25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Average price, hedged ($ per BOE)</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39.89</w:t>
            </w:r>
          </w:p>
        </w:tc>
      </w:tr>
    </w:tbl>
    <w:p>
      <w:pPr>
        <w:spacing w:after="0" w:line="72"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Bbl equivalents are calculated using a conversion rate of six Mcf per Bbl.</w:t>
      </w:r>
    </w:p>
    <w:p>
      <w:pPr>
        <w:spacing w:after="0" w:line="30" w:lineRule="exact"/>
        <w:rPr>
          <w:rFonts w:ascii="Times New Roman" w:cs="Times New Roman" w:eastAsia="Times New Roman" w:hAnsi="Times New Roman"/>
          <w:sz w:val="17"/>
          <w:szCs w:val="17"/>
          <w:color w:val="auto"/>
        </w:rPr>
      </w:pPr>
    </w:p>
    <w:p>
      <w:pPr>
        <w:jc w:val="both"/>
        <w:ind w:left="320" w:hanging="317"/>
        <w:spacing w:after="0" w:line="261" w:lineRule="auto"/>
        <w:tabs>
          <w:tab w:leader="none" w:pos="31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193" w:lineRule="exact"/>
        <w:rPr>
          <w:sz w:val="20"/>
          <w:szCs w:val="20"/>
          <w:color w:val="auto"/>
        </w:rPr>
      </w:pPr>
    </w:p>
    <w:p>
      <w:pPr>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Production Data. </w:t>
      </w:r>
      <w:r>
        <w:rPr>
          <w:rFonts w:ascii="Times New Roman" w:cs="Times New Roman" w:eastAsia="Times New Roman" w:hAnsi="Times New Roman"/>
          <w:sz w:val="17"/>
          <w:szCs w:val="17"/>
          <w:color w:val="auto"/>
        </w:rPr>
        <w:t>Substantially all of our revenues are generated through the sale of oil, natural gas and natural gas liquids production. The following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tables provide information on the mix of our production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3960" w:type="dxa"/>
            <w:vAlign w:val="bottom"/>
            <w:tcBorders>
              <w:bottom w:val="single" w:sz="8" w:color="auto"/>
            </w:tcBorders>
            <w:gridSpan w:val="3"/>
          </w:tcPr>
          <w:p>
            <w:pPr>
              <w:jc w:val="right"/>
              <w:ind w:right="1176"/>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280" w:type="dxa"/>
            <w:vAlign w:val="bottom"/>
          </w:tcPr>
          <w:p>
            <w:pPr>
              <w:spacing w:after="0"/>
              <w:rPr>
                <w:sz w:val="19"/>
                <w:szCs w:val="19"/>
                <w:color w:val="auto"/>
              </w:rPr>
            </w:pPr>
          </w:p>
        </w:tc>
        <w:tc>
          <w:tcPr>
            <w:tcW w:w="20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92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9"/>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(MBbls)</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(MMcf)</w:t>
            </w:r>
          </w:p>
        </w:tc>
        <w:tc>
          <w:tcPr>
            <w:tcW w:w="19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9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22</w:t>
            </w:r>
          </w:p>
        </w:tc>
      </w:tr>
      <w:tr>
        <w:trPr>
          <w:trHeight w:val="26"/>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19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w:t>
            </w:r>
          </w:p>
        </w:tc>
      </w:tr>
      <w:tr>
        <w:trPr>
          <w:trHeight w:val="226"/>
        </w:trPr>
        <w:tc>
          <w:tcPr>
            <w:tcW w:w="72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6"/>
        </w:trPr>
        <w:tc>
          <w:tcPr>
            <w:tcW w:w="72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7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46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w w:val="97"/>
              </w:rPr>
              <w:t>Three Months Ended September 30, 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740" w:type="dxa"/>
            <w:vAlign w:val="bottom"/>
            <w:tcBorders>
              <w:bottom w:val="single" w:sz="8" w:color="auto"/>
            </w:tcBorders>
          </w:tcPr>
          <w:p>
            <w:pPr>
              <w:spacing w:after="0"/>
              <w:rPr>
                <w:sz w:val="18"/>
                <w:szCs w:val="18"/>
                <w:color w:val="auto"/>
              </w:rPr>
            </w:pPr>
          </w:p>
        </w:tc>
      </w:tr>
      <w:tr>
        <w:trPr>
          <w:trHeight w:val="191"/>
        </w:trPr>
        <w:tc>
          <w:tcPr>
            <w:tcW w:w="2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9"/>
        </w:trPr>
        <w:tc>
          <w:tcPr>
            <w:tcW w:w="29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3"/>
        </w:trPr>
        <w:tc>
          <w:tcPr>
            <w:tcW w:w="2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Oil (MBbls)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41,639</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3,417</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45,108</w:t>
            </w:r>
          </w:p>
        </w:tc>
      </w:tr>
      <w:tr>
        <w:trPr>
          <w:trHeight w:val="26"/>
        </w:trPr>
        <w:tc>
          <w:tcPr>
            <w:tcW w:w="2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9"/>
        </w:trPr>
        <w:tc>
          <w:tcPr>
            <w:tcW w:w="2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 (MMcf)</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100,981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110,119</w:t>
            </w:r>
          </w:p>
        </w:tc>
      </w:tr>
      <w:tr>
        <w:trPr>
          <w:trHeight w:val="233"/>
        </w:trPr>
        <w:tc>
          <w:tcPr>
            <w:tcW w:w="2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18,846</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20,248</w:t>
            </w:r>
          </w:p>
        </w:tc>
      </w:tr>
      <w:tr>
        <w:trPr>
          <w:trHeight w:val="26"/>
        </w:trPr>
        <w:tc>
          <w:tcPr>
            <w:tcW w:w="2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3"/>
        </w:trPr>
        <w:tc>
          <w:tcPr>
            <w:tcW w:w="2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(MBOE)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86,751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77,315</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6,271</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83,709</w:t>
            </w:r>
          </w:p>
        </w:tc>
      </w:tr>
      <w:tr>
        <w:trPr>
          <w:trHeight w:val="26"/>
        </w:trPr>
        <w:tc>
          <w:tcPr>
            <w:tcW w:w="29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Oil, Natural Gas and Natural Gas Liquids Revenues. </w:t>
      </w:r>
      <w:r>
        <w:rPr>
          <w:rFonts w:ascii="Times New Roman" w:cs="Times New Roman" w:eastAsia="Times New Roman" w:hAnsi="Times New Roman"/>
          <w:sz w:val="17"/>
          <w:szCs w:val="17"/>
          <w:color w:val="auto"/>
        </w:rPr>
        <w:t>Our revenues are a function of oil, natural gas and natural gas liquids production volumes sold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average sales prices received for those volumes.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oil, natural gas and natural gas liquids revenues for the third quarter of 2025 increased by $131 million to $3.4 billion compared to the second quarter of 2025. The increase consisted of $100 million attributable to the 4% growth in our combined production volumes, and $31 million attributable to higher average prices received primarily for our oil production.</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Approximately 53% of the increase in our combined production volumes is attributable to Viper’s Sitio Acquisition. The remainder of production growth is largely attributable to new wells added between periods.</w:t>
      </w:r>
    </w:p>
    <w:p>
      <w:pPr>
        <w:spacing w:after="0" w:line="16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Net Sales of Purchased Oil</w:t>
      </w:r>
      <w:r>
        <w:rPr>
          <w:rFonts w:ascii="Times New Roman" w:cs="Times New Roman" w:eastAsia="Times New Roman" w:hAnsi="Times New Roman"/>
          <w:sz w:val="17"/>
          <w:szCs w:val="17"/>
          <w:color w:val="auto"/>
        </w:rPr>
        <w:t>. We have entered into purchase transactions and separate sales transactions with third parties to satisfy certain of our unused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oil pipeline capacity commitments. The following table presents the net sales of purchased oil from third parties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6"/>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5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9"/>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of purchased oil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Purchased oil expense</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6"/>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7"/>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 of purchased oil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Revenues. </w:t>
      </w:r>
      <w:r>
        <w:rPr>
          <w:rFonts w:ascii="Times New Roman" w:cs="Times New Roman" w:eastAsia="Times New Roman" w:hAnsi="Times New Roman"/>
          <w:sz w:val="17"/>
          <w:szCs w:val="17"/>
          <w:color w:val="auto"/>
        </w:rPr>
        <w:t>The following table presents other insignificant revenue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
        </w:trPr>
        <w:tc>
          <w:tcPr>
            <w:tcW w:w="7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Lease Operating Expenses. </w:t>
      </w:r>
      <w:r>
        <w:rPr>
          <w:rFonts w:ascii="Times New Roman" w:cs="Times New Roman" w:eastAsia="Times New Roman" w:hAnsi="Times New Roman"/>
          <w:sz w:val="17"/>
          <w:szCs w:val="17"/>
          <w:color w:val="auto"/>
        </w:rPr>
        <w:t>The following table shows lease operating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26"/>
        </w:trPr>
        <w:tc>
          <w:tcPr>
            <w:tcW w:w="6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8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8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92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operating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6"/>
        </w:trPr>
        <w:tc>
          <w:tcPr>
            <w:tcW w:w="6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Lease operating expenses increased for the third quarter of 2025 compared to the second quarter of 2025 primarily due to $14 million in additional electrical generation and artificial lift costs and $10 million in additional well workover costs. The remainder of the change is primarily due to the second quarter of 2025 including reductions in prior period water disposal cost estimates for properties acquired in the Endeavor Acquisition.</w:t>
      </w:r>
    </w:p>
    <w:p>
      <w:pPr>
        <w:spacing w:after="0" w:line="3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Production and Ad Valorem Tax Expense. </w:t>
      </w:r>
      <w:r>
        <w:rPr>
          <w:rFonts w:ascii="Times New Roman" w:cs="Times New Roman" w:eastAsia="Times New Roman" w:hAnsi="Times New Roman"/>
          <w:sz w:val="17"/>
          <w:szCs w:val="17"/>
          <w:color w:val="auto"/>
        </w:rPr>
        <w:t>The following table shows production and ad valorem tax expense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Percentage of oil,</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Percentage of oil,</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and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and</w:t>
            </w:r>
          </w:p>
        </w:tc>
        <w:tc>
          <w:tcPr>
            <w:tcW w:w="0" w:type="dxa"/>
            <w:vAlign w:val="bottom"/>
          </w:tcPr>
          <w:p>
            <w:pPr>
              <w:spacing w:after="0"/>
              <w:rPr>
                <w:sz w:val="1"/>
                <w:szCs w:val="1"/>
                <w:color w:val="auto"/>
              </w:rPr>
            </w:pPr>
          </w:p>
        </w:tc>
      </w:tr>
      <w:tr>
        <w:trPr>
          <w:trHeight w:val="155"/>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6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liquids</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liquids</w:t>
            </w:r>
          </w:p>
        </w:tc>
        <w:tc>
          <w:tcPr>
            <w:tcW w:w="0" w:type="dxa"/>
            <w:vAlign w:val="bottom"/>
          </w:tcPr>
          <w:p>
            <w:pPr>
              <w:spacing w:after="0"/>
              <w:rPr>
                <w:sz w:val="1"/>
                <w:szCs w:val="1"/>
                <w:color w:val="auto"/>
              </w:rPr>
            </w:pPr>
          </w:p>
        </w:tc>
      </w:tr>
      <w:tr>
        <w:trPr>
          <w:trHeight w:val="206"/>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0" w:type="dxa"/>
            <w:vAlign w:val="bottom"/>
          </w:tcPr>
          <w:p>
            <w:pPr>
              <w:spacing w:after="0"/>
              <w:rPr>
                <w:sz w:val="1"/>
                <w:szCs w:val="1"/>
                <w:color w:val="auto"/>
              </w:rPr>
            </w:pPr>
          </w:p>
        </w:tc>
      </w:tr>
      <w:tr>
        <w:trPr>
          <w:trHeight w:val="233"/>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3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 valorem taxes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00" w:type="dxa"/>
            <w:vAlign w:val="bottom"/>
          </w:tcPr>
          <w:p>
            <w:pPr>
              <w:spacing w:after="0"/>
              <w:rPr>
                <w:sz w:val="20"/>
                <w:szCs w:val="20"/>
                <w:color w:val="auto"/>
              </w:rPr>
            </w:pPr>
          </w:p>
        </w:tc>
        <w:tc>
          <w:tcPr>
            <w:tcW w:w="15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20"/>
                <w:szCs w:val="20"/>
                <w:color w:val="auto"/>
              </w:rPr>
            </w:pPr>
          </w:p>
        </w:tc>
        <w:tc>
          <w:tcPr>
            <w:tcW w:w="15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production and ad valorem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6.2 %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6.5 %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general, production taxes are directly related to production revenues and are based upon current year commodity prices. Production taxes as a percentage of oil, natural gas and natural gas liquids revenue remained consistent from the second quarter of 2025 to the third quarter of 2025.</w:t>
      </w:r>
    </w:p>
    <w:p>
      <w:pPr>
        <w:spacing w:after="0" w:line="17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Ad valorem taxes are based, among other factors, on property values driven by prior year commodity prices. Ad valorem taxes during the third quarter of 2025 compared to the second quarter of 2025 reflect a $14 million reduction to the accrual for 2024 based on actual assessments received in the third quarter of 2025 and other individually insignificant changes, which were partially offset by a $2 million increase related to properties acquired in Viper’s Sitio Acquisition.</w:t>
      </w:r>
    </w:p>
    <w:p>
      <w:pPr>
        <w:spacing w:after="0" w:line="185"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Gathering, Processing and Transportation Expense. </w:t>
      </w:r>
      <w:r>
        <w:rPr>
          <w:rFonts w:ascii="Times New Roman" w:cs="Times New Roman" w:eastAsia="Times New Roman" w:hAnsi="Times New Roman"/>
          <w:sz w:val="17"/>
          <w:szCs w:val="17"/>
          <w:color w:val="auto"/>
        </w:rPr>
        <w:t>The following table shows gathering, processing and transportation expenses for the periods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6"/>
        </w:trPr>
        <w:tc>
          <w:tcPr>
            <w:tcW w:w="6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6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8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processing and transportation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6"/>
        </w:trPr>
        <w:tc>
          <w:tcPr>
            <w:tcW w:w="6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decrease in gathering, processing and transportation expenses primarily reflects a net reduction of $22 million due primarily to the second quarter of 2025 including $11 million of gathering and transportation charges related to the Double Eagle Acquisition, which were subsequently reclassified to revenue in the third quarter of 2025 as we integrated and conformed contracts to the Company’s financial statement presentation and other individually insignificant items.</w:t>
      </w:r>
    </w:p>
    <w:p>
      <w:pPr>
        <w:spacing w:after="0" w:line="185"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Depletion, Amortization and Accretion. </w:t>
      </w:r>
      <w:r>
        <w:rPr>
          <w:rFonts w:ascii="Times New Roman" w:cs="Times New Roman" w:eastAsia="Times New Roman" w:hAnsi="Times New Roman"/>
          <w:sz w:val="17"/>
          <w:szCs w:val="17"/>
          <w:color w:val="auto"/>
        </w:rPr>
        <w:t>The following table provides the components of our depreciation, depletion, amortization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accretion expense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BOE amounts)</w:t>
            </w:r>
          </w:p>
        </w:tc>
        <w:tc>
          <w:tcPr>
            <w:tcW w:w="2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Depletion of proved oil and natural gas properties</w:t>
            </w:r>
          </w:p>
        </w:tc>
        <w:tc>
          <w:tcPr>
            <w:tcW w:w="2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of other property and equipment</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6"/>
        </w:trPr>
        <w:tc>
          <w:tcPr>
            <w:tcW w:w="5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amortization</w:t>
            </w:r>
          </w:p>
        </w:tc>
        <w:tc>
          <w:tcPr>
            <w:tcW w:w="2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retirement obligation accretion</w:t>
            </w: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6"/>
        </w:trPr>
        <w:tc>
          <w:tcPr>
            <w:tcW w:w="5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Oil and natural gas properties depletion rate per BOE</w:t>
            </w:r>
          </w:p>
        </w:tc>
        <w:tc>
          <w:tcPr>
            <w:tcW w:w="2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tcPr>
          <w:p>
            <w:pPr>
              <w:spacing w:after="0"/>
              <w:rPr>
                <w:sz w:val="17"/>
                <w:szCs w:val="17"/>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w:t>
            </w:r>
          </w:p>
        </w:tc>
      </w:tr>
      <w:tr>
        <w:trPr>
          <w:trHeight w:val="26"/>
        </w:trPr>
        <w:tc>
          <w:tcPr>
            <w:tcW w:w="5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 per BOE</w:t>
            </w:r>
          </w:p>
        </w:tc>
        <w:tc>
          <w:tcPr>
            <w:tcW w:w="2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r>
      <w:tr>
        <w:trPr>
          <w:trHeight w:val="712"/>
        </w:trPr>
        <w:tc>
          <w:tcPr>
            <w:tcW w:w="5120" w:type="dxa"/>
            <w:vAlign w:val="bottom"/>
          </w:tcPr>
          <w:p>
            <w:pPr>
              <w:spacing w:after="0"/>
              <w:rPr>
                <w:sz w:val="24"/>
                <w:szCs w:val="24"/>
                <w:color w:val="auto"/>
              </w:rPr>
            </w:pPr>
          </w:p>
        </w:tc>
        <w:tc>
          <w:tcPr>
            <w:tcW w:w="2480" w:type="dxa"/>
            <w:vAlign w:val="bottom"/>
          </w:tcPr>
          <w:p>
            <w:pPr>
              <w:jc w:val="right"/>
              <w:ind w:right="1494"/>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5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The following table shows general and administrative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6"/>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2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22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9"/>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6"/>
        </w:trPr>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Operating Costs and Expenses. </w:t>
      </w:r>
      <w:r>
        <w:rPr>
          <w:rFonts w:ascii="Times New Roman" w:cs="Times New Roman" w:eastAsia="Times New Roman" w:hAnsi="Times New Roman"/>
          <w:sz w:val="17"/>
          <w:szCs w:val="17"/>
          <w:color w:val="auto"/>
        </w:rPr>
        <w:t>The following table shows other operating costs and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7"/>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50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9"/>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and transaction expenses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bl>
    <w:p>
      <w:pPr>
        <w:spacing w:after="0" w:line="31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Merger and transaction expenses for the third quarter of 2025 primarily consisted of (i) approximately $15 million of employee severance payments made in connection with Viper’s Sitio Acquisition, and (ii) other individually insignificant items. Merger and transaction expenses for the second quarter of 2025 primarily consisted of (i) $29 million of advisory, legal and filing fees related to the 2025 Drop Down, and (ii) $13 million of employee severance and other costs incurred in connection with the Endeavor Acquisition.</w:t>
      </w:r>
    </w:p>
    <w:p>
      <w:pPr>
        <w:spacing w:after="0" w:line="190"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 Instruments. </w:t>
      </w:r>
      <w:r>
        <w:rPr>
          <w:rFonts w:ascii="Times New Roman" w:cs="Times New Roman" w:eastAsia="Times New Roman" w:hAnsi="Times New Roman"/>
          <w:sz w:val="17"/>
          <w:szCs w:val="17"/>
          <w:color w:val="auto"/>
        </w:rPr>
        <w:t>The following table shows the net gain (loss) on derivative instruments and the net cash receipts (payments) on settlements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derivative instruments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7"/>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50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5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 net</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31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received (paid) on settlements</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bl>
    <w:p>
      <w:pPr>
        <w:spacing w:after="0" w:line="18" w:lineRule="exact"/>
        <w:rPr>
          <w:sz w:val="20"/>
          <w:szCs w:val="20"/>
          <w:color w:val="auto"/>
        </w:rPr>
      </w:pPr>
    </w:p>
    <w:p>
      <w:pPr>
        <w:ind w:left="320" w:hanging="317"/>
        <w:spacing w:after="0" w:line="291" w:lineRule="auto"/>
        <w:tabs>
          <w:tab w:leader="none" w:pos="31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months ended September 30, 2025, and June 30, 2025, include cash paid on interest rate swaps terminated prior to their contractual maturity of $15 million, and $52 million, respectively.</w:t>
      </w:r>
    </w:p>
    <w:p>
      <w:pPr>
        <w:spacing w:after="0" w:line="17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change from a loss to a gain on derivative instruments for the third quarter of 2025 compared to the second quarter of 2025 primarily reflects (i) a $330 million increase in the value of our unsettled natural gas contracts due to a decrease in market prices for natural gas compared to our contract prices, (ii) a $51 million increase in cash received on the settlement of natural gas contracts, (iii) a $37 million reduction in cash payments made to partially terminate $150 million of notional amount of our interest rate swaps during the third quarter of 2025 compared to partially terminating $450 million of notional amount of interest rate swaps during the second quarter of 2025, and (iv) other individually insignificant changes. These gains were partially offset by losses attributable to</w:t>
      </w:r>
    </w:p>
    <w:p>
      <w:pPr>
        <w:spacing w:after="0" w:line="3" w:lineRule="exact"/>
        <w:rPr>
          <w:sz w:val="20"/>
          <w:szCs w:val="20"/>
          <w:color w:val="auto"/>
        </w:rPr>
      </w:pPr>
    </w:p>
    <w:p>
      <w:pPr>
        <w:ind w:firstLine="3"/>
        <w:spacing w:after="0" w:line="268" w:lineRule="auto"/>
        <w:tabs>
          <w:tab w:leader="none" w:pos="22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$64 million decrease in the value of our unsettled oil contracts due to an increase in market prices for oil compared to our contract prices, and (ii) a $53 million reduction in the value of our remaining interest rate swap contracts due to the early termination of additional notional value discussed above.</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13—</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 for further details regarding our derivative instruments.</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Income (Expense). </w:t>
      </w:r>
      <w:r>
        <w:rPr>
          <w:rFonts w:ascii="Times New Roman" w:cs="Times New Roman" w:eastAsia="Times New Roman" w:hAnsi="Times New Roman"/>
          <w:sz w:val="17"/>
          <w:szCs w:val="17"/>
          <w:color w:val="auto"/>
        </w:rPr>
        <w:t>The following table shows other income and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6"/>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6"/>
        </w:trPr>
        <w:tc>
          <w:tcPr>
            <w:tcW w:w="4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3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equity investments, net</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504"/>
        </w:trPr>
        <w:tc>
          <w:tcPr>
            <w:tcW w:w="4420" w:type="dxa"/>
            <w:vAlign w:val="bottom"/>
          </w:tcPr>
          <w:p>
            <w:pPr>
              <w:spacing w:after="0"/>
              <w:rPr>
                <w:sz w:val="24"/>
                <w:szCs w:val="24"/>
                <w:color w:val="auto"/>
              </w:rPr>
            </w:pPr>
          </w:p>
        </w:tc>
        <w:tc>
          <w:tcPr>
            <w:tcW w:w="3180" w:type="dxa"/>
            <w:vAlign w:val="bottom"/>
          </w:tcPr>
          <w:p>
            <w:pPr>
              <w:jc w:val="right"/>
              <w:ind w:right="1494"/>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44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increase in interest expense, net for the third quarter of 2025 compared to the second quarter of 2025 primarily consists of (i) $16 million from the Viper 2025 Notes issued in July 2025, (ii) an $8 million decrease in capitalized interest costs, which increased interest expense, and (iii) $3 million of interest expense on the Viper Term Loan issued in connection with Viper’s Sitio Acquisition. These increases were partially offset by reductions of (i) $6 million attributable to Viper’s redemption of the Viper 2031 Notes, (ii) $5 million attributable to the repayment of the Tranche A Loans in May 2025, (iii) $5 million on the Company’s revolving credit facility due to lower average outstanding borrowings during the third quarter of 2025, and (iv) other individually insignificant changes.</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 for further details regarding outstanding borrowings.</w:t>
      </w:r>
    </w:p>
    <w:p>
      <w:pPr>
        <w:spacing w:after="0" w:line="24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increase in other income (expense), net for the third quarter of 2025 compared to the second quarter of 2025 is primarily due to the third quarter of 2025 including (i) a $99 million gain on the sale of an equity method investment, (ii) a net gain of $23 million related to the receipt of additional proceeds in connection with the WTG Midstream Transaction, and (iii) other individually insignificant offsetting items.</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of the notes to the condensed consolidated financial statements for further details regarding the Company’s divestiture activity.</w:t>
      </w:r>
    </w:p>
    <w:p>
      <w:pPr>
        <w:spacing w:after="0" w:line="17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loss on extinguishment of debt in the third quarter of 2025 of $32 million was recorded on the redemption of the Viper 2031 Notes. The gain on extinguishment of debt in the second quarter of 2025 is due to the Company opportunistically repurchasing an aggregate principal amount of $252 million of its senior notes for total cash consideration, including accrued interest paid, of approximately $196 million.</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 for further details regarding the Company’s retirement of a portion of its senior notes during the third quarter of 2025.</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Provision for (Benefit from) Income Taxes. </w:t>
      </w:r>
      <w:r>
        <w:rPr>
          <w:rFonts w:ascii="Times New Roman" w:cs="Times New Roman" w:eastAsia="Times New Roman" w:hAnsi="Times New Roman"/>
          <w:sz w:val="17"/>
          <w:szCs w:val="17"/>
          <w:color w:val="auto"/>
        </w:rPr>
        <w:t>The following table shows the provision for (benefit from) income taxes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Pr>
          <w:p>
            <w:pPr>
              <w:spacing w:after="0"/>
              <w:rPr>
                <w:sz w:val="19"/>
                <w:szCs w:val="19"/>
                <w:color w:val="auto"/>
              </w:rPr>
            </w:pP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3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6"/>
        </w:trPr>
        <w:tc>
          <w:tcPr>
            <w:tcW w:w="7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change in our income tax provision for the third quarter of 2025 compared to the second quarter of 2025 was primarily due to the increase in pre-tax income between the periods which resulted largely from gains on derivative contracts and gains on the divestiture of equity method investments recorded during the third quarter of 2025 as discussed above. See Note 12—</w:t>
      </w:r>
      <w:r>
        <w:rPr>
          <w:rFonts w:ascii="Times New Roman" w:cs="Times New Roman" w:eastAsia="Times New Roman" w:hAnsi="Times New Roman"/>
          <w:sz w:val="17"/>
          <w:szCs w:val="17"/>
          <w:u w:val="single" w:color="auto"/>
          <w:color w:val="0000FF"/>
        </w:rPr>
        <w:t>Income Taxes</w:t>
      </w:r>
      <w:r>
        <w:rPr>
          <w:rFonts w:ascii="Times New Roman" w:cs="Times New Roman" w:eastAsia="Times New Roman" w:hAnsi="Times New Roman"/>
          <w:sz w:val="17"/>
          <w:szCs w:val="17"/>
          <w:color w:val="auto"/>
        </w:rPr>
        <w:t xml:space="preserve"> of the notes to the condensed consolidated financial statements for further discussion of our income tax expense.</w:t>
      </w:r>
    </w:p>
    <w:p>
      <w:pPr>
        <w:spacing w:after="0" w:line="3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2025, and 2024</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selected operating data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8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(In millions):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3"/>
        </w:trPr>
        <w:tc>
          <w:tcPr>
            <w:tcW w:w="8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Oil sales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9"/>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 sales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3"/>
        </w:trPr>
        <w:tc>
          <w:tcPr>
            <w:tcW w:w="8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liquid sales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6"/>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oil, natural gas and natural gas liquid revenues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3"/>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Oil (MBbls)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9"/>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Natural gas (MMcf)</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168,431</w:t>
            </w:r>
          </w:p>
        </w:tc>
      </w:tr>
      <w:tr>
        <w:trPr>
          <w:trHeight w:val="233"/>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30,085</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9"/>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Combined volumes (MBOE)</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137,697</w:t>
            </w:r>
          </w:p>
        </w:tc>
      </w:tr>
      <w:tr>
        <w:trPr>
          <w:trHeight w:val="246"/>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Daily oil volumes (BO/d)</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491,897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290,292</w:t>
            </w:r>
          </w:p>
        </w:tc>
      </w:tr>
      <w:tr>
        <w:trPr>
          <w:trHeight w:val="233"/>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Daily combined volumes (BOE/d)</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904,832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502,544</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8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Oil ($ per Bbl)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w:t>
            </w:r>
          </w:p>
        </w:tc>
      </w:tr>
      <w:tr>
        <w:trPr>
          <w:trHeight w:val="233"/>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Natural gas ($ per Mcf)</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9"/>
        </w:trPr>
        <w:tc>
          <w:tcPr>
            <w:tcW w:w="8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Natural gas liquids ($ per Bbl)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r>
      <w:tr>
        <w:trPr>
          <w:trHeight w:val="233"/>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Combined ($ per BOE)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48.14</w:t>
            </w:r>
          </w:p>
        </w:tc>
      </w:tr>
      <w:tr>
        <w:trPr>
          <w:trHeight w:val="26"/>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6"/>
        </w:trPr>
        <w:tc>
          <w:tcPr>
            <w:tcW w:w="8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9"/>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Oil, hedged ($ per Bbl)</w:t>
            </w:r>
            <w:r>
              <w:rPr>
                <w:rFonts w:ascii="Times New Roman" w:cs="Times New Roman" w:eastAsia="Times New Roman" w:hAnsi="Times New Roman"/>
                <w:sz w:val="22"/>
                <w:szCs w:val="22"/>
                <w:color w:val="auto"/>
                <w:vertAlign w:val="superscript"/>
              </w:rPr>
              <w:t>(2)</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65.27</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74.86</w:t>
            </w:r>
          </w:p>
        </w:tc>
      </w:tr>
      <w:tr>
        <w:trPr>
          <w:trHeight w:val="259"/>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Natural gas, hedged ($ per Mcf)</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59"/>
        </w:trPr>
        <w:tc>
          <w:tcPr>
            <w:tcW w:w="8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Natural gas liquids, hedged ($ per Bbl)</w:t>
            </w:r>
            <w:r>
              <w:rPr>
                <w:rFonts w:ascii="Times New Roman" w:cs="Times New Roman" w:eastAsia="Times New Roman" w:hAnsi="Times New Roman"/>
                <w:sz w:val="22"/>
                <w:szCs w:val="22"/>
                <w:color w:val="auto"/>
                <w:vertAlign w:val="superscript"/>
              </w:rPr>
              <w:t>(2)</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10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r>
      <w:tr>
        <w:trPr>
          <w:trHeight w:val="259"/>
        </w:trPr>
        <w:tc>
          <w:tcPr>
            <w:tcW w:w="8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Average price, hedged ($ per BOE)</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w:t>
            </w:r>
          </w:p>
        </w:tc>
      </w:tr>
    </w:tbl>
    <w:p>
      <w:pPr>
        <w:spacing w:after="0" w:line="72"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Bbl equivalents are calculated using a conversion rate of six Mcf per Bbl.</w:t>
      </w:r>
    </w:p>
    <w:p>
      <w:pPr>
        <w:spacing w:after="0" w:line="30" w:lineRule="exact"/>
        <w:rPr>
          <w:rFonts w:ascii="Times New Roman" w:cs="Times New Roman" w:eastAsia="Times New Roman" w:hAnsi="Times New Roman"/>
          <w:sz w:val="17"/>
          <w:szCs w:val="17"/>
          <w:color w:val="auto"/>
        </w:rPr>
      </w:pPr>
    </w:p>
    <w:p>
      <w:pPr>
        <w:jc w:val="both"/>
        <w:ind w:left="320" w:hanging="317"/>
        <w:spacing w:after="0" w:line="261" w:lineRule="auto"/>
        <w:tabs>
          <w:tab w:leader="none" w:pos="31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193" w:lineRule="exact"/>
        <w:rPr>
          <w:sz w:val="20"/>
          <w:szCs w:val="20"/>
          <w:color w:val="auto"/>
        </w:rPr>
      </w:pPr>
    </w:p>
    <w:p>
      <w:pPr>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Production Data. </w:t>
      </w:r>
      <w:r>
        <w:rPr>
          <w:rFonts w:ascii="Times New Roman" w:cs="Times New Roman" w:eastAsia="Times New Roman" w:hAnsi="Times New Roman"/>
          <w:sz w:val="17"/>
          <w:szCs w:val="17"/>
          <w:color w:val="auto"/>
        </w:rPr>
        <w:t>Substantially all of our revenues are generated through the sale of oil, natural gas and natural gas liquids production. The following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tables set forth the mix of our production data by product and basin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(MBbls)</w:t>
            </w:r>
          </w:p>
        </w:tc>
        <w:tc>
          <w:tcPr>
            <w:tcW w:w="5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r>
        <w:trPr>
          <w:trHeight w:val="233"/>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Natural gas (MMcf)</w:t>
            </w:r>
          </w:p>
        </w:tc>
        <w:tc>
          <w:tcPr>
            <w:tcW w:w="56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16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40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6"/>
        </w:trPr>
        <w:tc>
          <w:tcPr>
            <w:tcW w:w="39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4000" w:type="dxa"/>
            <w:vAlign w:val="bottom"/>
            <w:vMerge w:val="restart"/>
          </w:tcPr>
          <w:p>
            <w:pPr>
              <w:jc w:val="right"/>
              <w:ind w:right="1794"/>
              <w:spacing w:after="0"/>
              <w:rPr>
                <w:sz w:val="20"/>
                <w:szCs w:val="20"/>
                <w:color w:val="auto"/>
              </w:rPr>
            </w:pPr>
            <w:r>
              <w:rPr>
                <w:rFonts w:ascii="Times New Roman" w:cs="Times New Roman" w:eastAsia="Times New Roman" w:hAnsi="Times New Roman"/>
                <w:sz w:val="17"/>
                <w:szCs w:val="17"/>
                <w:color w:val="auto"/>
              </w:rPr>
              <w:t>43</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00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39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9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42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 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 2024</w:t>
            </w:r>
          </w:p>
        </w:tc>
        <w:tc>
          <w:tcPr>
            <w:tcW w:w="680" w:type="dxa"/>
            <w:vAlign w:val="bottom"/>
            <w:tcBorders>
              <w:bottom w:val="single" w:sz="8" w:color="auto"/>
            </w:tcBorders>
          </w:tcPr>
          <w:p>
            <w:pPr>
              <w:spacing w:after="0"/>
              <w:rPr>
                <w:sz w:val="18"/>
                <w:szCs w:val="18"/>
                <w:color w:val="auto"/>
              </w:rPr>
            </w:pPr>
          </w:p>
        </w:tc>
      </w:tr>
      <w:tr>
        <w:trPr>
          <w:trHeight w:val="191"/>
        </w:trPr>
        <w:tc>
          <w:tcPr>
            <w:tcW w:w="2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9"/>
        </w:trPr>
        <w:tc>
          <w:tcPr>
            <w:tcW w:w="29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Basin</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1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33"/>
        </w:trPr>
        <w:tc>
          <w:tcPr>
            <w:tcW w:w="2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Oil (MBbls)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123,959</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134,288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65,741</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13,722</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r>
      <w:tr>
        <w:trPr>
          <w:trHeight w:val="26"/>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9"/>
        </w:trPr>
        <w:tc>
          <w:tcPr>
            <w:tcW w:w="2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Natural gas (MMcf)</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298,829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326,050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39,033</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168,431</w:t>
            </w:r>
          </w:p>
        </w:tc>
      </w:tr>
      <w:tr>
        <w:trPr>
          <w:trHeight w:val="233"/>
        </w:trPr>
        <w:tc>
          <w:tcPr>
            <w:tcW w:w="2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Natural gas liquids (MBbls)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54,542</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58,389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24,008</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6,043</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30,085</w:t>
            </w:r>
          </w:p>
        </w:tc>
      </w:tr>
      <w:tr>
        <w:trPr>
          <w:trHeight w:val="26"/>
        </w:trPr>
        <w:tc>
          <w:tcPr>
            <w:tcW w:w="2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3"/>
        </w:trPr>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(MBOE)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228,306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247,019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111,245</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137,697</w:t>
            </w:r>
          </w:p>
        </w:tc>
      </w:tr>
      <w:tr>
        <w:trPr>
          <w:trHeight w:val="26"/>
        </w:trPr>
        <w:tc>
          <w:tcPr>
            <w:tcW w:w="29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Oil, Natural Gas and Natural Gas Liquids Revenues. </w:t>
      </w:r>
      <w:r>
        <w:rPr>
          <w:rFonts w:ascii="Times New Roman" w:cs="Times New Roman" w:eastAsia="Times New Roman" w:hAnsi="Times New Roman"/>
          <w:sz w:val="17"/>
          <w:szCs w:val="17"/>
          <w:color w:val="auto"/>
        </w:rPr>
        <w:t>Our revenues are a function of oil, natural gas and natural gas liquids production volumes sold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average sales prices received for those volumes.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oil, natural gas and natural gas liquids revenues for the nine months ended September 30, 2025, increased by $3.8 billion, or 57%, to $10.4 billion from the same period in 2024 primarily due to a $4.7 billion increase driven by the 79% growth in our combined production volumes. This increase was partially offset by a net reduction of $924 million primarily due to lower average prices received for our oil production for the nine months ended September 30, 2025.</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Approximately 56% of the increase in our combined production volumes is attributable to the Endeavor Acquisition and 8% is attributable to the Double Eagle Acquisition. The remainder of production growth is largely attributable to new wells added between periods.</w:t>
      </w:r>
    </w:p>
    <w:p>
      <w:pPr>
        <w:spacing w:after="0" w:line="16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Net Sales of Purchased Oil</w:t>
      </w:r>
      <w:r>
        <w:rPr>
          <w:rFonts w:ascii="Times New Roman" w:cs="Times New Roman" w:eastAsia="Times New Roman" w:hAnsi="Times New Roman"/>
          <w:sz w:val="17"/>
          <w:szCs w:val="17"/>
          <w:color w:val="auto"/>
        </w:rPr>
        <w:t>. We entered into purchase transactions and separate sale transactions with third parties to satisfy certain of our unused oil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pipeline capacity commitments. The following table presents the net sales of purchased oil from third parties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of purchased oil</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Purchased oil expense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26"/>
        </w:trPr>
        <w:tc>
          <w:tcPr>
            <w:tcW w:w="7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sales of purchased oil</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Revenues. </w:t>
            </w:r>
            <w:r>
              <w:rPr>
                <w:rFonts w:ascii="Times New Roman" w:cs="Times New Roman" w:eastAsia="Times New Roman" w:hAnsi="Times New Roman"/>
                <w:sz w:val="17"/>
                <w:szCs w:val="17"/>
                <w:color w:val="auto"/>
              </w:rPr>
              <w:t>The following table shows the other revenues for the periods indicated: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7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6"/>
        </w:trPr>
        <w:tc>
          <w:tcPr>
            <w:tcW w:w="7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Other operating income increased for the nine months ended September 30, 2025, compared to the same period in 2024 primarily due to (i) recording $30 million in midstream and service revenues attributable to assets acquired in the Endeavor Acquisition, and (ii) a $17 million increase in lease bonus income received during 2025. These increases were partially offset by a $13 million reduction in midstream revenues following the divestiture of certain midstream assets in connection with the TRP Exchange that closed in the fourth quarter of 2024.</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Lease Operating Expenses. </w:t>
      </w:r>
      <w:r>
        <w:rPr>
          <w:rFonts w:ascii="Times New Roman" w:cs="Times New Roman" w:eastAsia="Times New Roman" w:hAnsi="Times New Roman"/>
          <w:sz w:val="17"/>
          <w:szCs w:val="17"/>
          <w:color w:val="auto"/>
        </w:rPr>
        <w:t>The following table shows lease operating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26"/>
        </w:trPr>
        <w:tc>
          <w:tcPr>
            <w:tcW w:w="6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spacing w:after="0"/>
              <w:rPr>
                <w:sz w:val="19"/>
                <w:szCs w:val="19"/>
                <w:color w:val="auto"/>
              </w:rPr>
            </w:pPr>
          </w:p>
        </w:tc>
      </w:tr>
      <w:tr>
        <w:trPr>
          <w:trHeight w:val="22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6"/>
        </w:trPr>
        <w:tc>
          <w:tcPr>
            <w:tcW w:w="6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Lease operating expenses increased for the nine months ended September 30, 2025, compared to the same period in 2024 primarily due to (i) $368 million of costs associated with operating wells acquired in the Endeavor Acquisition, (ii) an additional $55 million of costs from higher legacy production volumes, (iii) $44 million in additional well workover costs, (iv) $34 million of costs attributable to operating wells acquired in the Double Eagle Acquisition, (v) a $25 million increase in maintenance costs, and (vi) individually insignificant offsetting changes. The decrease in the overall rate per BOE for the nine</w:t>
      </w:r>
    </w:p>
    <w:p>
      <w:pPr>
        <w:spacing w:after="0" w:line="1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months ended September 30, 2025, compared to the same period in 2024 was primarily the result of lower disposal costs associated with properties acquired in connection with the Endeavor Acquisition and the Double Eagle Acquisition.</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Production and Ad Valorem Tax Expense. </w:t>
      </w:r>
      <w:r>
        <w:rPr>
          <w:rFonts w:ascii="Times New Roman" w:cs="Times New Roman" w:eastAsia="Times New Roman" w:hAnsi="Times New Roman"/>
          <w:sz w:val="17"/>
          <w:szCs w:val="17"/>
          <w:color w:val="auto"/>
        </w:rPr>
        <w:t>The following table shows production and ad valorem tax expense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Percentage of oil,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Percentage of oil,</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5"/>
              </w:rPr>
              <w:t>natural gas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and</w:t>
            </w:r>
          </w:p>
        </w:tc>
        <w:tc>
          <w:tcPr>
            <w:tcW w:w="0" w:type="dxa"/>
            <w:vAlign w:val="bottom"/>
          </w:tcPr>
          <w:p>
            <w:pPr>
              <w:spacing w:after="0"/>
              <w:rPr>
                <w:sz w:val="1"/>
                <w:szCs w:val="1"/>
                <w:color w:val="auto"/>
              </w:rPr>
            </w:pPr>
          </w:p>
        </w:tc>
      </w:tr>
      <w:tr>
        <w:trPr>
          <w:trHeight w:val="155"/>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Per BOE</w:t>
            </w: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5"/>
              </w:rPr>
              <w:t>natural gas liquids</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3"/>
              </w:rPr>
              <w:t>Per BOE</w:t>
            </w:r>
          </w:p>
        </w:tc>
        <w:tc>
          <w:tcPr>
            <w:tcW w:w="15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natural gas liquids</w:t>
            </w:r>
          </w:p>
        </w:tc>
        <w:tc>
          <w:tcPr>
            <w:tcW w:w="0" w:type="dxa"/>
            <w:vAlign w:val="bottom"/>
          </w:tcPr>
          <w:p>
            <w:pPr>
              <w:spacing w:after="0"/>
              <w:rPr>
                <w:sz w:val="1"/>
                <w:szCs w:val="1"/>
                <w:color w:val="auto"/>
              </w:rPr>
            </w:pPr>
          </w:p>
        </w:tc>
      </w:tr>
      <w:tr>
        <w:trPr>
          <w:trHeight w:val="206"/>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0" w:type="dxa"/>
            <w:vAlign w:val="bottom"/>
          </w:tcPr>
          <w:p>
            <w:pPr>
              <w:spacing w:after="0"/>
              <w:rPr>
                <w:sz w:val="1"/>
                <w:szCs w:val="1"/>
                <w:color w:val="auto"/>
              </w:rPr>
            </w:pPr>
          </w:p>
        </w:tc>
      </w:tr>
      <w:tr>
        <w:trPr>
          <w:trHeight w:val="233"/>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Production taxes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4.7 %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3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 valorem taxes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20"/>
                <w:szCs w:val="20"/>
                <w:color w:val="auto"/>
              </w:rPr>
            </w:pPr>
          </w:p>
        </w:tc>
        <w:tc>
          <w:tcPr>
            <w:tcW w:w="154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80" w:type="dxa"/>
            <w:vAlign w:val="bottom"/>
          </w:tcPr>
          <w:p>
            <w:pPr>
              <w:spacing w:after="0"/>
              <w:rPr>
                <w:sz w:val="20"/>
                <w:szCs w:val="20"/>
                <w:color w:val="auto"/>
              </w:rPr>
            </w:pPr>
          </w:p>
        </w:tc>
        <w:tc>
          <w:tcPr>
            <w:tcW w:w="15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production and ad valorem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6.3 %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general, production taxes are directly related to production revenues and are based upon current year commodity prices. Production taxes as a percentage of revenue from sales of oil, natural gas and natural gas liquids increased in 2025 compared to 2024 due primarily to the 2024 period including a $17 million refund for the settlement of an audit, which reduced production taxes in the prior year period.</w:t>
      </w:r>
    </w:p>
    <w:p>
      <w:pPr>
        <w:spacing w:after="0" w:line="18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Ad valorem taxes are based, among other factors, on property values driven by prior year commodity prices. Ad valorem taxes for the nine months ended September 30, 2025, as compared to the same period in 2024 increased by $45 million, primarily due to additional taxes incurred on properties acquired since September 30, 2024. The rate of ad valorem taxes per BOE and as a percentage of revenue declined due to a reduction in expected ad valorem tax rates on legacy properties for 2025 compared to the rates during 2024.</w:t>
      </w:r>
    </w:p>
    <w:p>
      <w:pPr>
        <w:spacing w:after="0" w:line="190"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Gathering, Processing and Transportation Expense. </w:t>
      </w:r>
      <w:r>
        <w:rPr>
          <w:rFonts w:ascii="Times New Roman" w:cs="Times New Roman" w:eastAsia="Times New Roman" w:hAnsi="Times New Roman"/>
          <w:sz w:val="17"/>
          <w:szCs w:val="17"/>
          <w:color w:val="auto"/>
        </w:rPr>
        <w:t>The following table shows gathering, processing and transportation expenses for the periods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Nine Months Ended September 30,</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6"/>
        </w:trPr>
        <w:tc>
          <w:tcPr>
            <w:tcW w:w="6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9"/>
                <w:szCs w:val="19"/>
                <w:color w:val="auto"/>
              </w:rPr>
            </w:pPr>
          </w:p>
        </w:tc>
      </w:tr>
      <w:tr>
        <w:trPr>
          <w:trHeight w:val="22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Gathering, processing and transportation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6"/>
        </w:trPr>
        <w:tc>
          <w:tcPr>
            <w:tcW w:w="6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increase in gathering, processing and transportation expenses for the nine months ended September 30, 2025, compared to the same period in 2024 is attributable primarily to (i) $36 million incurred on additional production acquired in the Endeavor Acquisition, (ii) $30 million associated with production from new wells completed between the nine months ended September 30, 2025, and September 30, 2024, (iii) $29 million associated with transportation costs incurred to meet our minimum volume commitments on certain pipelines, (iv) $19 million related to new firm transportation contracts that became effective during the nine months ended September 30, 2025, (v) $10 million related to properties acquired in the TRP Exchange, and (vi) other individually insignificant changes. The decrease in the overall rate per BOE for the nine months ended September 30, 2025, compared to the same period in 2024 was driven by recording gathering, processing and transportation charges for the majority of production from the Endeavor Acquisition, and to a lesser extent, the Double Eagle Acquisition, as a reduction to revenue in accordance with the terms of the acquired contracts.</w:t>
      </w:r>
    </w:p>
    <w:p>
      <w:pPr>
        <w:spacing w:after="0" w:line="3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Depletion, Amortization and Accretion. </w:t>
      </w:r>
      <w:r>
        <w:rPr>
          <w:rFonts w:ascii="Times New Roman" w:cs="Times New Roman" w:eastAsia="Times New Roman" w:hAnsi="Times New Roman"/>
          <w:sz w:val="17"/>
          <w:szCs w:val="17"/>
          <w:color w:val="auto"/>
        </w:rPr>
        <w:t>The following table provides the components of our depreciation, depletion, amortization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accretion expense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BOE amounts)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Depletion of proved oil and natural gas properties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of other property and equipment</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6"/>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retirement obligation accretion</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6"/>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Oil and natural gas properties depletion rate per BOE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17"/>
                <w:szCs w:val="17"/>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6"/>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 per BOE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6"/>
        </w:trPr>
        <w:tc>
          <w:tcPr>
            <w:tcW w:w="7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increase in depletion of proved oil and natural gas properties of $1.9 billion for the nine months ended September 30, 2025, as compared to the same period in 2024 consists primarily of $1.3 billion from growth in production volumes and $605 million due to an increase in the depletion rate resulting largely from the addition of higher value leasehold costs and proved reserves from the Endeavor Acquisition, the Double Eagle Acquisition and, to a lesser extent, Viper’s Sitio Acquisition and TWR Acquisition subsequent to the third quarter of 2024.</w:t>
      </w:r>
    </w:p>
    <w:p>
      <w:pPr>
        <w:spacing w:after="0" w:line="19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Additionally, depreciation and amortization of other property and equipment increased in connection with the acquisition of other assets in the Endeavor Acquisition.</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The following table shows general and administrative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26"/>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Borders>
              <w:bottom w:val="single" w:sz="8" w:color="auto"/>
            </w:tcBorders>
          </w:tcPr>
          <w:p>
            <w:pPr>
              <w:spacing w:after="0"/>
              <w:rPr>
                <w:sz w:val="19"/>
                <w:szCs w:val="19"/>
                <w:color w:val="auto"/>
              </w:rPr>
            </w:pP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2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22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96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39"/>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0.36</w:t>
            </w:r>
          </w:p>
        </w:tc>
      </w:tr>
      <w:tr>
        <w:trPr>
          <w:trHeight w:val="26"/>
        </w:trPr>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expenses increased for the nine months ended September 30, 2025, compared to the same period in 2024 primarily due to (i) a $45 million increase in employee compensation and benefit costs related to increasing headcount largely from the Endeavor Acquisition and annual discretionary compensation adjustments, (ii) an $11 million increase in software, contract labor and professional services costs, and (iii) other individually insignificant items.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Operating Costs and Expenses. </w:t>
      </w:r>
      <w:r>
        <w:rPr>
          <w:rFonts w:ascii="Times New Roman" w:cs="Times New Roman" w:eastAsia="Times New Roman" w:hAnsi="Times New Roman"/>
          <w:sz w:val="17"/>
          <w:szCs w:val="17"/>
          <w:color w:val="auto"/>
        </w:rPr>
        <w:t>The following table shows the other operating costs and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r>
      <w:tr>
        <w:trPr>
          <w:trHeight w:val="23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and transaction expenses</w:t>
            </w: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1200" w:type="dxa"/>
            <w:vAlign w:val="bottom"/>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20"/>
                <w:szCs w:val="20"/>
                <w:color w:val="auto"/>
              </w:rPr>
            </w:pP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bl>
    <w:p>
      <w:pPr>
        <w:spacing w:after="0" w:line="33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Merger and transaction expenses for the nine months ended September 30, 2025, were primarily comprised of (i) $38 million of employee severance and other costs incurred in connection with the Endeavor Acquisition, (ii) $21 million in advisory, legal and filing fees incurred by the Company and $10 million incurred by Viper related to the 2025 Drop Down, (iii) $15 million of employee severance payments made in connection with Viper’s Sitio Acquisition, (iv) $10 million in advisory and legal fees related to the TRP Exchange, and (v) other individually insignificant costs. Merger and transaction expenses for the nine months ended September 30, 2024, relate to costs incurred for the Endeavor Acquisition.</w:t>
      </w:r>
    </w:p>
    <w:p>
      <w:pPr>
        <w:spacing w:after="0" w:line="19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5—</w:t>
      </w:r>
      <w:r>
        <w:rPr>
          <w:rFonts w:ascii="Times New Roman" w:cs="Times New Roman" w:eastAsia="Times New Roman" w:hAnsi="Times New Roman"/>
          <w:sz w:val="17"/>
          <w:szCs w:val="17"/>
          <w:u w:val="single" w:color="auto"/>
          <w:color w:val="0000FF"/>
        </w:rPr>
        <w:t>Endeavor Energy Resources, LP Acquisition</w:t>
      </w:r>
      <w:r>
        <w:rPr>
          <w:rFonts w:ascii="Times New Roman" w:cs="Times New Roman" w:eastAsia="Times New Roman" w:hAnsi="Times New Roman"/>
          <w:sz w:val="17"/>
          <w:szCs w:val="17"/>
          <w:color w:val="auto"/>
        </w:rPr>
        <w:t xml:space="preserve"> and Note 4—</w:t>
      </w:r>
      <w:r>
        <w:rPr>
          <w:rFonts w:ascii="Times New Roman" w:cs="Times New Roman" w:eastAsia="Times New Roman" w:hAnsi="Times New Roman"/>
          <w:sz w:val="17"/>
          <w:szCs w:val="17"/>
          <w:u w:val="single" w:color="auto"/>
          <w:color w:val="0000FF"/>
        </w:rPr>
        <w:t>Acquisitions and Divestitures</w:t>
      </w:r>
      <w:r>
        <w:rPr>
          <w:rFonts w:ascii="Times New Roman" w:cs="Times New Roman" w:eastAsia="Times New Roman" w:hAnsi="Times New Roman"/>
          <w:sz w:val="17"/>
          <w:szCs w:val="17"/>
          <w:color w:val="auto"/>
        </w:rPr>
        <w:t xml:space="preserve"> of the notes to the condensed consolidated financial statements for further details regarding the Endeavor Acquisition as well as the Sitio Acquisition and TRP Exchange, respectively.</w:t>
      </w:r>
    </w:p>
    <w:p>
      <w:pPr>
        <w:spacing w:after="0" w:line="3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increase in other operating expenses for the nine months ended September 30, 2025, compared to the same period in 2024 primarily resulted from a $70 million increase in midstream service costs related to additional production from the Endeavor Acquisition, which was partially offset by an $11 million net decrease in loss on the sale of property, plant and equipment, and a $12 million reduction in impairment charges taken on certain midstream assets in 2024 as well as other individually insignificant items.</w:t>
      </w:r>
    </w:p>
    <w:p>
      <w:pPr>
        <w:spacing w:after="0" w:line="190" w:lineRule="exact"/>
        <w:rPr>
          <w:sz w:val="20"/>
          <w:szCs w:val="20"/>
          <w:color w:val="auto"/>
        </w:rPr>
      </w:pPr>
    </w:p>
    <w:p>
      <w:pPr>
        <w:jc w:val="both"/>
        <w:ind w:firstLine="621"/>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 Instruments. </w:t>
      </w:r>
      <w:r>
        <w:rPr>
          <w:rFonts w:ascii="Times New Roman" w:cs="Times New Roman" w:eastAsia="Times New Roman" w:hAnsi="Times New Roman"/>
          <w:sz w:val="17"/>
          <w:szCs w:val="17"/>
          <w:color w:val="auto"/>
        </w:rPr>
        <w:t>The following table shows the net gain (loss) on derivative instruments and the net cash receipts (payments) on settlements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derivative instruments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derivative instruments, net</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101</w:t>
            </w:r>
          </w:p>
        </w:tc>
      </w:tr>
      <w:tr>
        <w:trPr>
          <w:trHeight w:val="30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received (paid) on settlements</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ind w:left="1000"/>
              <w:spacing w:after="0"/>
              <w:rPr>
                <w:sz w:val="20"/>
                <w:szCs w:val="20"/>
                <w:color w:val="auto"/>
              </w:rPr>
            </w:pPr>
            <w:r>
              <w:rPr>
                <w:rFonts w:ascii="Times New Roman" w:cs="Times New Roman" w:eastAsia="Times New Roman" w:hAnsi="Times New Roman"/>
                <w:sz w:val="17"/>
                <w:szCs w:val="17"/>
                <w:color w:val="auto"/>
                <w:w w:val="98"/>
              </w:rPr>
              <w:t>(36)</w:t>
            </w:r>
          </w:p>
        </w:tc>
      </w:tr>
    </w:tbl>
    <w:p>
      <w:pPr>
        <w:spacing w:after="0" w:line="31" w:lineRule="exact"/>
        <w:rPr>
          <w:sz w:val="20"/>
          <w:szCs w:val="20"/>
          <w:color w:val="auto"/>
        </w:rPr>
      </w:pPr>
    </w:p>
    <w:p>
      <w:pPr>
        <w:ind w:left="320" w:hanging="317"/>
        <w:spacing w:after="0" w:line="291" w:lineRule="auto"/>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nine months ended September 30, 2025, and 2024 include cash paid on interest rate swaps terminated prior to their contractual maturity of $67 million and $37 million, respectively.</w:t>
      </w:r>
    </w:p>
    <w:p>
      <w:pPr>
        <w:spacing w:after="0" w:line="17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increase in gain on derivative instruments for the nine months ended September 30, 2025, compared to the same period in 2024 primarily reflects (i) a $177 million increase in cash received on the settlement of natural gas contracts, (ii) a $40 million increase in the value of our unsettled interest rate swap contracts primarily due to a decline in expected future interest rates and the early termination of $600 million in notional amount of the interest rate swaps in 2025 which was in a liability position, and (iii) a $20 million decrease in cash paid for the semi-annual settlement of our interest rate derivatives. These gains were partially offset by losses attributable primarily to (i) a $126 million decrease in the value of our unsettled natural gas contracts primarily due to an increase in market prices for natural gas compared to our contract prices, (ii) a $49 million increase in cash paid for the settlement of our oil contracts primarily related to premiums on our oil puts, (iii) a $14 million decrease in the value of our unsettled oil contracts primarily due to an increase in market prices for oil compared to our contract prices, and (iv) other individually insignificant changes. See Note 13—</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 for further details regarding our derivative instruments.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Income (Expense). </w:t>
      </w:r>
      <w:r>
        <w:rPr>
          <w:rFonts w:ascii="Times New Roman" w:cs="Times New Roman" w:eastAsia="Times New Roman" w:hAnsi="Times New Roman"/>
          <w:sz w:val="17"/>
          <w:szCs w:val="17"/>
          <w:color w:val="auto"/>
        </w:rPr>
        <w:t>The following table shows other income and expenses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6"/>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equity investments, net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bl>
    <w:p>
      <w:pPr>
        <w:spacing w:after="0" w:line="318"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Interest expense, net increased by $65 million for the nine months ended September 30, 2025, compared to the same period in 2024. This increase primarily consisted of (i) a $129 million reduction in interest income attributable to holding funds raised for the Endeavor Acquisition in cash in short-term interest bearing accounts during the nine months ended September 30, 2024, which reduced interest expense, (ii) $91 million of additional interest expense on the April 2024 Notes, (iii) $43 million of interest expense on the 2025 Term Loan issued in March 2025, (iv) $35 million of interest expense on the 2035 Notes issued in March 2025, (v) $16 million of interest expense on the Viper 2025 Notes issued in July 2025, (vi) $16 million of additional interest expense on the Company’s revolving credit facility due to higher average outstanding borrowings, and (vii) $14 million of additional interest expense on the Tranche A Loans that were repaid in May 2025. These increases were partially offset by (i) a $250 million increase in capitalized interest costs, which reduces interest expense, (ii) a $28 million reduction attributable to the amortization of debt issuance costs related to our terminated bridge facility being fully amortized in 2024, and (iii) other individually insignificant changes.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 for further details regarding outstanding borrowings.</w:t>
      </w:r>
    </w:p>
    <w:p>
      <w:pPr>
        <w:spacing w:after="0" w:line="24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Other income (expense), net for the nine months ended September 30, 2025, increased compared to the same period in 2024, primarily due to an increase of $62 million in the gain recognized on the sale of various equity method investments in 2025 compared to 2024. This net gain was partially offset by a $15 million decrease in the value of an investment recorded at fair value during the nine months ended September 30, 2025, compared to the same period in 2024 and other individually insignificant items.</w:t>
      </w:r>
    </w:p>
    <w:p>
      <w:pPr>
        <w:spacing w:after="0" w:line="1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The increase in gain (loss) on extinguishment of debt is primarily attributable to the Company opportunistically repurchasing a portion of its senior notes during the second quarter of 2025 net of the loss recognized on the redemption of Viper’s 2031 Notes as discussed in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0000FF"/>
        </w:rPr>
        <w:t>—Results of Operations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Comparison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Three Months Ended September 30, 2025, and June 30, 2025.”</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 for further details regarding the Company’s retirement of a portion of its senior notes during the second quarter of 2025.</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Provision for (Benefit from) Income Taxes. </w:t>
      </w:r>
      <w:r>
        <w:rPr>
          <w:rFonts w:ascii="Times New Roman" w:cs="Times New Roman" w:eastAsia="Times New Roman" w:hAnsi="Times New Roman"/>
          <w:sz w:val="17"/>
          <w:szCs w:val="17"/>
          <w:color w:val="auto"/>
        </w:rPr>
        <w:t>The following table shows the provision for (benefit from) income taxes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2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r>
      <w:tr>
        <w:trPr>
          <w:trHeight w:val="23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6"/>
        </w:trPr>
        <w:tc>
          <w:tcPr>
            <w:tcW w:w="7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The change in our income tax provision for the nine months ended September 30, 2025, compared to the same period in 2024 was primarily due to the increase in pre-tax income resulting largely from higher revenues attributable to properties acquired in connection with the Endeavor Acquisition. See Note 12— </w:t>
      </w:r>
      <w:r>
        <w:rPr>
          <w:rFonts w:ascii="Times New Roman" w:cs="Times New Roman" w:eastAsia="Times New Roman" w:hAnsi="Times New Roman"/>
          <w:sz w:val="17"/>
          <w:szCs w:val="17"/>
          <w:u w:val="single" w:color="auto"/>
          <w:color w:val="0000FF"/>
        </w:rPr>
        <w:t>Income Taxes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the notes to the condensed consolidated financial statements for further discussion of our income tax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Overview of Sources and Uses of Cash</w:t>
      </w:r>
    </w:p>
    <w:p>
      <w:pPr>
        <w:spacing w:after="0" w:line="248"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Historically, our primary sources of liquidity have included cash flows from operations, proceeds from our public equity offerings, borrowings under our revolving credit facility, borrowings under term loans, proceeds from the issuance of senior notes and sales of non-core assets. Our primary uses of capital have been for the acquisition, development and exploration of oil and natural gas properties, repayment of debt and returning capital to stockholders. At September 30, 2025, we had approximately $2.4 billion of liquidity consisting of $106 million in standalone cash and cash equivalents and $2.3 billion available under our credit facility. As discussed above, we have revised our capital budget guidance for 2025 to $3.45 billion to $3.55 billion to prioritize free cash flow generation. At September 30, 2025, we had approximately $14 million of senior notes, excluding the Viper 2027 Notes, maturing in the next 12 months.</w:t>
      </w:r>
    </w:p>
    <w:p>
      <w:pPr>
        <w:spacing w:after="0" w:line="199" w:lineRule="exact"/>
        <w:rPr>
          <w:sz w:val="20"/>
          <w:szCs w:val="20"/>
          <w:color w:val="auto"/>
        </w:rPr>
      </w:pPr>
    </w:p>
    <w:p>
      <w:pPr>
        <w:jc w:val="both"/>
        <w:ind w:firstLine="621"/>
        <w:spacing w:after="0" w:line="257"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w:t>
      </w:r>
      <w:hyperlink r:id="rId94">
        <w:r>
          <w:rPr>
            <w:rFonts w:ascii="Times New Roman" w:cs="Times New Roman" w:eastAsia="Times New Roman" w:hAnsi="Times New Roman"/>
            <w:sz w:val="17"/>
            <w:szCs w:val="17"/>
            <w:color w:val="auto"/>
          </w:rPr>
          <w:t xml:space="preserve">difficult to predict as discussed further in </w:t>
        </w:r>
        <w:r>
          <w:rPr>
            <w:rFonts w:ascii="Times New Roman" w:cs="Times New Roman" w:eastAsia="Times New Roman" w:hAnsi="Times New Roman"/>
            <w:sz w:val="17"/>
            <w:szCs w:val="17"/>
            <w:u w:val="single" w:color="auto"/>
            <w:color w:val="0000FF"/>
          </w:rPr>
          <w:t>Part I, Item 1A. Risk Factors in our Annual Report on Form 10-K</w:t>
        </w:r>
        <w:r>
          <w:rPr>
            <w:rFonts w:ascii="Times New Roman" w:cs="Times New Roman" w:eastAsia="Times New Roman" w:hAnsi="Times New Roman"/>
            <w:sz w:val="17"/>
            <w:szCs w:val="17"/>
            <w:color w:val="auto"/>
          </w:rPr>
          <w:t xml:space="preserve"> for the year ended December 31, 2024, and </w:t>
        </w:r>
        <w:r>
          <w:rPr>
            <w:rFonts w:ascii="Times New Roman" w:cs="Times New Roman" w:eastAsia="Times New Roman" w:hAnsi="Times New Roman"/>
            <w:sz w:val="17"/>
            <w:szCs w:val="17"/>
            <w:u w:val="single" w:color="auto"/>
            <w:color w:val="0000FF"/>
          </w:rPr>
          <w:t>in our</w:t>
        </w:r>
      </w:hyperlink>
      <w:r>
        <w:rPr>
          <w:rFonts w:ascii="Times New Roman" w:cs="Times New Roman" w:eastAsia="Times New Roman" w:hAnsi="Times New Roman"/>
          <w:sz w:val="17"/>
          <w:szCs w:val="17"/>
          <w:color w:val="auto"/>
        </w:rPr>
        <w:t xml:space="preserve"> </w:t>
      </w:r>
      <w:hyperlink r:id="rId94">
        <w:r>
          <w:rPr>
            <w:rFonts w:ascii="Times New Roman" w:cs="Times New Roman" w:eastAsia="Times New Roman" w:hAnsi="Times New Roman"/>
            <w:sz w:val="17"/>
            <w:szCs w:val="17"/>
            <w:u w:val="single" w:color="auto"/>
            <w:color w:val="0000FF"/>
          </w:rPr>
          <w:t>Quarterly Report on Form 10-Q</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quarterly period ended March 31, 2025, filed with the SEC on May 7, 2025. In order to mitigate this volatility, we enter</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into derivative contracts with a number of financial institutions, all of which are participants in our credit facility, to economically hedge a portion of our estimated future crude oil and natural gas production as discussed further in Note 13—</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000000"/>
        </w:rPr>
        <w:t xml:space="preserve"> of the notes to the condensed consolidated financial statements and </w:t>
      </w:r>
      <w:r>
        <w:rPr>
          <w:rFonts w:ascii="Times New Roman" w:cs="Times New Roman" w:eastAsia="Times New Roman" w:hAnsi="Times New Roman"/>
          <w:sz w:val="17"/>
          <w:szCs w:val="17"/>
          <w:u w:val="single" w:color="auto"/>
          <w:color w:val="0000FF"/>
        </w:rPr>
        <w:t>Item</w:t>
      </w:r>
    </w:p>
    <w:p>
      <w:pPr>
        <w:spacing w:after="0" w:line="2" w:lineRule="exact"/>
        <w:rPr>
          <w:sz w:val="20"/>
          <w:szCs w:val="20"/>
          <w:color w:val="auto"/>
        </w:rPr>
      </w:pPr>
    </w:p>
    <w:p>
      <w:pPr>
        <w:ind w:firstLine="3"/>
        <w:spacing w:after="0" w:line="268" w:lineRule="auto"/>
        <w:tabs>
          <w:tab w:leader="none" w:pos="211" w:val="left"/>
        </w:tabs>
        <w:numPr>
          <w:ilvl w:val="0"/>
          <w:numId w:val="2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Quantitative and Qualitative Disclosures About Market Risk—Commodity Price Risk</w:t>
      </w:r>
      <w:r>
        <w:rPr>
          <w:rFonts w:ascii="Times New Roman" w:cs="Times New Roman" w:eastAsia="Times New Roman" w:hAnsi="Times New Roman"/>
          <w:sz w:val="17"/>
          <w:szCs w:val="17"/>
          <w:color w:val="000000"/>
        </w:rPr>
        <w:t>. The level of our hedging activity and duration of the financial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instruments employed depend on our desired cash flow protection, available hedge prices, the magnitude of our capital program and our operating strategy.</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Flow</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flows for the nine months ended September 30, 2025, and 2024 are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12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4"/>
        </w:trPr>
        <w:tc>
          <w:tcPr>
            <w:tcW w:w="46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4400" w:type="dxa"/>
            <w:vAlign w:val="bottom"/>
            <w:tcBorders>
              <w:bottom w:val="single" w:sz="8" w:color="CCEEFF"/>
            </w:tcBorders>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0" w:type="dxa"/>
            <w:vAlign w:val="bottom"/>
          </w:tcPr>
          <w:p>
            <w:pPr>
              <w:spacing w:after="0"/>
              <w:rPr>
                <w:sz w:val="1"/>
                <w:szCs w:val="1"/>
                <w:color w:val="auto"/>
              </w:rPr>
            </w:pPr>
          </w:p>
        </w:tc>
      </w:tr>
      <w:tr>
        <w:trPr>
          <w:trHeight w:val="233"/>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(9,366)</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0" w:type="dxa"/>
            <w:vAlign w:val="bottom"/>
          </w:tcPr>
          <w:p>
            <w:pPr>
              <w:spacing w:after="0"/>
              <w:rPr>
                <w:sz w:val="1"/>
                <w:szCs w:val="1"/>
                <w:color w:val="auto"/>
              </w:rPr>
            </w:pPr>
          </w:p>
        </w:tc>
      </w:tr>
      <w:tr>
        <w:trPr>
          <w:trHeight w:val="252"/>
        </w:trPr>
        <w:tc>
          <w:tcPr>
            <w:tcW w:w="4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344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40" w:type="dxa"/>
            <w:vAlign w:val="bottom"/>
            <w:vMerge w:val="restart"/>
          </w:tcPr>
          <w:p>
            <w:pPr>
              <w:jc w:val="right"/>
              <w:ind w:right="2017"/>
              <w:spacing w:after="0"/>
              <w:rPr>
                <w:sz w:val="20"/>
                <w:szCs w:val="20"/>
                <w:color w:val="auto"/>
              </w:rPr>
            </w:pPr>
            <w:r>
              <w:rPr>
                <w:rFonts w:ascii="Times New Roman" w:cs="Times New Roman" w:eastAsia="Times New Roman" w:hAnsi="Times New Roman"/>
                <w:sz w:val="17"/>
                <w:szCs w:val="17"/>
                <w:color w:val="auto"/>
              </w:rPr>
              <w:t>48</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46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increase in operating cash flows for the nine months ended September 30, 2025, compared to the same period in 2024 primarily resulted from (i) $3.8 billion in additional revenue, excluding sales of purchased oil, and (ii) an increase of $144 million in cash received on settlements of derivatives. These cash inflows were partially offset by (i) higher cash operating expenses, excluding purchased oil expense, of approximately $792 million, (ii) an increase of $1.0 billion in cash paid for taxes, and (iii) fluctuations in other working capital balances due primarily to the timing of when collections were made on accounts receivable and payments were made on accounts payable.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0000FF"/>
        </w:rPr>
        <w:t>Results of Operations</w:t>
      </w:r>
      <w:r>
        <w:rPr>
          <w:rFonts w:ascii="Times New Roman" w:cs="Times New Roman" w:eastAsia="Times New Roman" w:hAnsi="Times New Roman"/>
          <w:sz w:val="17"/>
          <w:szCs w:val="17"/>
          <w:color w:val="auto"/>
        </w:rPr>
        <w:t>” for discussion of significant changes in our revenues and expenses.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majority of our net cash used in investing activities during the nine months ended September 30, 2025, was for drilling and completion costs incurred in conjunction with our development program as well as the acquisition of properties and equipment for the Double Eagle Acquisition and Viper’s Sitio Acquisition. The majority of our net cash used in investing activities during the nine months ended September 30, 2024, was for the Endeavor Acquisition.</w:t>
      </w:r>
    </w:p>
    <w:p>
      <w:pPr>
        <w:spacing w:after="0" w:line="1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Capital Expenditure Activities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capital expenditures excluding acquisitions and equity method investments (on a cash basis) were as follows for the specified period: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8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8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gridSpan w:val="3"/>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80" w:type="dxa"/>
            <w:vAlign w:val="bottom"/>
          </w:tcPr>
          <w:p>
            <w:pPr>
              <w:spacing w:after="0"/>
              <w:rPr>
                <w:sz w:val="19"/>
                <w:szCs w:val="19"/>
                <w:color w:val="auto"/>
              </w:rPr>
            </w:pPr>
          </w:p>
        </w:tc>
      </w:tr>
      <w:tr>
        <w:trPr>
          <w:trHeight w:val="26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Operated drilling and completion additions to oil and natural gas properties</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workovers, non-operated additions to oil and natural gas properties and science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Infrastructure, environmental and midstream additions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52"/>
        </w:trPr>
        <w:tc>
          <w:tcPr>
            <w:tcW w:w="80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0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(2,580)</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firstLine="3"/>
        <w:spacing w:after="0" w:line="293" w:lineRule="auto"/>
        <w:tabs>
          <w:tab w:leader="none" w:pos="25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u w:val="single" w:color="auto"/>
          <w:color w:val="0000FF"/>
        </w:rPr>
        <w:t>Transactions and Recent Developments—Upstream Operations</w:t>
      </w:r>
      <w:r>
        <w:rPr>
          <w:rFonts w:ascii="Times New Roman" w:cs="Times New Roman" w:eastAsia="Times New Roman" w:hAnsi="Times New Roman"/>
          <w:sz w:val="17"/>
          <w:szCs w:val="17"/>
          <w:color w:val="auto"/>
        </w:rPr>
        <w:t>” above for additional detail on wells drilled and turned to production during the three and nine months ended September 30, 2025.</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2025, net cash provided by financing activities was primarily attributable to (i) $2.8 billion of proceeds from the issuance of the 2035 Notes and Viper 2025 Notes, (ii) $2.0 billion of proceeds from the 2025 Term Loan and the Viper Term Loan, (iii) $1.2 billion in proceeds from the Viper 2025 Equity Offering, (iv) $74 million in borrowings on our credit facilities, net of repayments. These cash inflows were partially offset by (i) $1.7 billion of repurchases as part of our and Viper’s share repurchase programs, (ii) $900 million in repayments on our Tranche A Loans, (iii) $870 million of dividends paid to stockholders, (iv) $672 million paid to retire senior notes, (v) $255 million in dividends paid to non-controlling interest, (vi) and various other individually insignificant costs.</w:t>
      </w:r>
    </w:p>
    <w:p>
      <w:pPr>
        <w:spacing w:after="0" w:line="19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During the nine months ended September 30, 2024, net cash provided by financing activities was primarily attributable to (i) $5.5 billion of proceeds from the issuance of the April 2024 Notes, (ii) $1.0 billion in borrowings under the Tranche A Loans, (iii) $476 million in proceeds from the Viper 2024 Equity Offering, and (iv) $451 million in proceeds from the public offering of Viper’s Class A common stock. These cash inflows were partially offset by (i) $1.3 billion of dividends paid to stockholders, (ii) $557 million of repurchases as part of the share repurchase programs, (iii) $157 million in dividends paid to non-controlling interest, (iv) $148 million in repayments under our credit facilities, net of borrowings, (v) $95 million of debt issuance costs primarily associated with the April 2024 Notes, Tranche A Loans and bridge facility, and (vi) $37 million in cash paid for tax withholdings on vested employee stock awards.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2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spacing w:after="0" w:line="1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Facilities and Other Debt Instruments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September 30, 2025, our debt, including the debt of Viper, consisted of approximately $14.1 billion in aggregate outstanding principal amount of senior notes, $1.5 billion in aggregate outstanding borrowings under the 2025 Term Loan Agreement, $500 million in aggregate outstanding borrowings under the Viper Term Loan and $335 million in aggregate outstanding borrowings under revolving credit facilities.</w:t>
      </w:r>
    </w:p>
    <w:p>
      <w:pPr>
        <w:spacing w:after="0" w:line="18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September 30, 2025, our Credit Agreement, which matures on June 12, 2030, had a maximum credit amount available of $2.5 billion, with $175 million outstanding borrowings and $2.3 billion available for future borrowings.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Viper LLC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Revolving Credit Facility</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Viper LLC Revolving Credit Facility, which matures on June 12, 2030, provides for a commitment amount of $1.5 billion. As of September 30, 2025, the Viper LLC Revolving Credit Facility had $160 million in outstanding borrowings and $1.3 billion available for future borrowings.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additional discussion of our debt as of September 30, 2025, 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Requirements</w:t>
      </w:r>
    </w:p>
    <w:p>
      <w:pPr>
        <w:spacing w:after="0" w:line="246"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In addition to future operating expenses and working capital commitments discussed in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0000FF"/>
        </w:rPr>
        <w:t>Transactions and Recent Developments—Upstream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0000FF"/>
        </w:rPr>
        <w:t>Operations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000000"/>
        </w:rPr>
        <w:t>” our primary short and long-term liquidity requirements, excluding those of Viper, consist primarily of (i) capital expenditures, (ii) payments of</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color w:val="000000"/>
        </w:rPr>
        <w:t>principal and interest on our revolving credit facility, 2025 Term Loan and senior notes, (iii) payments of other contractual obligations, and (iv) cash used to pay for dividends and repurchases of securities.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Capital Spending Plan</w:t>
      </w:r>
    </w:p>
    <w:p>
      <w:pPr>
        <w:spacing w:after="0" w:line="24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Our board of directors has approved our revised 2025 capital budget guidance for drilling, midstream, infrastructure and environmental expenditures, which takes into consideration any impacts from Viper’s Sitio Acquisition. The capital budget was reduced during the first half of 2025 compared to original 2025 guidance as a result of our deliberate moderation of activity, coupled with material efficiency gains and synergy capture following the integration of recent acquisitions. Additionally, we have benefited from structural improvements in our cost base, including lower service pricing and an ever-optimizing supply chain given our size and scale. We expect an increase in activity for the remainder of 2025, and as a result, the low end of our capital budget guidance range for the full year 2025 has increased slightly from our prior guidance. Our current capital budget guidance ranges from approximately $3.45 billion to $3.55 billion, including $2.93 billion to $2.95 billion for operated horizontal drilling and completions, $300 million to $350 million for non-operated activity, capital workovers and science and $225 million to $250 million spent on infrastructure, midstream and environmental capital expenditures. We currently expect to drill approximately 445 to 465 gross (412 to 430 net) horizontal wells and complete approximately 510 to 520 gross (471 to 481 net) horizontal wells across our operated leasehold acreage in the Midland and Southern Delaware Basins, with an average lateral length of approximately 11,500 feet.</w:t>
      </w:r>
    </w:p>
    <w:p>
      <w:pPr>
        <w:spacing w:after="0" w:line="20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13 drilling rigs and five completion crews. We will continue monitoring commodity prices and overall market conditions and can adjust our rig cadence and our capital expenditure budget in response to changes in commodity prices and overall market conditions.</w:t>
      </w:r>
    </w:p>
    <w:p>
      <w:pPr>
        <w:spacing w:after="0" w:line="3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on 2035 Notes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March 20, 2025, we issued $1.2 billion in aggregate principal amount of the 2035 Notes, as discussed further in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As a result, we expect to incur additional cash interest costs on the 2035 Notes of approximately $33 million in the fourth quarter of 2025, $133 million cumulatively in the years from 2026 through 2027, $133 million cumulatively in the years from 2028 through 2029 and $366 million cumulatively between 2030 and 2035.</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on Viper 2025 Notes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On July 23, 2025, Viper issued $1.6 billion in aggregate principal amount of the Viper 2025 Notes. In 2025, Viper does not expect to incur any cash interest costs on the Viper 2025 Notes. Viper expects to incur future cash interest costs on the Viper 2025 Notes of approximately $174 million cumulatively in the years from 2026 through 2027, $174 million cumulatively in the years from 2028 through 2029 and $402 million between 2030 and 2035.</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Retirement of Notes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the fourth quarter of 2025, we opportunistically repurchased principal amounts of $152 million of our 4.400% Senior Notes due 2051 and $51 million of our 4.250% Senior Notes due 2052 in open market transactions for total cash consideration of $167 million, including accrued interest paid, at an average of 82.3% of par value.</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Return of Capital Commitment</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Currently, our board of directors has approved a return of capital commitment of at least 50% of adjusted free cash flow to our stockholders through repurchases under our share repurchase program, base dividends and variable dividends. The remainder of our free cash flow will be used primarily to reduce debt. On October 30, 2025, our board of directors declared a base cash dividend for the third quarter of 2025 of $1.00 per share of common stock.</w:t>
      </w:r>
    </w:p>
    <w:p>
      <w:pPr>
        <w:spacing w:after="0" w:line="18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Adjusted free cash flow is a non-GAAP financial measure. As used by us, adjusted free cash flow is defined as cash flow from operating activities before changes in working capital in excess of cash capital expenditures and further adjusted for merger and transaction expenses, costs of early termination of derivatives and settlements of any treasury locks. We believe that adjusted free cash flow is useful to investors as it provides a measure to compare both cash flow from operating activities and additions to oil and natural gas properties across periods on a consistent basis.</w:t>
      </w:r>
    </w:p>
    <w:p>
      <w:pPr>
        <w:spacing w:after="0" w:line="194"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On July 31, 2025, our board of directors approved a $2.0 billion increase in common stock repurchase authorization under our existing common stock repurchase program from $6.0 billion to $8.0 billion, excluding excise tax. Since the inception of the stock repurchase program, we have repurchased an aggregate of 36.1 million shares of our common stock for a total cost of $5.0 billion, excluding excise tax, as of October 31, 2025, leaving approximately $3.0 billion for future repurchases under such stock repurchase program, excluding excise tax.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Repurchases may be executed in privately negotiated or open-market transactions, consistent with Rule 10b-18 under the Securities Exchange Act of 1934 and other applicable requirements. All shares repurchased will be retired. See Note 10—</w:t>
      </w:r>
      <w:r>
        <w:rPr>
          <w:rFonts w:ascii="Times New Roman" w:cs="Times New Roman" w:eastAsia="Times New Roman" w:hAnsi="Times New Roman"/>
          <w:sz w:val="17"/>
          <w:szCs w:val="17"/>
          <w:u w:val="single" w:color="auto"/>
          <w:color w:val="0000FF"/>
        </w:rPr>
        <w:t>Stockholders’ Equity and Earnings (Loss) Per Share</w:t>
      </w:r>
      <w:r>
        <w:rPr>
          <w:rFonts w:ascii="Times New Roman" w:cs="Times New Roman" w:eastAsia="Times New Roman" w:hAnsi="Times New Roman"/>
          <w:sz w:val="17"/>
          <w:szCs w:val="17"/>
          <w:color w:val="auto"/>
        </w:rPr>
        <w:t xml:space="preserve"> of the notes to the condensed consolidated financial statements for further discussion of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Guarantor Financial Information</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Diamondback E&amp;P is the sole guarantor under the indentures governing the outstanding Guaranteed Senior Notes.</w:t>
      </w:r>
    </w:p>
    <w:p>
      <w:pPr>
        <w:spacing w:after="0" w:line="244"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spacing w:after="0" w:line="200" w:lineRule="exact"/>
        <w:rPr>
          <w:sz w:val="20"/>
          <w:szCs w:val="20"/>
          <w:color w:val="auto"/>
        </w:rPr>
      </w:pPr>
    </w:p>
    <w:p>
      <w:pPr>
        <w:spacing w:after="0" w:line="20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Diamondback E&amp;P’s guarantees of the Guaranteed Senior Notes are senior unsecured obligations and rank senior in right of payment to any of its future subordinated indebtedness, equal in right of payment with all of its existing and future</w:t>
      </w:r>
    </w:p>
    <w:p>
      <w:pPr>
        <w:spacing w:after="0" w:line="1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senior indebtedness, including its obligations under its revolving credit facility and effectively subordinated to any of its existing and future secured indebtedness, to the extent of the value of the collateral securing such indebtedness.</w:t>
      </w:r>
    </w:p>
    <w:p>
      <w:pPr>
        <w:spacing w:after="0" w:line="173"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08"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8"/>
                <w:szCs w:val="18"/>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Summarized Balance Sheets:</w:t>
            </w:r>
          </w:p>
        </w:tc>
        <w:tc>
          <w:tcPr>
            <w:tcW w:w="220" w:type="dxa"/>
            <w:vAlign w:val="bottom"/>
          </w:tcPr>
          <w:p>
            <w:pPr>
              <w:spacing w:after="0"/>
              <w:rPr>
                <w:sz w:val="19"/>
                <w:szCs w:val="19"/>
                <w:color w:val="auto"/>
              </w:rPr>
            </w:pPr>
          </w:p>
        </w:tc>
        <w:tc>
          <w:tcPr>
            <w:tcW w:w="3800" w:type="dxa"/>
            <w:vAlign w:val="bottom"/>
            <w:gridSpan w:val="4"/>
          </w:tcPr>
          <w:p>
            <w:pPr>
              <w:jc w:val="right"/>
              <w:ind w:right="15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Pr>
          <w:p>
            <w:pPr>
              <w:spacing w:after="0"/>
              <w:rPr>
                <w:sz w:val="19"/>
                <w:szCs w:val="19"/>
                <w:color w:val="auto"/>
              </w:rPr>
            </w:pPr>
          </w:p>
        </w:tc>
      </w:tr>
      <w:tr>
        <w:trPr>
          <w:trHeight w:val="24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20" w:type="dxa"/>
            <w:vAlign w:val="bottom"/>
          </w:tcPr>
          <w:p>
            <w:pPr>
              <w:spacing w:after="0"/>
              <w:rPr>
                <w:sz w:val="20"/>
                <w:szCs w:val="20"/>
                <w:color w:val="auto"/>
              </w:rPr>
            </w:pPr>
          </w:p>
        </w:tc>
      </w:tr>
      <w:tr>
        <w:trPr>
          <w:trHeight w:val="26"/>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9"/>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21,795</w:t>
            </w:r>
          </w:p>
        </w:tc>
        <w:tc>
          <w:tcPr>
            <w:tcW w:w="20" w:type="dxa"/>
            <w:vAlign w:val="bottom"/>
          </w:tcPr>
          <w:p>
            <w:pPr>
              <w:spacing w:after="0"/>
              <w:rPr>
                <w:sz w:val="20"/>
                <w:szCs w:val="20"/>
                <w:color w:val="auto"/>
              </w:rPr>
            </w:pPr>
          </w:p>
        </w:tc>
      </w:tr>
      <w:tr>
        <w:trPr>
          <w:trHeight w:val="233"/>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0"/>
                <w:szCs w:val="20"/>
                <w:color w:val="auto"/>
              </w:rPr>
            </w:pPr>
          </w:p>
        </w:tc>
      </w:tr>
      <w:tr>
        <w:trPr>
          <w:trHeight w:val="26"/>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20" w:type="dxa"/>
            <w:vAlign w:val="bottom"/>
          </w:tcPr>
          <w:p>
            <w:pPr>
              <w:spacing w:after="0"/>
              <w:rPr>
                <w:sz w:val="20"/>
                <w:szCs w:val="20"/>
                <w:color w:val="auto"/>
              </w:rPr>
            </w:pPr>
          </w:p>
        </w:tc>
      </w:tr>
      <w:tr>
        <w:trPr>
          <w:trHeight w:val="26"/>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9"/>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Intercompany accounts payable, non-guarantor subsidiary</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20" w:type="dxa"/>
            <w:vAlign w:val="bottom"/>
          </w:tcPr>
          <w:p>
            <w:pPr>
              <w:spacing w:after="0"/>
              <w:rPr>
                <w:sz w:val="20"/>
                <w:szCs w:val="20"/>
                <w:color w:val="auto"/>
              </w:rPr>
            </w:pPr>
          </w:p>
        </w:tc>
      </w:tr>
      <w:tr>
        <w:trPr>
          <w:trHeight w:val="233"/>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10,978</w:t>
            </w:r>
          </w:p>
        </w:tc>
        <w:tc>
          <w:tcPr>
            <w:tcW w:w="20" w:type="dxa"/>
            <w:vAlign w:val="bottom"/>
          </w:tcPr>
          <w:p>
            <w:pPr>
              <w:spacing w:after="0"/>
              <w:rPr>
                <w:sz w:val="20"/>
                <w:szCs w:val="20"/>
                <w:color w:val="auto"/>
              </w:rPr>
            </w:pPr>
          </w:p>
        </w:tc>
      </w:tr>
      <w:tr>
        <w:trPr>
          <w:trHeight w:val="26"/>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9"/>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20" w:type="dxa"/>
            <w:vAlign w:val="bottom"/>
          </w:tcPr>
          <w:p>
            <w:pPr>
              <w:spacing w:after="0"/>
              <w:rPr>
                <w:sz w:val="20"/>
                <w:szCs w:val="20"/>
                <w:color w:val="auto"/>
              </w:rPr>
            </w:pPr>
          </w:p>
        </w:tc>
      </w:tr>
      <w:tr>
        <w:trPr>
          <w:trHeight w:val="540"/>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24"/>
                <w:szCs w:val="24"/>
                <w:color w:val="auto"/>
              </w:rPr>
            </w:pPr>
          </w:p>
        </w:tc>
      </w:tr>
      <w:tr>
        <w:trPr>
          <w:trHeight w:val="204"/>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tcPr>
          <w:p>
            <w:pPr>
              <w:spacing w:after="0"/>
              <w:rPr>
                <w:sz w:val="17"/>
                <w:szCs w:val="17"/>
                <w:color w:val="auto"/>
              </w:rPr>
            </w:pPr>
          </w:p>
        </w:tc>
      </w:tr>
      <w:tr>
        <w:trPr>
          <w:trHeight w:val="32"/>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Summarized Statement of Operations: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Pr>
          <w:p>
            <w:pPr>
              <w:spacing w:after="0"/>
              <w:rPr>
                <w:sz w:val="18"/>
                <w:szCs w:val="18"/>
                <w:color w:val="auto"/>
              </w:rPr>
            </w:pP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3"/>
        </w:trPr>
        <w:tc>
          <w:tcPr>
            <w:tcW w:w="7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20" w:type="dxa"/>
            <w:vAlign w:val="bottom"/>
          </w:tcPr>
          <w:p>
            <w:pPr>
              <w:spacing w:after="0"/>
              <w:rPr>
                <w:sz w:val="20"/>
                <w:szCs w:val="20"/>
                <w:color w:val="auto"/>
              </w:rPr>
            </w:pPr>
          </w:p>
        </w:tc>
      </w:tr>
      <w:tr>
        <w:trPr>
          <w:trHeight w:val="26"/>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20" w:type="dxa"/>
            <w:vAlign w:val="bottom"/>
            <w:shd w:val="clear" w:color="auto" w:fill="CCEEFF"/>
          </w:tcPr>
          <w:p>
            <w:pPr>
              <w:spacing w:after="0"/>
              <w:rPr>
                <w:sz w:val="20"/>
                <w:szCs w:val="20"/>
                <w:color w:val="auto"/>
              </w:rPr>
            </w:pPr>
          </w:p>
        </w:tc>
      </w:tr>
      <w:tr>
        <w:trPr>
          <w:trHeight w:val="26"/>
        </w:trPr>
        <w:tc>
          <w:tcPr>
            <w:tcW w:w="7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46" w:lineRule="exact"/>
        <w:rPr>
          <w:sz w:val="20"/>
          <w:szCs w:val="20"/>
          <w:color w:val="auto"/>
        </w:rPr>
      </w:pPr>
    </w:p>
    <w:p>
      <w:pPr>
        <w:jc w:val="both"/>
        <w:ind w:firstLine="621"/>
        <w:spacing w:after="0" w:line="29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 have been no changes in our critical accounting estimates from those disclosed in our </w:t>
      </w:r>
      <w:hyperlink r:id="rId32">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See Note 2—</w:t>
      </w:r>
      <w:r>
        <w:rPr>
          <w:rFonts w:ascii="Times New Roman" w:cs="Times New Roman" w:eastAsia="Times New Roman" w:hAnsi="Times New Roman"/>
          <w:sz w:val="17"/>
          <w:szCs w:val="17"/>
          <w:u w:val="single" w:color="auto"/>
          <w:color w:val="0000FF"/>
        </w:rPr>
        <w:t>Summary of Significant Accounting Policies</w:t>
      </w:r>
      <w:r>
        <w:rPr>
          <w:rFonts w:ascii="Times New Roman" w:cs="Times New Roman" w:eastAsia="Times New Roman" w:hAnsi="Times New Roman"/>
          <w:sz w:val="17"/>
          <w:szCs w:val="17"/>
          <w:color w:val="auto"/>
        </w:rPr>
        <w:t xml:space="preserve"> of the notes to the condensed consolidated financial statements for recent accounting pronouncements not yet adopted, if any.</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246"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conflicts in the Middle East, changes in interest rates and inflation and global supply chain disruptions that may lead to future price volatility. We cannot predict events that may lead to future price volatility and the near term energy outlook remains subject to heightened levels of uncertainty. Further, the prices we receive for production depend on many other factors outside of our control.</w:t>
      </w:r>
    </w:p>
    <w:p>
      <w:pPr>
        <w:sectPr>
          <w:pgSz w:w="11900" w:h="16838" w:orient="portrait"/>
          <w:cols w:equalWidth="0" w:num="1">
            <w:col w:w="11240"/>
          </w:cols>
          <w:pgMar w:left="320" w:top="118" w:right="339" w:bottom="1440" w:gutter="0" w:footer="0" w:header="0"/>
        </w:sectPr>
      </w:pPr>
    </w:p>
    <w:p>
      <w:pPr>
        <w:spacing w:after="0" w:line="3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use derivatives, including swaps, basis swaps, roll swaps, costless collars, puts and basis puts, to reduce price volatility associated with certain of our oil and natural gas sales.</w:t>
      </w:r>
    </w:p>
    <w:p>
      <w:pPr>
        <w:spacing w:after="0" w:line="17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At September 30, 2025, we had a net asset derivative position of $90 million related to our commodity price risk derivatives. Utilizing actual derivative contractual volumes under our commodity price derivatives as of September 30, 2025, a 10% increase in forward curves associated with the underlying commodity would have decreased the net asset position by $27 million to $63 million, while a 10% decrease in forward curves associated with the underlying commodity would have increased the net asset position by $71 million to $161 million. However, any cash derivative gain or loss may be substantially offset by a decrease or increase, respectively, in the actual sales value of production covered by the derivative instrument. For additional information on our open commodity derivative instruments at September 30, 2025, see Note 13—</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Counterparty and Customer Credit Risk</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principal exposures to credit risk are due to the concentration of receivables from the sale of our oil and natural gas production (approximately $1.3 billion at September 30, 2025), and to a lesser extent, receivables resulting from joint interest and other receivables (approximately $244 million at September 30, 2025).</w:t>
      </w:r>
    </w:p>
    <w:p>
      <w:pPr>
        <w:spacing w:after="0" w:line="18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are subject to market risk exposure related to changes in interest rates on our indebtedness under our revolving credit facilities, 2025 Term Loan and changes in the fair value of our fixed rate debt.</w:t>
      </w:r>
    </w:p>
    <w:p>
      <w:pPr>
        <w:spacing w:after="0" w:line="173"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Outstanding borrowings under our Credit Agreement bear interest at a per annum rate elected by Diamondback E&amp;P that is equal to (i) term SOFR or (ii) an alternate base rate (which is equal to the greatest of the prime rate, the Federal Funds effective rate plus 0.50% and 1-month term SOFR plus 1.0%, subject to a 1.0% floor), in each case plus the applicable margin. At September 30, 2025, the applicable margin ranges from 0.000% to 0.750% per annum in the case of the alternate base rate and from 1.000% to 1.750% per annum in the case of term SOFR, in each case based on the pricing level for our revolving credit facility. We are obligated to pay a quarterly commitment fee ranging from 0.100% to 0.250% per year on the unused portion of the commitment for our revolving credit facility.</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Outstanding borrowings under the 2025 Term Loan bear interest at a per annum rate elected by the Company that is equal to (i) Adjusted Term SOFR or</w:t>
      </w:r>
    </w:p>
    <w:p>
      <w:pPr>
        <w:spacing w:after="0" w:line="30" w:lineRule="exact"/>
        <w:rPr>
          <w:sz w:val="20"/>
          <w:szCs w:val="20"/>
          <w:color w:val="auto"/>
        </w:rPr>
      </w:pPr>
    </w:p>
    <w:p>
      <w:pPr>
        <w:jc w:val="both"/>
        <w:ind w:firstLine="3"/>
        <w:spacing w:after="0" w:line="258" w:lineRule="auto"/>
        <w:tabs>
          <w:tab w:leader="none" w:pos="25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alternate base rate (which is equal to the greatest of (a) the Federal Funds effective rate plus 0.50%, (b) the prime rate, (c) Adjusted Term SOFR plus 1.0%, and (d) 1.0%), in each case plus the applicable margin. At September 30, 2025, the applicable margin ranges from 0.125% to 1.000% per annum in the case of the alternate base rate and from 1.125% to 2.000% per annum in the case of Adjusted Term SOFR, in each case based on the pricing level for the 2025 Term Loan. We are obligated to pay a commitment fee equal to 0.125% per year on the aggregate principal amount of the commitments for the 2025 Term Loan.</w:t>
      </w:r>
    </w:p>
    <w:p>
      <w:pPr>
        <w:spacing w:after="0" w:line="20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Borrowings under the Viper LLC Revolving Credit Facility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For Viper LLC’s revolving credit facility, the applicable margin ranges from 0.125% to 1.000% per annum in the case of the alternate base rate and from 1.125% to 2.000% per annum in the case of term SOFR, in each case based on the pricing level. Viper is obligated to pay a commitment fee equal to 0.125% to 0.325% per year on the aggregate principal amount of the commitments.</w:t>
      </w:r>
    </w:p>
    <w:p>
      <w:pPr>
        <w:spacing w:after="0" w:line="19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Borrowings under the Viper Term Loan bear interest at a per annum rate elected by Viper LLC that is equal to term SOFR or an alternate base rate (which is equal to the greatest of the prime rate, the Federal Funds effective rate plus 0.50% and 1-month term SOFR plus 1.0%, subject to a 1.0% floor), in each case plus the applicable margin. For the Viper Term Loan, the applicable margin ranges from 0.250% to 1.125% per annum in the case of the alternate base rate loans and from 1.250% to 2.125% per annum in the case of term SOFR loans, in each case based on the pricing level. The pricing level depends on the rating of Viper’s long-term senior unsecured debt by certain ratings agencies. Viper is obligated to pay a commitment fee equal to 0.20% per annum on the aggregate principal amount of the commitments.</w:t>
      </w:r>
    </w:p>
    <w:p>
      <w:pPr>
        <w:spacing w:after="0" w:line="1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pricing levels described above depend on certain rating agencies’ ratings of our long-term senior unsecured debt and on the ratings of Viper’s long-term senior unsecured debt as applicable. We believe significant interest rate changes would not have a material near-term impact on our future earnings or cash flows. For additional information on our variable interest rate debt at September 30, 2025, see Note 9—</w:t>
      </w:r>
      <w:r>
        <w:rPr>
          <w:rFonts w:ascii="Times New Roman" w:cs="Times New Roman" w:eastAsia="Times New Roman" w:hAnsi="Times New Roman"/>
          <w:sz w:val="17"/>
          <w:szCs w:val="17"/>
          <w:u w:val="single" w:color="auto"/>
          <w:color w:val="0000FF"/>
        </w:rPr>
        <w:t>Debt</w:t>
      </w:r>
      <w:r>
        <w:rPr>
          <w:rFonts w:ascii="Times New Roman" w:cs="Times New Roman" w:eastAsia="Times New Roman" w:hAnsi="Times New Roman"/>
          <w:sz w:val="17"/>
          <w:szCs w:val="17"/>
          <w:color w:val="auto"/>
        </w:rPr>
        <w:t xml:space="preserve"> of the notes to the condensed consolidated financial statements.</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Historically, we have at times used interest rate swaps to manage our exposure to (i) interest rate changes on our floating-rate debt, and (ii) fair value changes on our fixed rate debt. At September 30, 2025, we have interest rate swap agreements for an aggregate $300 million notional amount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September 30, 2025, our receive-fixed, pay-variable interest rate swaps were in a liability position of $31 million and the weighted average variable rate was 5.81%. For additional information on our interest rate swaps, see Note 13—</w:t>
      </w:r>
      <w:r>
        <w:rPr>
          <w:rFonts w:ascii="Times New Roman" w:cs="Times New Roman" w:eastAsia="Times New Roman" w:hAnsi="Times New Roman"/>
          <w:sz w:val="17"/>
          <w:szCs w:val="17"/>
          <w:u w:val="single" w:color="auto"/>
          <w:color w:val="0000FF"/>
        </w:rPr>
        <w:t>Derivatives</w:t>
      </w:r>
      <w:r>
        <w:rPr>
          <w:rFonts w:ascii="Times New Roman" w:cs="Times New Roman" w:eastAsia="Times New Roman" w:hAnsi="Times New Roman"/>
          <w:sz w:val="17"/>
          <w:szCs w:val="17"/>
          <w:color w:val="auto"/>
        </w:rPr>
        <w:t xml:space="preserve"> of the notes to the condensed consolidated financial statements.</w:t>
      </w:r>
    </w:p>
    <w:p>
      <w:pPr>
        <w:spacing w:after="0" w:line="1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4"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Under the direction of our Chief Executive Officer and Chief Financial Officer, we have established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September 30, 2025,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2025, our disclosure controls and procedures are effective.</w:t>
      </w:r>
    </w:p>
    <w:p>
      <w:pPr>
        <w:spacing w:after="0" w:line="19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r>
        <w:rPr>
          <w:rFonts w:ascii="Times New Roman" w:cs="Times New Roman" w:eastAsia="Times New Roman" w:hAnsi="Times New Roman"/>
          <w:sz w:val="17"/>
          <w:szCs w:val="17"/>
          <w:color w:val="auto"/>
        </w:rPr>
        <w:t>. Management’s assessment of, and conclusion on, the effectiveness of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did not include the internal controls of the entities acquired in the Sitio Acquisition on August 19, 2025.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Sitio’s and our internal controls over financial reporting. As a result of these integration activities, certain controls will be evaluated and may be changed. Except as noted above, there have not been any changes in our internal control over financial reporting that occurred during the quarter ended September 30, 2025, that have materially affected, or are reasonably likely to materially affect, internal controls over financial reporting.</w:t>
      </w:r>
    </w:p>
    <w:p>
      <w:pPr>
        <w:spacing w:after="0" w:line="3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219710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2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Diamondback has elected to use a $1 million threshold for disclosing certain environmental proceedings to which a federal, state or local governmental authority is a party</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16—</w:t>
      </w:r>
      <w:r>
        <w:rPr>
          <w:rFonts w:ascii="Times New Roman" w:cs="Times New Roman" w:eastAsia="Times New Roman" w:hAnsi="Times New Roman"/>
          <w:sz w:val="17"/>
          <w:szCs w:val="17"/>
          <w:u w:val="single" w:color="auto"/>
          <w:color w:val="0000FF"/>
        </w:rPr>
        <w:t>Commitments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Contingencies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the notes to the condensed consolidated financial statements.</w:t>
      </w:r>
    </w:p>
    <w:p>
      <w:pPr>
        <w:spacing w:after="0" w:line="19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9" w:lineRule="exact"/>
        <w:rPr>
          <w:sz w:val="20"/>
          <w:szCs w:val="20"/>
          <w:color w:val="auto"/>
        </w:rPr>
      </w:pPr>
    </w:p>
    <w:p>
      <w:pPr>
        <w:jc w:val="both"/>
        <w:ind w:firstLine="621"/>
        <w:spacing w:after="0" w:line="263" w:lineRule="auto"/>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auto"/>
          </w:rPr>
          <w:t xml:space="preserve">As of the date of this filing, we continue to be subject to the risk factors previously disclosed in </w:t>
        </w:r>
        <w:r>
          <w:rPr>
            <w:rFonts w:ascii="Times New Roman" w:cs="Times New Roman" w:eastAsia="Times New Roman" w:hAnsi="Times New Roman"/>
            <w:sz w:val="17"/>
            <w:szCs w:val="17"/>
            <w:u w:val="single" w:color="auto"/>
            <w:color w:val="0000FF"/>
          </w:rPr>
          <w:t>Part I, Item 1A. Risk Factors in our Annual Report on</w:t>
        </w:r>
      </w:hyperlink>
      <w:r>
        <w:rPr>
          <w:rFonts w:ascii="Times New Roman" w:cs="Times New Roman" w:eastAsia="Times New Roman" w:hAnsi="Times New Roman"/>
          <w:sz w:val="17"/>
          <w:szCs w:val="17"/>
          <w:color w:val="auto"/>
        </w:rPr>
        <w:t xml:space="preserve"> </w:t>
      </w:r>
      <w:hyperlink r:id="rId103">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year ended December 31, 2024, filed with the SEC on February 26, 2025,</w:t>
        </w:r>
        <w:r>
          <w:rPr>
            <w:rFonts w:ascii="Times New Roman" w:cs="Times New Roman" w:eastAsia="Times New Roman" w:hAnsi="Times New Roman"/>
            <w:sz w:val="17"/>
            <w:szCs w:val="17"/>
            <w:color w:val="0000FF"/>
          </w:rPr>
          <w:t xml:space="preserve"> </w:t>
        </w:r>
      </w:hyperlink>
      <w:hyperlink r:id="rId94">
        <w:r>
          <w:rPr>
            <w:rFonts w:ascii="Times New Roman" w:cs="Times New Roman" w:eastAsia="Times New Roman" w:hAnsi="Times New Roman"/>
            <w:sz w:val="17"/>
            <w:szCs w:val="17"/>
            <w:u w:val="single" w:color="auto"/>
            <w:color w:val="0000FF"/>
          </w:rPr>
          <w:t>Part II, Item 1A Risk Factors in our Quarterly Report on Form 10-Q</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for the quarterly period ended March 31, 2025, filed with the SEC on May 7, 2025, and in subsequent filings we make with the SEC. There have been no material </w:t>
      </w:r>
      <w:hyperlink r:id="rId104">
        <w:r>
          <w:rPr>
            <w:rFonts w:ascii="Times New Roman" w:cs="Times New Roman" w:eastAsia="Times New Roman" w:hAnsi="Times New Roman"/>
            <w:sz w:val="17"/>
            <w:szCs w:val="17"/>
            <w:color w:val="000000"/>
          </w:rPr>
          <w:t xml:space="preserve">changes in our risk factors from those described in our </w:t>
        </w:r>
        <w:r>
          <w:rPr>
            <w:rFonts w:ascii="Times New Roman" w:cs="Times New Roman" w:eastAsia="Times New Roman" w:hAnsi="Times New Roman"/>
            <w:sz w:val="17"/>
            <w:szCs w:val="17"/>
            <w:u w:val="single" w:color="auto"/>
            <w:color w:val="0000FF"/>
          </w:rPr>
          <w:t>Annual Report on Form 10-K</w:t>
        </w:r>
        <w:r>
          <w:rPr>
            <w:rFonts w:ascii="Times New Roman" w:cs="Times New Roman" w:eastAsia="Times New Roman" w:hAnsi="Times New Roman"/>
            <w:sz w:val="17"/>
            <w:szCs w:val="17"/>
            <w:color w:val="000000"/>
          </w:rPr>
          <w:t xml:space="preserve"> for the year ended December 31, 2024, and in our </w:t>
        </w:r>
        <w:r>
          <w:rPr>
            <w:rFonts w:ascii="Times New Roman" w:cs="Times New Roman" w:eastAsia="Times New Roman" w:hAnsi="Times New Roman"/>
            <w:sz w:val="17"/>
            <w:szCs w:val="17"/>
            <w:u w:val="single" w:color="auto"/>
            <w:color w:val="0000FF"/>
          </w:rPr>
          <w:t>Quarterly Report on Form</w:t>
        </w:r>
      </w:hyperlink>
      <w:r>
        <w:rPr>
          <w:rFonts w:ascii="Times New Roman" w:cs="Times New Roman" w:eastAsia="Times New Roman" w:hAnsi="Times New Roman"/>
          <w:sz w:val="17"/>
          <w:szCs w:val="17"/>
          <w:color w:val="000000"/>
        </w:rPr>
        <w:t xml:space="preserve"> </w:t>
      </w:r>
      <w:hyperlink r:id="rId104">
        <w:r>
          <w:rPr>
            <w:rFonts w:ascii="Times New Roman" w:cs="Times New Roman" w:eastAsia="Times New Roman" w:hAnsi="Times New Roman"/>
            <w:sz w:val="17"/>
            <w:szCs w:val="17"/>
            <w:u w:val="single" w:color="auto"/>
            <w:color w:val="0000FF"/>
          </w:rPr>
          <w:t>10-Q</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the quarterly period ended March 31, 2025.</w:t>
        </w:r>
      </w:hyperlink>
    </w:p>
    <w:p>
      <w:pPr>
        <w:spacing w:after="0" w:line="195" w:lineRule="exact"/>
        <w:rPr>
          <w:rFonts w:ascii="Times New Roman" w:cs="Times New Roman" w:eastAsia="Times New Roman" w:hAnsi="Times New Roman"/>
          <w:sz w:val="17"/>
          <w:szCs w:val="17"/>
          <w:color w:val="0000FF"/>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44" w:lineRule="exact"/>
        <w:rPr>
          <w:rFonts w:ascii="Times New Roman" w:cs="Times New Roman" w:eastAsia="Times New Roman" w:hAnsi="Times New Roman"/>
          <w:sz w:val="17"/>
          <w:szCs w:val="17"/>
          <w:color w:val="0000FF"/>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6" w:lineRule="exact"/>
        <w:rPr>
          <w:rFonts w:ascii="Times New Roman" w:cs="Times New Roman" w:eastAsia="Times New Roman" w:hAnsi="Times New Roman"/>
          <w:sz w:val="17"/>
          <w:szCs w:val="17"/>
          <w:color w:val="0000FF"/>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0000FF"/>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246" w:lineRule="exact"/>
        <w:rPr>
          <w:rFonts w:ascii="Times New Roman" w:cs="Times New Roman" w:eastAsia="Times New Roman" w:hAnsi="Times New Roman"/>
          <w:sz w:val="17"/>
          <w:szCs w:val="17"/>
          <w:color w:val="0000FF"/>
        </w:rPr>
      </w:pPr>
    </w:p>
    <w:p>
      <w:pPr>
        <w:ind w:left="620"/>
        <w:spacing w:after="0"/>
        <w:rPr>
          <w:sz w:val="20"/>
          <w:szCs w:val="20"/>
          <w:color w:val="auto"/>
        </w:rPr>
      </w:pPr>
      <w:r>
        <w:rPr>
          <w:rFonts w:ascii="Times New Roman" w:cs="Times New Roman" w:eastAsia="Times New Roman" w:hAnsi="Times New Roman"/>
          <w:sz w:val="17"/>
          <w:szCs w:val="17"/>
          <w:color w:val="auto"/>
        </w:rPr>
        <w:t>Our common stock repurchase activity for the three months ended September 30, 2025, was as follows:</w:t>
      </w:r>
    </w:p>
    <w:p>
      <w:pPr>
        <w:spacing w:after="0" w:line="296" w:lineRule="exact"/>
        <w:rPr>
          <w:rFonts w:ascii="Times New Roman" w:cs="Times New Roman" w:eastAsia="Times New Roman" w:hAnsi="Times New Roman"/>
          <w:sz w:val="17"/>
          <w:szCs w:val="17"/>
          <w:color w:val="0000FF"/>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Approximate Dollar Value of</w:t>
            </w:r>
          </w:p>
        </w:tc>
      </w:tr>
      <w:tr>
        <w:trPr>
          <w:trHeight w:val="181"/>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5"/>
                <w:szCs w:val="15"/>
                <w:color w:val="auto"/>
              </w:rPr>
            </w:pPr>
          </w:p>
        </w:tc>
        <w:tc>
          <w:tcPr>
            <w:tcW w:w="1000" w:type="dxa"/>
            <w:vAlign w:val="bottom"/>
          </w:tcPr>
          <w:p>
            <w:pPr>
              <w:jc w:val="right"/>
              <w:ind w:right="243"/>
              <w:spacing w:after="0" w:line="181" w:lineRule="exact"/>
              <w:rPr>
                <w:sz w:val="20"/>
                <w:szCs w:val="20"/>
                <w:color w:val="auto"/>
              </w:rPr>
            </w:pPr>
            <w:r>
              <w:rPr>
                <w:rFonts w:ascii="Times New Roman" w:cs="Times New Roman" w:eastAsia="Times New Roman" w:hAnsi="Times New Roman"/>
                <w:sz w:val="16"/>
                <w:szCs w:val="16"/>
                <w:b w:val="1"/>
                <w:bCs w:val="1"/>
                <w:color w:val="auto"/>
              </w:rPr>
              <w:t>Paid Per</w:t>
            </w:r>
          </w:p>
        </w:tc>
        <w:tc>
          <w:tcPr>
            <w:tcW w:w="24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7"/>
              </w:rPr>
              <w:t>Total Number of Shares Purchased</w:t>
            </w:r>
          </w:p>
        </w:tc>
        <w:tc>
          <w:tcPr>
            <w:tcW w:w="200" w:type="dxa"/>
            <w:vAlign w:val="bottom"/>
          </w:tcPr>
          <w:p>
            <w:pPr>
              <w:spacing w:after="0"/>
              <w:rPr>
                <w:sz w:val="15"/>
                <w:szCs w:val="15"/>
                <w:color w:val="auto"/>
              </w:rPr>
            </w:pPr>
          </w:p>
        </w:tc>
        <w:tc>
          <w:tcPr>
            <w:tcW w:w="202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w w:val="95"/>
              </w:rPr>
              <w:t>Shares that May Yet Be</w:t>
            </w:r>
          </w:p>
        </w:tc>
      </w:tr>
      <w:tr>
        <w:trPr>
          <w:trHeight w:val="236"/>
        </w:trPr>
        <w:tc>
          <w:tcPr>
            <w:tcW w:w="3980" w:type="dxa"/>
            <w:vAlign w:val="bottom"/>
            <w:gridSpan w:val="2"/>
          </w:tcPr>
          <w:p>
            <w:pPr>
              <w:ind w:left="17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Shares Purchased</w:t>
            </w:r>
            <w:r>
              <w:rPr>
                <w:rFonts w:ascii="Times New Roman" w:cs="Times New Roman" w:eastAsia="Times New Roman" w:hAnsi="Times New Roman"/>
                <w:sz w:val="20"/>
                <w:szCs w:val="20"/>
                <w:b w:val="1"/>
                <w:bCs w:val="1"/>
                <w:color w:val="auto"/>
                <w:w w:val="95"/>
                <w:vertAlign w:val="superscript"/>
              </w:rPr>
              <w:t>(1)</w:t>
            </w:r>
          </w:p>
        </w:tc>
        <w:tc>
          <w:tcPr>
            <w:tcW w:w="220" w:type="dxa"/>
            <w:vAlign w:val="bottom"/>
          </w:tcPr>
          <w:p>
            <w:pPr>
              <w:spacing w:after="0"/>
              <w:rPr>
                <w:sz w:val="20"/>
                <w:szCs w:val="20"/>
                <w:color w:val="auto"/>
              </w:rPr>
            </w:pPr>
          </w:p>
        </w:tc>
        <w:tc>
          <w:tcPr>
            <w:tcW w:w="1000" w:type="dxa"/>
            <w:vAlign w:val="bottom"/>
          </w:tcPr>
          <w:p>
            <w:pPr>
              <w:jc w:val="right"/>
              <w:ind w:right="223"/>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Share</w:t>
            </w:r>
            <w:r>
              <w:rPr>
                <w:rFonts w:ascii="Times New Roman" w:cs="Times New Roman" w:eastAsia="Times New Roman" w:hAnsi="Times New Roman"/>
                <w:sz w:val="9"/>
                <w:szCs w:val="9"/>
                <w:b w:val="1"/>
                <w:bCs w:val="1"/>
                <w:color w:val="auto"/>
              </w:rPr>
              <w:t>(2)(4)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as Part of Publicly Announced Plan</w:t>
            </w: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Purchased Under the Plan</w:t>
            </w:r>
            <w:r>
              <w:rPr>
                <w:rFonts w:ascii="Times New Roman" w:cs="Times New Roman" w:eastAsia="Times New Roman" w:hAnsi="Times New Roman"/>
                <w:sz w:val="20"/>
                <w:szCs w:val="20"/>
                <w:b w:val="1"/>
                <w:bCs w:val="1"/>
                <w:color w:val="auto"/>
                <w:w w:val="93"/>
                <w:vertAlign w:val="superscript"/>
              </w:rPr>
              <w:t>(3)(4)</w:t>
            </w:r>
          </w:p>
        </w:tc>
      </w:tr>
      <w:tr>
        <w:trPr>
          <w:trHeight w:val="216"/>
        </w:trPr>
        <w:tc>
          <w:tcPr>
            <w:tcW w:w="3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40" w:type="dxa"/>
            <w:vAlign w:val="bottom"/>
            <w:tcBorders>
              <w:top w:val="single" w:sz="8" w:color="auto"/>
            </w:tcBorders>
            <w:gridSpan w:val="4"/>
          </w:tcPr>
          <w:p>
            <w:pPr>
              <w:jc w:val="right"/>
              <w:ind w:right="1559"/>
              <w:spacing w:after="0"/>
              <w:rPr>
                <w:sz w:val="20"/>
                <w:szCs w:val="20"/>
                <w:color w:val="auto"/>
              </w:rPr>
            </w:pPr>
            <w:r>
              <w:rPr>
                <w:rFonts w:ascii="Times New Roman" w:cs="Times New Roman" w:eastAsia="Times New Roman" w:hAnsi="Times New Roman"/>
                <w:sz w:val="16"/>
                <w:szCs w:val="16"/>
                <w:b w:val="1"/>
                <w:bCs w:val="1"/>
                <w:color w:val="auto"/>
                <w:w w:val="97"/>
              </w:rPr>
              <w:t>(In millions, except per share amounts, shares in thousands)</w:t>
            </w:r>
          </w:p>
        </w:tc>
      </w:tr>
      <w:tr>
        <w:trPr>
          <w:trHeight w:val="248"/>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2025 - July 31, 2025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142.32</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w:t>
            </w:r>
          </w:p>
        </w:tc>
      </w:tr>
      <w:tr>
        <w:trPr>
          <w:trHeight w:val="231"/>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2025 - August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rPr>
              <w:t>140.19</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3,285</w:t>
            </w:r>
          </w:p>
        </w:tc>
      </w:tr>
      <w:tr>
        <w:trPr>
          <w:trHeight w:val="28"/>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9"/>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2025 - September 30, 2025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139.24</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r>
      <w:tr>
        <w:trPr>
          <w:trHeight w:val="251"/>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7"/>
                <w:szCs w:val="17"/>
                <w:color w:val="auto"/>
              </w:rPr>
              <w:t>140.70</w:t>
            </w: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2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72" w:lineRule="exact"/>
        <w:rPr>
          <w:rFonts w:ascii="Times New Roman" w:cs="Times New Roman" w:eastAsia="Times New Roman" w:hAnsi="Times New Roman"/>
          <w:sz w:val="17"/>
          <w:szCs w:val="17"/>
          <w:color w:val="0000FF"/>
        </w:rPr>
      </w:pPr>
    </w:p>
    <w:p>
      <w:pPr>
        <w:ind w:left="320" w:hanging="317"/>
        <w:spacing w:after="0" w:line="265"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3,426 shares of common stock repurchased from executives in order to satisfy tax withholding requirements. Such shares are canceled and retired immediately upon repurchase.</w:t>
      </w:r>
    </w:p>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price paid per share includes any commissions paid to repurchase stock.</w:t>
      </w:r>
    </w:p>
    <w:p>
      <w:pPr>
        <w:spacing w:after="0" w:line="11" w:lineRule="exact"/>
        <w:rPr>
          <w:rFonts w:ascii="Times New Roman" w:cs="Times New Roman" w:eastAsia="Times New Roman" w:hAnsi="Times New Roman"/>
          <w:sz w:val="17"/>
          <w:szCs w:val="17"/>
          <w:color w:val="auto"/>
        </w:rPr>
      </w:pPr>
    </w:p>
    <w:p>
      <w:pPr>
        <w:ind w:left="320" w:hanging="317"/>
        <w:spacing w:after="0" w:line="254"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31, 2025, our board of directors approved a $2.0 billion increase in our common stock repurchase authorization from $6.0 billion to $8.0 billion, excluding excise tax. The stock repurchase program has no time limit and may be suspended, modified, or discontinued by the board of directors at any time.</w:t>
      </w:r>
    </w:p>
    <w:p>
      <w:pPr>
        <w:ind w:left="320" w:hanging="317"/>
        <w:spacing w:after="0" w:line="268" w:lineRule="auto"/>
        <w:tabs>
          <w:tab w:leader="none" w:pos="3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rFonts w:ascii="Times New Roman" w:cs="Times New Roman" w:eastAsia="Times New Roman" w:hAnsi="Times New Roman"/>
          <w:sz w:val="17"/>
          <w:szCs w:val="17"/>
          <w:color w:val="0000FF"/>
        </w:rPr>
      </w:pPr>
    </w:p>
    <w:p>
      <w:pPr>
        <w:spacing w:after="0" w:line="200" w:lineRule="exact"/>
        <w:rPr>
          <w:rFonts w:ascii="Times New Roman" w:cs="Times New Roman" w:eastAsia="Times New Roman" w:hAnsi="Times New Roman"/>
          <w:sz w:val="17"/>
          <w:szCs w:val="17"/>
          <w:color w:val="0000FF"/>
        </w:rPr>
      </w:pPr>
    </w:p>
    <w:p>
      <w:pPr>
        <w:spacing w:after="0" w:line="205" w:lineRule="exact"/>
        <w:rPr>
          <w:rFonts w:ascii="Times New Roman" w:cs="Times New Roman" w:eastAsia="Times New Roman" w:hAnsi="Times New Roman"/>
          <w:sz w:val="17"/>
          <w:szCs w:val="17"/>
          <w:color w:val="0000FF"/>
        </w:rPr>
      </w:pPr>
    </w:p>
    <w:p>
      <w:pPr>
        <w:ind w:left="58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4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August 13, 2025, Charles A. Meloy, a member of the board of directors of the Company, adopted a Rule 10b5-1 trading agreement intended to satisfy Rule 10b5-1(c), as amended. The plan relates to the sale of up to 110,000 shares of our common stock between November 12, 2025, and May 8, 2026. The shares covered by this plan include shares of common stock currently held by Wolfrock Energy, L.L.C., a Texas limited liability company of which Mr. Meloy is the sole manager and has voting and dispositive power over the shares of common stock.</w:t>
      </w:r>
    </w:p>
    <w:p>
      <w:pPr>
        <w:spacing w:after="0" w:line="19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None of the Company’s other directors or officers adopted or terminated a Rule 10b5-1 trading arrangement or a non-Rule 10b5-1 trading arrangement during the Company’s fiscal quarter ended September 30, 2025.</w:t>
      </w:r>
    </w:p>
    <w:p>
      <w:pPr>
        <w:spacing w:after="0" w:line="173" w:lineRule="exact"/>
        <w:rPr>
          <w:sz w:val="20"/>
          <w:szCs w:val="20"/>
          <w:color w:val="auto"/>
        </w:rPr>
      </w:pPr>
    </w:p>
    <w:p>
      <w:pPr>
        <w:jc w:val="both"/>
        <w:ind w:firstLine="621"/>
        <w:spacing w:after="0" w:line="265" w:lineRule="auto"/>
        <w:rPr>
          <w:sz w:val="20"/>
          <w:szCs w:val="20"/>
          <w:color w:val="auto"/>
        </w:rPr>
      </w:pPr>
      <w:r>
        <w:rPr>
          <w:rFonts w:ascii="Times New Roman" w:cs="Times New Roman" w:eastAsia="Times New Roman" w:hAnsi="Times New Roman"/>
          <w:sz w:val="17"/>
          <w:szCs w:val="17"/>
          <w:color w:val="auto"/>
        </w:rPr>
        <w:t>On October 31, 2025, the Company’s board of directors approved certain amendments to our Fifth Amended and Restated Bylaws, effective immediately (as amended and restated, the “Sixth Amended and Restated Bylaws”). Among other things, the Sixth Amended and Restated Bylaws:</w:t>
      </w:r>
    </w:p>
    <w:p>
      <w:pPr>
        <w:spacing w:after="0" w:line="1" w:lineRule="exact"/>
        <w:rPr>
          <w:sz w:val="20"/>
          <w:szCs w:val="20"/>
          <w:color w:val="auto"/>
        </w:rPr>
      </w:pPr>
    </w:p>
    <w:p>
      <w:pPr>
        <w:ind w:left="620" w:hanging="306"/>
        <w:spacing w:after="0" w:line="254"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clarify and enhance procedural mechanics and disclosure requirements relating to stockholders calling special meetings and stockholder director nominations and submissions of proposals, including requiring additional background information from proposed director nominees;</w:t>
      </w:r>
    </w:p>
    <w:p>
      <w:pPr>
        <w:ind w:left="620" w:hanging="306"/>
        <w:spacing w:after="0" w:line="254" w:lineRule="auto"/>
        <w:tabs>
          <w:tab w:leader="none" w:pos="61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federal forum provision, selecting federal courts as the exclusive forum for claims under the Securities Act, unless the Company consents in writing to the selection of an alternative forum; and</w:t>
      </w:r>
    </w:p>
    <w:p>
      <w:pPr>
        <w:ind w:left="620" w:hanging="306"/>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other technical, conforming, modernizing and clarifying amendments.</w:t>
      </w:r>
    </w:p>
    <w:p>
      <w:pPr>
        <w:spacing w:after="0" w:line="11" w:lineRule="exact"/>
        <w:rPr>
          <w:sz w:val="20"/>
          <w:szCs w:val="20"/>
          <w:color w:val="auto"/>
        </w:rPr>
      </w:pPr>
    </w:p>
    <w:p>
      <w:pPr>
        <w:ind w:firstLine="621"/>
        <w:spacing w:after="0" w:line="268" w:lineRule="auto"/>
        <w:rPr>
          <w:sz w:val="20"/>
          <w:szCs w:val="20"/>
          <w:color w:val="auto"/>
        </w:rPr>
      </w:pPr>
      <w:r>
        <w:rPr>
          <w:rFonts w:ascii="Times New Roman" w:cs="Times New Roman" w:eastAsia="Times New Roman" w:hAnsi="Times New Roman"/>
          <w:sz w:val="17"/>
          <w:szCs w:val="17"/>
          <w:color w:val="auto"/>
        </w:rPr>
        <w:t>The foregoing summary does not purport to be complete and is qualified in its entirety by reference to the full text of the Sixth Amended and Restated Bylaws, a copy of which is filed as Exhibit 3.3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480" w:type="dxa"/>
            <w:vAlign w:val="bottom"/>
            <w:gridSpan w:val="14"/>
          </w:tcPr>
          <w:p>
            <w:pPr>
              <w:ind w:left="4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4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7"/>
          </w:tcPr>
          <w:p>
            <w:pPr>
              <w:ind w:left="38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257"/>
        </w:trPr>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9"/>
        </w:trPr>
        <w:tc>
          <w:tcPr>
            <w:tcW w:w="20" w:type="dxa"/>
            <w:vAlign w:val="bottom"/>
          </w:tcPr>
          <w:p>
            <w:pPr>
              <w:spacing w:after="0"/>
              <w:rPr>
                <w:sz w:val="24"/>
                <w:szCs w:val="24"/>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Number</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4"/>
        </w:trPr>
        <w:tc>
          <w:tcPr>
            <w:tcW w:w="20" w:type="dxa"/>
            <w:vAlign w:val="bottom"/>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3.1</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FF"/>
              <w:right w:val="single" w:sz="8" w:color="CCEEFF"/>
            </w:tcBorders>
            <w:gridSpan w:val="12"/>
            <w:shd w:val="clear" w:color="auto" w:fill="CCEEFF"/>
          </w:tcPr>
          <w:p>
            <w:pPr>
              <w:spacing w:after="0" w:line="194"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Second Amended and Restated Certificate of Incorporation of the Company (incorporated by reference to Exhibit 3.1 to the Form 8-K, File No.</w:t>
              </w:r>
            </w:hyperlink>
          </w:p>
        </w:tc>
      </w:tr>
      <w:tr>
        <w:trPr>
          <w:trHeight w:val="187"/>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87"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001-35700, filed by the Company with the SEC on June 14, 2023).</w:t>
              </w:r>
            </w:hyperlink>
          </w:p>
        </w:tc>
      </w:tr>
      <w:tr>
        <w:trPr>
          <w:trHeight w:val="45"/>
        </w:trPr>
        <w:tc>
          <w:tcPr>
            <w:tcW w:w="20" w:type="dxa"/>
            <w:vAlign w:val="bottom"/>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80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bottom w:val="single" w:sz="8" w:color="0000FF"/>
            </w:tcBorders>
            <w:gridSpan w:val="12"/>
          </w:tcPr>
          <w:p>
            <w:pPr>
              <w:spacing w:after="0" w:line="194"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Certificate of Amendment No. 1 to Second Amended and Restated Certificate of Incorporation of the Company (incorporated by reference to</w:t>
              </w:r>
            </w:hyperlink>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2"/>
          </w:tcPr>
          <w:p>
            <w:pPr>
              <w:spacing w:after="0" w:line="187"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Exhibit 3.1 to the Form 8-K, File No. 001-35700, filed by the Company with the SEC on September 10, 2024).</w:t>
              </w:r>
            </w:hyperlink>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740" w:type="dxa"/>
            <w:vAlign w:val="bottom"/>
            <w:tcBorders>
              <w:top w:val="single" w:sz="8" w:color="0000FF"/>
            </w:tcBorders>
          </w:tcPr>
          <w:p>
            <w:pPr>
              <w:spacing w:after="0"/>
              <w:rPr>
                <w:sz w:val="3"/>
                <w:szCs w:val="3"/>
                <w:color w:val="auto"/>
              </w:rPr>
            </w:pPr>
          </w:p>
        </w:tc>
        <w:tc>
          <w:tcPr>
            <w:tcW w:w="19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3.3*</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Sixth Amended and Restated Bylaws of the Company, adopted as of October 31,2025</w:t>
            </w:r>
            <w:r>
              <w:rPr>
                <w:rFonts w:ascii="Times New Roman" w:cs="Times New Roman" w:eastAsia="Times New Roman" w:hAnsi="Times New Roman"/>
                <w:sz w:val="17"/>
                <w:szCs w:val="17"/>
                <w:color w:val="000000"/>
              </w:rPr>
              <w:t>.</w:t>
            </w:r>
          </w:p>
        </w:tc>
      </w:tr>
      <w:tr>
        <w:trPr>
          <w:trHeight w:val="45"/>
        </w:trPr>
        <w:tc>
          <w:tcPr>
            <w:tcW w:w="20" w:type="dxa"/>
            <w:vAlign w:val="bottom"/>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80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bottom w:val="single" w:sz="8" w:color="0000FF"/>
            </w:tcBorders>
            <w:gridSpan w:val="12"/>
          </w:tcPr>
          <w:p>
            <w:pPr>
              <w:spacing w:after="0" w:line="19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Indenture, dated as of July 23, 2025, between Viper Energy Partners LLC and Computershare Trust Company, National Association, as Trustee</w:t>
              </w:r>
            </w:hyperlink>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2"/>
          </w:tcPr>
          <w:p>
            <w:pPr>
              <w:spacing w:after="0" w:line="187"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(incorporated by reference to Exhibit 4.1 of the Current Report on Form 8-K (file No. 001-36505) filed by Former Viper on July 23, 2025).</w:t>
              </w:r>
            </w:hyperlink>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74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400" w:type="dxa"/>
            <w:vAlign w:val="bottom"/>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4.2</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94"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Second Supplemental Indenture, dated as of August 19, 2025, by and among Viper Opco, New Viper and Computershare Trust Company,</w:t>
              </w:r>
            </w:hyperlink>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80" w:type="dxa"/>
            <w:vAlign w:val="bottom"/>
            <w:tcBorders>
              <w:right w:val="single" w:sz="8" w:color="CCEEFF"/>
            </w:tcBorders>
            <w:gridSpan w:val="4"/>
            <w:shd w:val="clear" w:color="auto" w:fill="0000FF"/>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FF"/>
              <w:right w:val="single" w:sz="8" w:color="CCEEFF"/>
            </w:tcBorders>
            <w:gridSpan w:val="12"/>
            <w:shd w:val="clear" w:color="auto" w:fill="CCEEFF"/>
          </w:tcPr>
          <w:p>
            <w:pPr>
              <w:spacing w:after="0" w:line="187"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National Association (incorporated by reference to Exhibit 4.8 of the Current Report on Form 8-K (File No. 001-42807) filed by New Viper on</w:t>
              </w:r>
            </w:hyperlink>
          </w:p>
        </w:tc>
      </w:tr>
      <w:tr>
        <w:trPr>
          <w:trHeight w:val="232"/>
        </w:trPr>
        <w:tc>
          <w:tcPr>
            <w:tcW w:w="2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0000FF"/>
            </w:tcBorders>
            <w:gridSpan w:val="3"/>
            <w:shd w:val="clear" w:color="auto" w:fill="CCEEFF"/>
          </w:tcPr>
          <w:p>
            <w:pPr>
              <w:spacing w:after="0" w:line="187"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August 19, 2025).</w:t>
              </w:r>
            </w:hyperlink>
          </w:p>
        </w:tc>
        <w:tc>
          <w:tcPr>
            <w:tcW w:w="8740" w:type="dxa"/>
            <w:vAlign w:val="bottom"/>
            <w:tcBorders>
              <w:bottom w:val="single" w:sz="8" w:color="CCEEFF"/>
              <w:right w:val="single" w:sz="8" w:color="CCEEFF"/>
            </w:tcBorders>
            <w:gridSpan w:val="9"/>
            <w:shd w:val="clear" w:color="auto" w:fill="CCEEFF"/>
          </w:tcPr>
          <w:p>
            <w:pPr>
              <w:spacing w:after="0"/>
              <w:rPr>
                <w:sz w:val="20"/>
                <w:szCs w:val="20"/>
                <w:color w:val="auto"/>
              </w:rPr>
            </w:pPr>
          </w:p>
        </w:tc>
      </w:tr>
      <w:tr>
        <w:trPr>
          <w:trHeight w:val="194"/>
        </w:trPr>
        <w:tc>
          <w:tcPr>
            <w:tcW w:w="76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7"/>
                <w:szCs w:val="17"/>
                <w:color w:val="auto"/>
              </w:rPr>
              <w:t>10.1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bottom w:val="single" w:sz="8" w:color="0000FF"/>
            </w:tcBorders>
            <w:gridSpan w:val="12"/>
          </w:tcPr>
          <w:p>
            <w:pPr>
              <w:spacing w:after="0" w:line="194"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Term Loan Credit Agreement, dated as of July 23, 2025, by and among Viper Energy Partners LLC, Former Viper, the lenders party thereto and</w:t>
              </w:r>
            </w:hyperlink>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bottom w:val="single" w:sz="8" w:color="0000FF"/>
            </w:tcBorders>
            <w:gridSpan w:val="12"/>
          </w:tcPr>
          <w:p>
            <w:pPr>
              <w:spacing w:after="0" w:line="187"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Goldman Sachs Bank USA, as administrative agent (incorporated by reference to Exhibit 4.3 of the Current Report on Form 8-K (File No. 001-</w:t>
              </w:r>
            </w:hyperlink>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2"/>
          </w:tcPr>
          <w:p>
            <w:pPr>
              <w:spacing w:after="0" w:line="187"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36505) filed by Former Viper on July 23, 2025).</w:t>
              </w:r>
            </w:hyperlink>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22.1</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FF"/>
              <w:right w:val="single" w:sz="8" w:color="CCEEFF"/>
            </w:tcBorders>
            <w:gridSpan w:val="12"/>
            <w:shd w:val="clear" w:color="auto" w:fill="CCEEFF"/>
          </w:tcPr>
          <w:p>
            <w:pPr>
              <w:spacing w:after="0" w:line="194"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List of Issuers and Subsidiary Guarantors (incorporated by reference to Exhibit 22.1 to the Form 10-Q, File No. 001-35700, filed by the</w:t>
              </w:r>
            </w:hyperlink>
          </w:p>
        </w:tc>
      </w:tr>
      <w:tr>
        <w:trPr>
          <w:trHeight w:val="187"/>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87"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Company with the SEC on August 5, 2021).</w:t>
              </w:r>
            </w:hyperlink>
          </w:p>
        </w:tc>
      </w:tr>
      <w:tr>
        <w:trPr>
          <w:trHeight w:val="45"/>
        </w:trPr>
        <w:tc>
          <w:tcPr>
            <w:tcW w:w="20" w:type="dxa"/>
            <w:vAlign w:val="bottom"/>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80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31.1*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Executive Officer of the Registrant pursuant to Rule 13a-14(a) promulgated under the Securities Exchange Act of 1934,</w:t>
            </w: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0000FF"/>
              </w:rPr>
              <w:t>as amended.</w:t>
            </w: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Financial Officer of the Registrant pursuant to Rule 13a-14(a) promulgated under the Securities Exchange Act of 1934, as</w:t>
            </w:r>
          </w:p>
        </w:tc>
      </w:tr>
      <w:tr>
        <w:trPr>
          <w:trHeight w:val="232"/>
        </w:trPr>
        <w:tc>
          <w:tcPr>
            <w:tcW w:w="20" w:type="dxa"/>
            <w:vAlign w:val="bottom"/>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0000FF"/>
              <w:bottom w:val="single" w:sz="8" w:color="0000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0000FF"/>
              </w:rPr>
              <w:t>amended.</w:t>
            </w:r>
          </w:p>
        </w:tc>
        <w:tc>
          <w:tcPr>
            <w:tcW w:w="9320" w:type="dxa"/>
            <w:vAlign w:val="bottom"/>
            <w:tcBorders>
              <w:top w:val="single" w:sz="8" w:color="0000FF"/>
              <w:bottom w:val="single" w:sz="8" w:color="CCEEFF"/>
              <w:right w:val="single" w:sz="8" w:color="CCEEFF"/>
            </w:tcBorders>
            <w:gridSpan w:val="11"/>
            <w:shd w:val="clear" w:color="auto" w:fill="CCEEFF"/>
          </w:tcPr>
          <w:p>
            <w:pPr>
              <w:spacing w:after="0"/>
              <w:rPr>
                <w:sz w:val="20"/>
                <w:szCs w:val="20"/>
                <w:color w:val="auto"/>
              </w:rPr>
            </w:pPr>
          </w:p>
        </w:tc>
      </w:tr>
      <w:tr>
        <w:trPr>
          <w:trHeight w:val="194"/>
        </w:trPr>
        <w:tc>
          <w:tcPr>
            <w:tcW w:w="76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2"/>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Executive Officer of the Registrant pursuant to Rule 13a-14(b) promulgated under the Securities Exchange Act of 1934,</w:t>
            </w: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tcBorders>
              <w:top w:val="single" w:sz="8" w:color="0000FF"/>
            </w:tcBorders>
            <w:gridSpan w:val="12"/>
          </w:tcPr>
          <w:p>
            <w:pPr>
              <w:spacing w:after="0" w:line="187" w:lineRule="exact"/>
              <w:rPr>
                <w:sz w:val="20"/>
                <w:szCs w:val="20"/>
                <w:color w:val="auto"/>
              </w:rPr>
            </w:pPr>
            <w:r>
              <w:rPr>
                <w:rFonts w:ascii="Times New Roman" w:cs="Times New Roman" w:eastAsia="Times New Roman" w:hAnsi="Times New Roman"/>
                <w:sz w:val="17"/>
                <w:szCs w:val="17"/>
                <w:color w:val="0000FF"/>
              </w:rPr>
              <w:t>as amended, and Section 1350 of Chapter 63 of Title 18 of the United States Code.</w:t>
            </w: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80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4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32.2**</w:t>
            </w: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0" w:type="dxa"/>
            <w:vAlign w:val="bottom"/>
            <w:tcBorders>
              <w:bottom w:val="single" w:sz="8" w:color="0000FF"/>
              <w:right w:val="single" w:sz="8" w:color="CCEEFF"/>
            </w:tcBorders>
            <w:gridSpan w:val="1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Certification of Chief Financial Officer of the Registrant pursuant to Rule 13a-14(b) promulgated under the Securities Exchange Act of 1934, as</w:t>
            </w:r>
          </w:p>
        </w:tc>
      </w:tr>
      <w:tr>
        <w:trPr>
          <w:trHeight w:val="187"/>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0" w:type="dxa"/>
            <w:vAlign w:val="bottom"/>
            <w:tcBorders>
              <w:right w:val="single" w:sz="8" w:color="CCEEFF"/>
            </w:tcBorders>
            <w:gridSpan w:val="1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0000FF"/>
              </w:rPr>
              <w:t>amended, and Section 1350 of Chapter 63 of Title 18 of the United States Code.</w:t>
            </w:r>
          </w:p>
        </w:tc>
      </w:tr>
      <w:tr>
        <w:trPr>
          <w:trHeight w:val="45"/>
        </w:trPr>
        <w:tc>
          <w:tcPr>
            <w:tcW w:w="20" w:type="dxa"/>
            <w:vAlign w:val="bottom"/>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80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28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right w:val="single" w:sz="8" w:color="CCEEFF"/>
            </w:tcBorders>
            <w:shd w:val="clear" w:color="auto" w:fill="CCEEFF"/>
          </w:tcPr>
          <w:p>
            <w:pPr>
              <w:spacing w:after="0"/>
              <w:rPr>
                <w:sz w:val="3"/>
                <w:szCs w:val="3"/>
                <w:color w:val="auto"/>
              </w:rPr>
            </w:pPr>
          </w:p>
        </w:tc>
      </w:tr>
    </w:tbl>
    <w:p>
      <w:pPr>
        <w:spacing w:after="0" w:line="7" w:lineRule="exact"/>
        <w:rPr>
          <w:sz w:val="20"/>
          <w:szCs w:val="20"/>
          <w:color w:val="auto"/>
        </w:rPr>
      </w:pPr>
    </w:p>
    <w:p>
      <w:pPr>
        <w:jc w:val="both"/>
        <w:ind w:left="1240" w:right="20" w:hanging="1206"/>
        <w:spacing w:after="0" w:line="266" w:lineRule="auto"/>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Company’s Quarterly Report on Form 10-Q for the quarter ended September 30, 2025, formatted in Inline XBRL: (i) Condensed Consolidated Balance Sheets, (ii) Condensed Consolidated Statements of Operations, (iii) Condensed Consolidated Statements of Changes in Stockholders’ Equity, (iv) Condensed Consolidated Statements of Cash Flows, and (v) Notes to the Condensed Consolidated Financial Statements.</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104</w:t>
            </w:r>
          </w:p>
        </w:tc>
        <w:tc>
          <w:tcPr>
            <w:tcW w:w="10780" w:type="dxa"/>
            <w:vAlign w:val="bottom"/>
            <w:shd w:val="clear" w:color="auto" w:fill="CCEEFF"/>
          </w:tcPr>
          <w:p>
            <w:pPr>
              <w:jc w:val="right"/>
              <w:ind w:right="3594"/>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259"/>
        </w:trPr>
        <w:tc>
          <w:tcPr>
            <w:tcW w:w="440" w:type="dxa"/>
            <w:vAlign w:val="bottom"/>
          </w:tcPr>
          <w:p>
            <w:pPr>
              <w:spacing w:after="0"/>
              <w:rPr>
                <w:sz w:val="22"/>
                <w:szCs w:val="22"/>
                <w:color w:val="auto"/>
              </w:rPr>
            </w:pPr>
          </w:p>
        </w:tc>
        <w:tc>
          <w:tcPr>
            <w:tcW w:w="10780" w:type="dxa"/>
            <w:vAlign w:val="bottom"/>
          </w:tcPr>
          <w:p>
            <w:pPr>
              <w:jc w:val="right"/>
              <w:ind w:right="9314"/>
              <w:spacing w:after="0"/>
              <w:rPr>
                <w:sz w:val="20"/>
                <w:szCs w:val="20"/>
                <w:color w:val="auto"/>
              </w:rPr>
            </w:pPr>
            <w:r>
              <w:rPr>
                <w:rFonts w:ascii="Times New Roman" w:cs="Times New Roman" w:eastAsia="Times New Roman" w:hAnsi="Times New Roman"/>
                <w:sz w:val="17"/>
                <w:szCs w:val="17"/>
                <w:color w:val="auto"/>
              </w:rPr>
              <w:t>______________</w:t>
            </w:r>
          </w:p>
        </w:tc>
      </w:tr>
    </w:tbl>
    <w:p>
      <w:pPr>
        <w:ind w:left="540" w:hanging="481"/>
        <w:spacing w:after="0"/>
        <w:tabs>
          <w:tab w:leader="none" w:pos="5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56" w:lineRule="exact"/>
        <w:rPr>
          <w:sz w:val="20"/>
          <w:szCs w:val="20"/>
          <w:color w:val="auto"/>
        </w:rPr>
      </w:pPr>
    </w:p>
    <w:p>
      <w:pPr>
        <w:jc w:val="both"/>
        <w:ind w:left="500" w:right="20" w:hanging="441"/>
        <w:spacing w:after="0" w:line="281" w:lineRule="auto"/>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DIAMONDBACK ENERGY, INC.</w:t>
            </w:r>
          </w:p>
        </w:tc>
      </w:tr>
      <w:tr>
        <w:trPr>
          <w:trHeight w:val="5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November 5, 2025</w:t>
            </w:r>
          </w:p>
        </w:tc>
        <w:tc>
          <w:tcPr>
            <w:tcW w:w="21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Kaes Van’t Hof</w:t>
            </w:r>
          </w:p>
        </w:tc>
      </w:tr>
      <w:tr>
        <w:trPr>
          <w:trHeight w:val="26"/>
        </w:trPr>
        <w:tc>
          <w:tcPr>
            <w:tcW w:w="5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26"/>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Kaes Van’t Hof</w:t>
            </w:r>
          </w:p>
        </w:tc>
      </w:tr>
      <w:tr>
        <w:trPr>
          <w:trHeight w:val="259"/>
        </w:trPr>
        <w:tc>
          <w:tcPr>
            <w:tcW w:w="5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59"/>
        </w:trPr>
        <w:tc>
          <w:tcPr>
            <w:tcW w:w="5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50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November 5, 2025</w:t>
            </w:r>
          </w:p>
        </w:tc>
        <w:tc>
          <w:tcPr>
            <w:tcW w:w="21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Jere W. Thompson III</w:t>
            </w:r>
          </w:p>
        </w:tc>
      </w:tr>
      <w:tr>
        <w:trPr>
          <w:trHeight w:val="26"/>
        </w:trPr>
        <w:tc>
          <w:tcPr>
            <w:tcW w:w="5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26"/>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Jere W. Thompson III</w:t>
            </w:r>
          </w:p>
        </w:tc>
      </w:tr>
      <w:tr>
        <w:trPr>
          <w:trHeight w:val="259"/>
        </w:trPr>
        <w:tc>
          <w:tcPr>
            <w:tcW w:w="5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59"/>
        </w:trPr>
        <w:tc>
          <w:tcPr>
            <w:tcW w:w="5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737"/>
        </w:trPr>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7"/>
          <w:szCs w:val="17"/>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554355</wp:posOffset>
            </wp:positionV>
            <wp:extent cx="620966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20966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SIXTH AMENDED AND RESTATED BYLAWS</w:t>
      </w: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5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b w:val="1"/>
          <w:bCs w:val="1"/>
          <w:color w:val="auto"/>
        </w:rPr>
        <w:t>DIAMONDBACK ENERGY, INC.</w:t>
      </w:r>
    </w:p>
    <w:p>
      <w:pPr>
        <w:spacing w:after="0" w:line="2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(THE “CORPORATION”)</w:t>
      </w:r>
    </w:p>
    <w:p>
      <w:pPr>
        <w:spacing w:after="0" w:line="26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b w:val="1"/>
          <w:bCs w:val="1"/>
          <w:color w:val="auto"/>
        </w:rPr>
        <w:t>ADOPTED AS OF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177165</wp:posOffset>
            </wp:positionV>
            <wp:extent cx="620966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20966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120"/>
          </w:cols>
          <w:pgMar w:left="1440" w:top="572" w:right="339" w:bottom="1440" w:gutter="0" w:footer="0" w:header="0"/>
        </w:sectPr>
      </w:pPr>
    </w:p>
    <w:bookmarkStart w:id="66" w:name="page67"/>
    <w:bookmarkEnd w:id="66"/>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SIXTH AMENDED AND RESTATED BYLAWS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DIAMONDBACK ENERGY,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OFFICES</w:t>
      </w:r>
    </w:p>
    <w:p>
      <w:pPr>
        <w:spacing w:after="0" w:line="237" w:lineRule="exact"/>
        <w:rPr>
          <w:sz w:val="20"/>
          <w:szCs w:val="20"/>
          <w:color w:val="auto"/>
        </w:rPr>
      </w:pPr>
    </w:p>
    <w:p>
      <w:pPr>
        <w:jc w:val="both"/>
        <w:ind w:firstLine="1242"/>
        <w:spacing w:after="0" w:line="259" w:lineRule="auto"/>
        <w:rPr>
          <w:sz w:val="20"/>
          <w:szCs w:val="20"/>
          <w:color w:val="auto"/>
        </w:rPr>
      </w:pPr>
      <w:r>
        <w:rPr>
          <w:rFonts w:ascii="Times New Roman" w:cs="Times New Roman" w:eastAsia="Times New Roman" w:hAnsi="Times New Roman"/>
          <w:sz w:val="21"/>
          <w:szCs w:val="21"/>
          <w:b w:val="1"/>
          <w:bCs w:val="1"/>
          <w:color w:val="auto"/>
        </w:rPr>
        <w:t>Section 1.1 Registered Office</w:t>
      </w:r>
      <w:r>
        <w:rPr>
          <w:rFonts w:ascii="Times New Roman" w:cs="Times New Roman" w:eastAsia="Times New Roman" w:hAnsi="Times New Roman"/>
          <w:sz w:val="21"/>
          <w:szCs w:val="21"/>
          <w:color w:val="auto"/>
        </w:rPr>
        <w:t>. The registered office of the Corporation within the State of Delaware shall be located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(a) the principal place of business of the Corporation in the State of Delaware or (b) the office of the Corporation or individual acting as the Corporation’s registered agent in Delaware.</w:t>
      </w:r>
    </w:p>
    <w:p>
      <w:pPr>
        <w:spacing w:after="0" w:line="201" w:lineRule="exact"/>
        <w:rPr>
          <w:sz w:val="20"/>
          <w:szCs w:val="20"/>
          <w:color w:val="auto"/>
        </w:rPr>
      </w:pPr>
    </w:p>
    <w:p>
      <w:pPr>
        <w:jc w:val="both"/>
        <w:ind w:firstLine="1242"/>
        <w:spacing w:after="0" w:line="266" w:lineRule="auto"/>
        <w:rPr>
          <w:sz w:val="20"/>
          <w:szCs w:val="20"/>
          <w:color w:val="auto"/>
        </w:rPr>
      </w:pPr>
      <w:r>
        <w:rPr>
          <w:rFonts w:ascii="Times New Roman" w:cs="Times New Roman" w:eastAsia="Times New Roman" w:hAnsi="Times New Roman"/>
          <w:sz w:val="21"/>
          <w:szCs w:val="21"/>
          <w:b w:val="1"/>
          <w:bCs w:val="1"/>
          <w:color w:val="auto"/>
        </w:rPr>
        <w:t>Section 1.2 Additional Offices</w:t>
      </w:r>
      <w:r>
        <w:rPr>
          <w:rFonts w:ascii="Times New Roman" w:cs="Times New Roman" w:eastAsia="Times New Roman" w:hAnsi="Times New Roman"/>
          <w:sz w:val="21"/>
          <w:szCs w:val="21"/>
          <w:color w:val="auto"/>
        </w:rPr>
        <w:t>. The Corporation may, in addition to its registered office in the State of Delaware,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other offices and places of business, both within and outside the State of Delaware, as the Board of Directors of the Corporation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from time to time determine or as the business and affairs of the Corporation may require.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STOCKHOLDERS MEETINGS</w:t>
      </w:r>
    </w:p>
    <w:p>
      <w:pPr>
        <w:spacing w:after="0" w:line="237"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2.1 Annual Meetings</w:t>
      </w:r>
      <w:r>
        <w:rPr>
          <w:rFonts w:ascii="Times New Roman" w:cs="Times New Roman" w:eastAsia="Times New Roman" w:hAnsi="Times New Roman"/>
          <w:sz w:val="21"/>
          <w:szCs w:val="21"/>
          <w:color w:val="auto"/>
        </w:rPr>
        <w:t>. The annual meeting of stockholders shall be held at such place and time and on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21"/>
          <w:szCs w:val="21"/>
          <w:u w:val="single" w:color="auto"/>
          <w:color w:val="auto"/>
        </w:rPr>
        <w:t>Section 9.5(a)</w:t>
      </w:r>
      <w:r>
        <w:rPr>
          <w:rFonts w:ascii="Times New Roman" w:cs="Times New Roman" w:eastAsia="Times New Roman" w:hAnsi="Times New Roman"/>
          <w:sz w:val="21"/>
          <w:szCs w:val="21"/>
          <w:color w:val="auto"/>
        </w:rPr>
        <w:t>. At each annual meeting, the stockholders shall elect directors of the Corporation and may transact any other business as may properly be brought before the meeting.</w:t>
      </w: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2.2 Special Meetings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51" w:lineRule="auto"/>
        <w:tabs>
          <w:tab w:leader="none" w:pos="154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Call Special Meetings</w:t>
      </w:r>
      <w:r>
        <w:rPr>
          <w:rFonts w:ascii="Times New Roman" w:cs="Times New Roman" w:eastAsia="Times New Roman" w:hAnsi="Times New Roman"/>
          <w:sz w:val="21"/>
          <w:szCs w:val="21"/>
          <w:color w:val="auto"/>
        </w:rPr>
        <w:t xml:space="preserve">. Except as otherwise required by law or the terms of any one or more series of Preferred Stock, special meetings of stockholders of the Corporation may be called by any of the following: (i) at any time by the Chairman of the Board, Chief Executive Officer, or the Board pursuant to a resolution adopted by a majority of the Whole Board (as defined below); and (ii) by the Chairman of the Board or the Board following receipt by the Secretary of the Corporation of the written request (which request shall comply with the requirements and procedures set forth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of one or more stockholders of the Corporation (acting on their own behalf and not by assigning or delegating their rights to any other person or entity) that together have continuously held, for their own accounts, beneficial ownership of at least 25% aggregate “net long position” in the issued and outstanding voting stock of the Corporation entitled to vote generally in the election of directors (the “</w:t>
      </w:r>
      <w:r>
        <w:rPr>
          <w:rFonts w:ascii="Times New Roman" w:cs="Times New Roman" w:eastAsia="Times New Roman" w:hAnsi="Times New Roman"/>
          <w:sz w:val="21"/>
          <w:szCs w:val="21"/>
          <w:b w:val="1"/>
          <w:bCs w:val="1"/>
          <w:i w:val="1"/>
          <w:iCs w:val="1"/>
          <w:color w:val="auto"/>
        </w:rPr>
        <w:t>Requisite Percent</w:t>
      </w:r>
      <w:r>
        <w:rPr>
          <w:rFonts w:ascii="Times New Roman" w:cs="Times New Roman" w:eastAsia="Times New Roman" w:hAnsi="Times New Roman"/>
          <w:sz w:val="21"/>
          <w:szCs w:val="21"/>
          <w:color w:val="auto"/>
        </w:rPr>
        <w:t>”) for at least one year prior to the date such request is delivered to the Corporation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21"/>
          <w:szCs w:val="21"/>
          <w:color w:val="auto"/>
        </w:rPr>
        <w:t>at the special meeting date. For purpose of determining the Requisite Percent, “net long position” shall be determined with respect to each requesting stockholder by subtracting such stockholder’s short position from such stockholder’s long position, based on Rule 14e-4 under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(as such Rule is amended from time to time or, if applicable, any successor Rule), provided that:</w:t>
      </w:r>
    </w:p>
    <w:p>
      <w:pPr>
        <w:spacing w:after="0" w:line="191" w:lineRule="exact"/>
        <w:rPr>
          <w:sz w:val="20"/>
          <w:szCs w:val="20"/>
          <w:color w:val="auto"/>
        </w:rPr>
      </w:pPr>
    </w:p>
    <w:p>
      <w:pPr>
        <w:ind w:left="2120" w:hanging="254"/>
        <w:spacing w:after="0"/>
        <w:tabs>
          <w:tab w:leader="none" w:pos="21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such definition, reference in such Rule to:</w:t>
      </w:r>
    </w:p>
    <w:p>
      <w:pPr>
        <w:spacing w:after="0" w:line="237" w:lineRule="exact"/>
        <w:rPr>
          <w:rFonts w:ascii="Times New Roman" w:cs="Times New Roman" w:eastAsia="Times New Roman" w:hAnsi="Times New Roman"/>
          <w:sz w:val="21"/>
          <w:szCs w:val="21"/>
          <w:color w:val="auto"/>
        </w:rPr>
      </w:pPr>
    </w:p>
    <w:p>
      <w:pPr>
        <w:ind w:left="1240" w:firstLine="1247"/>
        <w:spacing w:after="0" w:line="273" w:lineRule="auto"/>
        <w:tabs>
          <w:tab w:leader="none" w:pos="2839"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a tender offer is first publicly announced or otherwise made known by the bidder to holders of the security to be acquired” shall be the date of the relevant special meeting request;</w:t>
      </w:r>
    </w:p>
    <w:p>
      <w:pPr>
        <w:spacing w:after="0" w:line="175" w:lineRule="exact"/>
        <w:rPr>
          <w:rFonts w:ascii="Times New Roman" w:cs="Times New Roman" w:eastAsia="Times New Roman" w:hAnsi="Times New Roman"/>
          <w:sz w:val="21"/>
          <w:szCs w:val="21"/>
          <w:color w:val="auto"/>
        </w:rPr>
      </w:pPr>
    </w:p>
    <w:p>
      <w:pPr>
        <w:jc w:val="both"/>
        <w:ind w:left="1240" w:firstLine="1247"/>
        <w:spacing w:after="0" w:line="265" w:lineRule="auto"/>
        <w:tabs>
          <w:tab w:leader="none" w:pos="2818"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“highest tender offer price or stated amount of the consideration offered for the subject security” shall refer to the closing sales price of the Corporation’s common stock on the primary securities exchange on which such stock is listed on such date (or, if such date is not a trading day, the next succeeding trading day);</w:t>
      </w:r>
    </w:p>
    <w:p>
      <w:pPr>
        <w:spacing w:after="0" w:line="183"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whose securities are the subject of the offer” shall refer to the Corporation; and</w:t>
      </w:r>
    </w:p>
    <w:p>
      <w:pPr>
        <w:spacing w:after="0" w:line="237"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“subject security” shall refer to the issued and outstanding voting stock of the Corporation; and</w:t>
      </w:r>
    </w:p>
    <w:p>
      <w:pPr>
        <w:spacing w:after="0" w:line="237"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1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long position of such stockholder shall be reduced by the number of shares as to which such stockholder does not, or will not, have the right to vote on its own behalf at the special meeting or as to which such stockholder has entered into any derivative or other agreement, arrangement, or understanding that hedges or transfers, in whole or in part, directly or indirectly, any of the economic consequences of ownership of such shares.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Special meetings of stockholders of the Corporation may not be called by any person or persons other than those specified in this </w:t>
      </w:r>
      <w:r>
        <w:rPr>
          <w:rFonts w:ascii="Times New Roman" w:cs="Times New Roman" w:eastAsia="Times New Roman" w:hAnsi="Times New Roman"/>
          <w:sz w:val="21"/>
          <w:szCs w:val="21"/>
          <w:u w:val="single" w:color="auto"/>
          <w:color w:val="auto"/>
        </w:rPr>
        <w:t>Section 2.2(a)</w:t>
      </w:r>
      <w:r>
        <w:rPr>
          <w:rFonts w:ascii="Times New Roman" w:cs="Times New Roman" w:eastAsia="Times New Roman" w:hAnsi="Times New Roman"/>
          <w:sz w:val="21"/>
          <w:szCs w:val="21"/>
          <w:color w:val="auto"/>
        </w:rPr>
        <w:t xml:space="preserve"> and the Corporation’s Certificate of Incorporation, as the same may be amended or restated from time to time (the “</w:t>
      </w:r>
      <w:r>
        <w:rPr>
          <w:rFonts w:ascii="Times New Roman" w:cs="Times New Roman" w:eastAsia="Times New Roman" w:hAnsi="Times New Roman"/>
          <w:sz w:val="21"/>
          <w:szCs w:val="21"/>
          <w:b w:val="1"/>
          <w:bCs w:val="1"/>
          <w:i w:val="1"/>
          <w:iCs w:val="1"/>
          <w:color w:val="auto"/>
        </w:rPr>
        <w:t>Certificate of Incorporation</w:t>
      </w:r>
      <w:r>
        <w:rPr>
          <w:rFonts w:ascii="Times New Roman" w:cs="Times New Roman" w:eastAsia="Times New Roman" w:hAnsi="Times New Roman"/>
          <w:sz w:val="21"/>
          <w:szCs w:val="21"/>
          <w:color w:val="auto"/>
        </w:rPr>
        <w:t>”). For purposes of these Bylaws, the “</w:t>
      </w:r>
      <w:r>
        <w:rPr>
          <w:rFonts w:ascii="Times New Roman" w:cs="Times New Roman" w:eastAsia="Times New Roman" w:hAnsi="Times New Roman"/>
          <w:sz w:val="21"/>
          <w:szCs w:val="21"/>
          <w:b w:val="1"/>
          <w:bCs w:val="1"/>
          <w:i w:val="1"/>
          <w:iCs w:val="1"/>
          <w:color w:val="auto"/>
        </w:rPr>
        <w:t>Whole Board</w:t>
      </w:r>
      <w:r>
        <w:rPr>
          <w:rFonts w:ascii="Times New Roman" w:cs="Times New Roman" w:eastAsia="Times New Roman" w:hAnsi="Times New Roman"/>
          <w:sz w:val="21"/>
          <w:szCs w:val="21"/>
          <w:color w:val="auto"/>
        </w:rPr>
        <w:t>” shall mean the total number of directors the Corporation would have if there were no vacancies.</w:t>
      </w:r>
    </w:p>
    <w:p>
      <w:pPr>
        <w:spacing w:after="0" w:line="199" w:lineRule="exact"/>
        <w:rPr>
          <w:sz w:val="20"/>
          <w:szCs w:val="20"/>
          <w:color w:val="auto"/>
        </w:rPr>
      </w:pPr>
    </w:p>
    <w:p>
      <w:pPr>
        <w:ind w:firstLine="1245"/>
        <w:spacing w:after="0" w:line="253" w:lineRule="auto"/>
        <w:tabs>
          <w:tab w:leader="none" w:pos="153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Requests for Special Meetings</w:t>
      </w:r>
      <w:r>
        <w:rPr>
          <w:rFonts w:ascii="Times New Roman" w:cs="Times New Roman" w:eastAsia="Times New Roman" w:hAnsi="Times New Roman"/>
          <w:sz w:val="21"/>
          <w:szCs w:val="21"/>
          <w:color w:val="auto"/>
        </w:rPr>
        <w:t>. In order for a special meeting upon stockholder request (a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requested special meeting</w:t>
      </w:r>
      <w:r>
        <w:rPr>
          <w:rFonts w:ascii="Times New Roman" w:cs="Times New Roman" w:eastAsia="Times New Roman" w:hAnsi="Times New Roman"/>
          <w:sz w:val="21"/>
          <w:szCs w:val="21"/>
          <w:color w:val="auto"/>
        </w:rPr>
        <w:t>”) to be called, one or more requests for a special meeting (each, a “</w:t>
      </w:r>
      <w:r>
        <w:rPr>
          <w:rFonts w:ascii="Times New Roman" w:cs="Times New Roman" w:eastAsia="Times New Roman" w:hAnsi="Times New Roman"/>
          <w:sz w:val="21"/>
          <w:szCs w:val="21"/>
          <w:b w:val="1"/>
          <w:bCs w:val="1"/>
          <w:i w:val="1"/>
          <w:iCs w:val="1"/>
          <w:color w:val="auto"/>
        </w:rPr>
        <w:t>special meeting request</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collectively, the “</w:t>
      </w:r>
      <w:r>
        <w:rPr>
          <w:rFonts w:ascii="Times New Roman" w:cs="Times New Roman" w:eastAsia="Times New Roman" w:hAnsi="Times New Roman"/>
          <w:sz w:val="21"/>
          <w:szCs w:val="21"/>
          <w:b w:val="1"/>
          <w:bCs w:val="1"/>
          <w:i w:val="1"/>
          <w:iCs w:val="1"/>
          <w:color w:val="auto"/>
        </w:rPr>
        <w:t>special meeting requests</w:t>
      </w:r>
      <w:r>
        <w:rPr>
          <w:rFonts w:ascii="Times New Roman" w:cs="Times New Roman" w:eastAsia="Times New Roman" w:hAnsi="Times New Roman"/>
          <w:sz w:val="21"/>
          <w:szCs w:val="21"/>
          <w:color w:val="auto"/>
        </w:rPr>
        <w:t>”) must be signed by the stockholders of the Corporation holding the Requisite Percent of the voting stock of the Corporation and must be delivered to the Secretary at the principal executive offices of the Corporation by registered or certified mail, return receipt requested; provided, however, that no stockholder requested special meeting shall be called pursuant to any special meeting request unless one or more special meeting requests relating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7" w:right="339" w:bottom="1440" w:gutter="0" w:footer="0" w:header="0"/>
        </w:sectPr>
      </w:pPr>
    </w:p>
    <w:bookmarkStart w:id="68" w:name="page69"/>
    <w:bookmarkEnd w:id="68"/>
    <w:p>
      <w:pPr>
        <w:ind w:right="400"/>
        <w:spacing w:after="0" w:line="258" w:lineRule="auto"/>
        <w:rPr>
          <w:sz w:val="20"/>
          <w:szCs w:val="20"/>
          <w:color w:val="auto"/>
        </w:rPr>
      </w:pPr>
      <w:r>
        <w:rPr>
          <w:rFonts w:ascii="Times New Roman" w:cs="Times New Roman" w:eastAsia="Times New Roman" w:hAnsi="Times New Roman"/>
          <w:sz w:val="21"/>
          <w:szCs w:val="21"/>
          <w:color w:val="auto"/>
        </w:rPr>
        <w:t xml:space="preserve">such meeting constituting the Requisite Percent have been delivered to the Secretary in compliance with all of the requirements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these Bylaws within 60 days of the earliest dated special meeting request in respect of such stockholder requested special meeting. The special meeting request(s) shall:</w:t>
      </w:r>
    </w:p>
    <w:p>
      <w:pPr>
        <w:spacing w:after="0" w:line="204" w:lineRule="exact"/>
        <w:rPr>
          <w:sz w:val="20"/>
          <w:szCs w:val="20"/>
          <w:color w:val="auto"/>
        </w:rPr>
      </w:pPr>
    </w:p>
    <w:p>
      <w:pPr>
        <w:ind w:left="620" w:right="420" w:firstLine="1246"/>
        <w:spacing w:after="0" w:line="258" w:lineRule="auto"/>
        <w:tabs>
          <w:tab w:leader="none" w:pos="210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the name and address, as they appear on the Corporation’s books and records maintained by the Corporation’s transfer agent and registrar, of each stockholder of the Corporation signing such request, together with the identity of the beneficial owner, if any, directing such stockholder of record to submit such request;</w:t>
      </w:r>
    </w:p>
    <w:p>
      <w:pPr>
        <w:spacing w:after="0" w:line="191" w:lineRule="exact"/>
        <w:rPr>
          <w:rFonts w:ascii="Times New Roman" w:cs="Times New Roman" w:eastAsia="Times New Roman" w:hAnsi="Times New Roman"/>
          <w:sz w:val="21"/>
          <w:szCs w:val="21"/>
          <w:color w:val="auto"/>
        </w:rPr>
      </w:pPr>
    </w:p>
    <w:p>
      <w:pPr>
        <w:ind w:left="620" w:firstLine="1246"/>
        <w:spacing w:after="0" w:line="254" w:lineRule="auto"/>
        <w:tabs>
          <w:tab w:leader="none" w:pos="216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state the specific purpose or purposes of the special meeting, the matter or matters proposed to be acted on at the special meeting, the reasons for conducting such business at the special meeting, and the text of any proposal or business to be considered at the special meeting (including the text of any resolutions proposed to be considered and, in the event that such business includes a proposal to amend these Bylaws, the language of the proposed amendment), which language shall be contained in the notice of special meeting required by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of these Bylaws;</w:t>
      </w:r>
    </w:p>
    <w:p>
      <w:pPr>
        <w:spacing w:after="0" w:line="196" w:lineRule="exact"/>
        <w:rPr>
          <w:rFonts w:ascii="Times New Roman" w:cs="Times New Roman" w:eastAsia="Times New Roman" w:hAnsi="Times New Roman"/>
          <w:sz w:val="21"/>
          <w:szCs w:val="21"/>
          <w:color w:val="auto"/>
        </w:rPr>
      </w:pPr>
    </w:p>
    <w:p>
      <w:pPr>
        <w:ind w:left="2220" w:hanging="354"/>
        <w:spacing w:after="0"/>
        <w:tabs>
          <w:tab w:leader="none" w:pos="22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bear the date of signature of each such stockholder signing the special meeting request;</w:t>
      </w:r>
    </w:p>
    <w:p>
      <w:pPr>
        <w:spacing w:after="0" w:line="237" w:lineRule="exact"/>
        <w:rPr>
          <w:rFonts w:ascii="Times New Roman" w:cs="Times New Roman" w:eastAsia="Times New Roman" w:hAnsi="Times New Roman"/>
          <w:sz w:val="21"/>
          <w:szCs w:val="21"/>
          <w:color w:val="auto"/>
        </w:rPr>
      </w:pPr>
    </w:p>
    <w:p>
      <w:pPr>
        <w:ind w:left="620" w:right="60" w:firstLine="1246"/>
        <w:spacing w:after="0" w:line="284" w:lineRule="auto"/>
        <w:tabs>
          <w:tab w:leader="none" w:pos="221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documentary evidence that the stockholder(s) requesting the special meeting together have continuously owned, for their own account, the Requisite Percent for at least one year prior to the date such special meeting request is delivered to the Corporation and attach a notarized affidavit swearing to the net long position of such stockholder(s);</w:t>
      </w:r>
    </w:p>
    <w:p>
      <w:pPr>
        <w:spacing w:after="0" w:line="166" w:lineRule="exact"/>
        <w:rPr>
          <w:rFonts w:ascii="Times New Roman" w:cs="Times New Roman" w:eastAsia="Times New Roman" w:hAnsi="Times New Roman"/>
          <w:sz w:val="20"/>
          <w:szCs w:val="20"/>
          <w:color w:val="auto"/>
        </w:rPr>
      </w:pPr>
    </w:p>
    <w:p>
      <w:pPr>
        <w:ind w:left="620" w:right="380" w:firstLine="1246"/>
        <w:spacing w:after="0" w:line="270" w:lineRule="auto"/>
        <w:tabs>
          <w:tab w:leader="none" w:pos="215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 representation by each stockholder signing the special meeting request that such stockholder intends to appear in person at the stockholder requested special meeting and is entitled to vote thereat, and an agreement to promptly inform the Corporation in the event such representation becomes inaccurate (in which event any shares of voting stock of the Corporation owned by such stockholder shall cease to be counted as contributing to the Requisite Percent);</w:t>
      </w:r>
    </w:p>
    <w:p>
      <w:pPr>
        <w:spacing w:after="0" w:line="193" w:lineRule="exact"/>
        <w:rPr>
          <w:rFonts w:ascii="Times New Roman" w:cs="Times New Roman" w:eastAsia="Times New Roman" w:hAnsi="Times New Roman"/>
          <w:sz w:val="20"/>
          <w:szCs w:val="20"/>
          <w:color w:val="auto"/>
        </w:rPr>
      </w:pPr>
    </w:p>
    <w:p>
      <w:pPr>
        <w:ind w:left="620" w:right="60" w:firstLine="1246"/>
        <w:spacing w:after="0" w:line="251" w:lineRule="auto"/>
        <w:tabs>
          <w:tab w:leader="none" w:pos="221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 representation by each stockholder signing the special meeting request that such stockholder intends to continue net long ownership of such shares through the date of the special meeting and an agreement to promptly inform the Corporation in the event such representation becomes inaccurate (in which event any shares of voting stock of the Corporation no longer owned on a net long basis by such stockholder shall cease to be counted as contributing to the Requisite Percent);</w:t>
      </w:r>
    </w:p>
    <w:p>
      <w:pPr>
        <w:spacing w:after="0" w:line="211" w:lineRule="exact"/>
        <w:rPr>
          <w:rFonts w:ascii="Times New Roman" w:cs="Times New Roman" w:eastAsia="Times New Roman" w:hAnsi="Times New Roman"/>
          <w:sz w:val="21"/>
          <w:szCs w:val="21"/>
          <w:color w:val="auto"/>
        </w:rPr>
      </w:pPr>
    </w:p>
    <w:p>
      <w:pPr>
        <w:ind w:left="620" w:right="20" w:firstLine="1246"/>
        <w:spacing w:after="0" w:line="258" w:lineRule="auto"/>
        <w:tabs>
          <w:tab w:leader="none" w:pos="227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the acknowledgement of each stockholder signing the special meeting request that the special meeting request shall be deemed to be revoked (and any special meeting scheduled in response thereto may be cancelled) if the net long position in shares of voting stock owned by such signing stockholders is less than the Requisite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80"/>
          </w:cols>
          <w:pgMar w:left="320" w:top="1367" w:right="399"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21"/>
          <w:szCs w:val="21"/>
          <w:color w:val="auto"/>
        </w:rPr>
        <w:t>Percent at any time between the date of the special meeting request and the date of the applicable special meeting;</w:t>
      </w:r>
    </w:p>
    <w:p>
      <w:pPr>
        <w:spacing w:after="0" w:line="237" w:lineRule="exact"/>
        <w:rPr>
          <w:sz w:val="20"/>
          <w:szCs w:val="20"/>
          <w:color w:val="auto"/>
        </w:rPr>
      </w:pPr>
    </w:p>
    <w:p>
      <w:pPr>
        <w:ind w:left="620" w:right="100" w:firstLine="1246"/>
        <w:spacing w:after="0" w:line="265" w:lineRule="auto"/>
        <w:tabs>
          <w:tab w:leader="none" w:pos="232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special meeting requests related to the election of directors, include all additional information required by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to be included in a stockholder’s notice of nomination of persons for election to the Board; and</w:t>
      </w:r>
    </w:p>
    <w:p>
      <w:pPr>
        <w:spacing w:after="0" w:line="183" w:lineRule="exact"/>
        <w:rPr>
          <w:rFonts w:ascii="Times New Roman" w:cs="Times New Roman" w:eastAsia="Times New Roman" w:hAnsi="Times New Roman"/>
          <w:sz w:val="21"/>
          <w:szCs w:val="21"/>
          <w:color w:val="auto"/>
        </w:rPr>
      </w:pPr>
    </w:p>
    <w:p>
      <w:pPr>
        <w:ind w:left="620" w:right="140" w:firstLine="1246"/>
        <w:spacing w:after="0" w:line="258" w:lineRule="auto"/>
        <w:tabs>
          <w:tab w:leader="none" w:pos="221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all other special meeting requests, include all additional information required by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to be included in a stockholder’s notice of business (other than the nomination of persons for election to the Board) to be brought before an annual meeting.</w:t>
      </w:r>
    </w:p>
    <w:p>
      <w:pPr>
        <w:spacing w:after="0" w:line="1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1"/>
          <w:szCs w:val="21"/>
          <w:color w:val="auto"/>
        </w:rPr>
        <w:t>A beneficial owner who wishes to deliver a special meeting request must cause the nominee or other person who serves as the stockholder of record of such beneficial owner’s stock to sign the special meeting request. If a stockholder of record is the nominee for more than one beneficial owner of stock, the stockholder of record may deliver a special meeting request solely with respect to the capital stock of the Corporation beneficially owned by the beneficial owners who are directing the stockholder of record to sign such special meeting request.</w:t>
      </w:r>
    </w:p>
    <w:p>
      <w:pPr>
        <w:spacing w:after="0" w:line="210" w:lineRule="exact"/>
        <w:rPr>
          <w:sz w:val="20"/>
          <w:szCs w:val="20"/>
          <w:color w:val="auto"/>
        </w:rPr>
      </w:pPr>
    </w:p>
    <w:p>
      <w:pPr>
        <w:ind w:left="1520" w:hanging="275"/>
        <w:spacing w:after="0"/>
        <w:tabs>
          <w:tab w:leader="none" w:pos="15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Revocation of Special Meeting Requests</w:t>
      </w:r>
      <w:r>
        <w:rPr>
          <w:rFonts w:ascii="Times New Roman" w:cs="Times New Roman" w:eastAsia="Times New Roman" w:hAnsi="Times New Roman"/>
          <w:sz w:val="21"/>
          <w:szCs w:val="21"/>
          <w:color w:val="auto"/>
        </w:rPr>
        <w:t>.</w:t>
      </w:r>
    </w:p>
    <w:p>
      <w:pPr>
        <w:spacing w:after="0" w:line="263" w:lineRule="exact"/>
        <w:rPr>
          <w:rFonts w:ascii="Times New Roman" w:cs="Times New Roman" w:eastAsia="Times New Roman" w:hAnsi="Times New Roman"/>
          <w:sz w:val="21"/>
          <w:szCs w:val="21"/>
          <w:color w:val="auto"/>
        </w:rPr>
      </w:pPr>
    </w:p>
    <w:p>
      <w:pPr>
        <w:ind w:left="620" w:firstLine="1246"/>
        <w:spacing w:after="0" w:line="273" w:lineRule="auto"/>
        <w:tabs>
          <w:tab w:leader="none" w:pos="213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requesting stockholder may revoke a request for a special meeting at any time by written revocation delivered to the Secretary of the Corporation at the principal executive offices of the Corporation.</w:t>
      </w:r>
    </w:p>
    <w:p>
      <w:pPr>
        <w:spacing w:after="0" w:line="187" w:lineRule="exact"/>
        <w:rPr>
          <w:rFonts w:ascii="Times New Roman" w:cs="Times New Roman" w:eastAsia="Times New Roman" w:hAnsi="Times New Roman"/>
          <w:sz w:val="21"/>
          <w:szCs w:val="21"/>
          <w:color w:val="auto"/>
        </w:rPr>
      </w:pPr>
    </w:p>
    <w:p>
      <w:pPr>
        <w:jc w:val="both"/>
        <w:ind w:left="620" w:firstLine="1246"/>
        <w:spacing w:after="0" w:line="265" w:lineRule="auto"/>
        <w:tabs>
          <w:tab w:leader="none" w:pos="2172"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special meeting requests shall be deemed to be revoked upon the first date that, after giving effect to any revocation(s), the net long position in the shares of voting stock of the Corporation owned by the stockholders listed on the unrevoked special meeting requests decreases to a number of shares representing less than the Requisite Percent.</w:t>
      </w:r>
    </w:p>
    <w:p>
      <w:pPr>
        <w:spacing w:after="0" w:line="196"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4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revocation of all special meeting requests (giving effect to deemed revocations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2.2(c)(ii)</w:t>
      </w:r>
      <w:r>
        <w:rPr>
          <w:rFonts w:ascii="Times New Roman" w:cs="Times New Roman" w:eastAsia="Times New Roman" w:hAnsi="Times New Roman"/>
          <w:sz w:val="21"/>
          <w:szCs w:val="21"/>
          <w:color w:val="auto"/>
        </w:rPr>
        <w:t>) has occurred, then the Board, in its discretion, may cancel the special meeting of the stockholders (or, if the special meeting has not yet been called, may direct the Chairman of the Board or Chief Executive Officer, as applicable, not to call such a meeting).</w:t>
      </w:r>
    </w:p>
    <w:p>
      <w:pPr>
        <w:spacing w:after="0" w:line="203" w:lineRule="exact"/>
        <w:rPr>
          <w:rFonts w:ascii="Times New Roman" w:cs="Times New Roman" w:eastAsia="Times New Roman" w:hAnsi="Times New Roman"/>
          <w:sz w:val="21"/>
          <w:szCs w:val="21"/>
          <w:color w:val="auto"/>
        </w:rPr>
      </w:pPr>
    </w:p>
    <w:p>
      <w:pPr>
        <w:jc w:val="both"/>
        <w:ind w:firstLine="1245"/>
        <w:spacing w:after="0" w:line="252" w:lineRule="auto"/>
        <w:tabs>
          <w:tab w:leader="none" w:pos="153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Considered at Special Meetings</w:t>
      </w:r>
      <w:r>
        <w:rPr>
          <w:rFonts w:ascii="Times New Roman" w:cs="Times New Roman" w:eastAsia="Times New Roman" w:hAnsi="Times New Roman"/>
          <w:sz w:val="21"/>
          <w:szCs w:val="21"/>
          <w:color w:val="auto"/>
        </w:rPr>
        <w:t>. Business transacted at any stockholder requested special meeting shall be limited to the purpose(s) stated in the valid special meeting request(s) signed by stockholders holding the Requisite Percent of the Corporation’s voting stock; provided, however, that nothing herein shall prohibit the Board from submitting matters, whether or not described in the stockholder special meeting request(s), to the stockholders at any stockholder requested special meeting. If none of the stockholders who submitted a special meeting request appears at or sends a qualified representative to the stockholder requested special meeting to present the matters to be presented for consideration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7" w:right="339" w:bottom="1440" w:gutter="0" w:footer="0" w:header="0"/>
        </w:sectPr>
      </w:pPr>
    </w:p>
    <w:bookmarkStart w:id="70" w:name="page71"/>
    <w:bookmarkEnd w:id="70"/>
    <w:p>
      <w:pPr>
        <w:spacing w:after="0" w:line="273" w:lineRule="auto"/>
        <w:rPr>
          <w:sz w:val="20"/>
          <w:szCs w:val="20"/>
          <w:color w:val="auto"/>
        </w:rPr>
      </w:pPr>
      <w:r>
        <w:rPr>
          <w:rFonts w:ascii="Times New Roman" w:cs="Times New Roman" w:eastAsia="Times New Roman" w:hAnsi="Times New Roman"/>
          <w:sz w:val="21"/>
          <w:szCs w:val="21"/>
          <w:color w:val="auto"/>
        </w:rPr>
        <w:t>that were specified in the special meeting request, the Corporation need not present such matters for a vote at such meeting, notwithstanding the fact that proxies or votes may have been received by the Corporation with respect thereto.</w:t>
      </w:r>
    </w:p>
    <w:p>
      <w:pPr>
        <w:spacing w:after="0" w:line="201" w:lineRule="exact"/>
        <w:rPr>
          <w:sz w:val="20"/>
          <w:szCs w:val="20"/>
          <w:color w:val="auto"/>
        </w:rPr>
      </w:pPr>
    </w:p>
    <w:p>
      <w:pPr>
        <w:jc w:val="both"/>
        <w:ind w:right="180" w:firstLine="1245"/>
        <w:spacing w:after="0" w:line="253" w:lineRule="auto"/>
        <w:tabs>
          <w:tab w:leader="none" w:pos="152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Improper or Overlapping Business</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or these Bylaws, the Secretary shall not accept and shall consider ineffective, a special meeting request and neither the Chairman of the Board nor the Board (following receipt by the Secretary of the Corporation of the written request pursuant to </w:t>
      </w:r>
      <w:r>
        <w:rPr>
          <w:rFonts w:ascii="Times New Roman" w:cs="Times New Roman" w:eastAsia="Times New Roman" w:hAnsi="Times New Roman"/>
          <w:sz w:val="21"/>
          <w:szCs w:val="21"/>
          <w:u w:val="single" w:color="auto"/>
          <w:color w:val="auto"/>
        </w:rPr>
        <w:t>Section 2.2(a)(ii)</w:t>
      </w:r>
      <w:r>
        <w:rPr>
          <w:rFonts w:ascii="Times New Roman" w:cs="Times New Roman" w:eastAsia="Times New Roman" w:hAnsi="Times New Roman"/>
          <w:sz w:val="21"/>
          <w:szCs w:val="21"/>
          <w:color w:val="auto"/>
        </w:rPr>
        <w:t>) shall be required to call a stockholder requested special meeting in connection therewith if:</w:t>
      </w:r>
    </w:p>
    <w:p>
      <w:pPr>
        <w:spacing w:after="0" w:line="223" w:lineRule="exact"/>
        <w:rPr>
          <w:rFonts w:ascii="Times New Roman" w:cs="Times New Roman" w:eastAsia="Times New Roman" w:hAnsi="Times New Roman"/>
          <w:sz w:val="21"/>
          <w:szCs w:val="21"/>
          <w:color w:val="auto"/>
        </w:rPr>
      </w:pPr>
    </w:p>
    <w:p>
      <w:pPr>
        <w:jc w:val="both"/>
        <w:ind w:left="620" w:firstLine="1246"/>
        <w:spacing w:after="0" w:line="251" w:lineRule="auto"/>
        <w:tabs>
          <w:tab w:leader="none" w:pos="213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special meeting request relates to an item of business that (A) is not a proper subject for stockholder action under these Bylaws or applicable law, (B) is similar to an item of business that was presented at any meeting of stockholders held within 120 calendar days prior to the receipt by the Corporation of the special meeting request or (C) is similar to an item included in the Corporation’s notice as an item of business to be brought before a stockholder meeting that has been called but not yet held;</w:t>
      </w:r>
    </w:p>
    <w:p>
      <w:pPr>
        <w:spacing w:after="0" w:line="224"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18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special meeting request is received by the Corporation (A) during the period commencing 90 calendar days prior to the first anniversary of the preceding year’s annual meeting of stockholders and ending on the date of the next annual meeting of stockholders or (b) in the 30 days following the date of any annual meeting of stockholders; or</w:t>
      </w:r>
    </w:p>
    <w:p>
      <w:pPr>
        <w:spacing w:after="0" w:line="204" w:lineRule="exact"/>
        <w:rPr>
          <w:rFonts w:ascii="Times New Roman" w:cs="Times New Roman" w:eastAsia="Times New Roman" w:hAnsi="Times New Roman"/>
          <w:sz w:val="21"/>
          <w:szCs w:val="21"/>
          <w:color w:val="auto"/>
        </w:rPr>
      </w:pPr>
    </w:p>
    <w:p>
      <w:pPr>
        <w:jc w:val="both"/>
        <w:ind w:left="620" w:firstLine="1246"/>
        <w:spacing w:after="0" w:line="265" w:lineRule="auto"/>
        <w:tabs>
          <w:tab w:leader="none" w:pos="222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special meeting request otherwise does not comply with or has not been delivered in accordance with the provisions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Nominations pursuant to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 may not be made in connection with a special meeting of stockholders.</w:t>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u w:val="single" w:color="auto"/>
          <w:color w:val="auto"/>
        </w:rPr>
        <w:t>Section 2.2(e)(i)(B)</w:t>
      </w:r>
      <w:r>
        <w:rPr>
          <w:rFonts w:ascii="Times New Roman" w:cs="Times New Roman" w:eastAsia="Times New Roman" w:hAnsi="Times New Roman"/>
          <w:sz w:val="21"/>
          <w:szCs w:val="21"/>
          <w:color w:val="auto"/>
        </w:rPr>
        <w:t>, the removal of directors and the filling of resulting vacancies shall be considered the same or similar to the election of directors at the preceding annual meeting of stockholders.</w:t>
      </w:r>
    </w:p>
    <w:p>
      <w:pPr>
        <w:spacing w:after="0" w:line="201" w:lineRule="exact"/>
        <w:rPr>
          <w:sz w:val="20"/>
          <w:szCs w:val="20"/>
          <w:color w:val="auto"/>
        </w:rPr>
      </w:pPr>
    </w:p>
    <w:p>
      <w:pPr>
        <w:jc w:val="both"/>
        <w:ind w:firstLine="1245"/>
        <w:spacing w:after="0" w:line="250" w:lineRule="auto"/>
        <w:tabs>
          <w:tab w:leader="none" w:pos="151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by the Board</w:t>
      </w:r>
      <w:r>
        <w:rPr>
          <w:rFonts w:ascii="Times New Roman" w:cs="Times New Roman" w:eastAsia="Times New Roman" w:hAnsi="Times New Roman"/>
          <w:sz w:val="21"/>
          <w:szCs w:val="21"/>
          <w:color w:val="auto"/>
        </w:rPr>
        <w:t xml:space="preserve">. Except as otherwise provided by law, in the case of a stockholder requested special meeting, the Board shall have the power and duty: (i)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other applicable provisions of these Bylaws; and (ii) if any proposed nomination or business was not made or proposed in accordance with the requirements and procedures set forth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other applicable provisions of these Bylaws or applicable law, to declare that such nomination shall be disregarded or that such proposed business shall not be transacted. In the event that the Board cancels a special meeting (or, if the special meeting has not yet been called, directs the Chairman of the Board or the Chief Executive Officer, as applicable, not to call such a meeting) pursuant to </w:t>
      </w:r>
      <w:r>
        <w:rPr>
          <w:rFonts w:ascii="Times New Roman" w:cs="Times New Roman" w:eastAsia="Times New Roman" w:hAnsi="Times New Roman"/>
          <w:sz w:val="21"/>
          <w:szCs w:val="21"/>
          <w:u w:val="single" w:color="auto"/>
          <w:color w:val="auto"/>
        </w:rPr>
        <w:t>Section 2.2(c)(iii)</w:t>
      </w:r>
      <w:r>
        <w:rPr>
          <w:rFonts w:ascii="Times New Roman" w:cs="Times New Roman" w:eastAsia="Times New Roman" w:hAnsi="Times New Roman"/>
          <w:sz w:val="21"/>
          <w:szCs w:val="21"/>
          <w:color w:val="auto"/>
        </w:rPr>
        <w:t>, then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7" w:right="339" w:bottom="1440" w:gutter="0" w:footer="0" w:header="0"/>
        </w:sectPr>
      </w:pPr>
    </w:p>
    <w:bookmarkStart w:id="71" w:name="page72"/>
    <w:bookmarkEnd w:id="71"/>
    <w:p>
      <w:pPr>
        <w:spacing w:after="0" w:line="273" w:lineRule="auto"/>
        <w:rPr>
          <w:sz w:val="20"/>
          <w:szCs w:val="20"/>
          <w:color w:val="auto"/>
        </w:rPr>
      </w:pPr>
      <w:r>
        <w:rPr>
          <w:rFonts w:ascii="Times New Roman" w:cs="Times New Roman" w:eastAsia="Times New Roman" w:hAnsi="Times New Roman"/>
          <w:sz w:val="21"/>
          <w:szCs w:val="21"/>
          <w:color w:val="auto"/>
        </w:rPr>
        <w:t>stockholder(s) who requested such meeting may not call (or participate in calling) another special meeting for one year after such cancellation.</w:t>
      </w:r>
    </w:p>
    <w:p>
      <w:pPr>
        <w:spacing w:after="0" w:line="201" w:lineRule="exact"/>
        <w:rPr>
          <w:sz w:val="20"/>
          <w:szCs w:val="20"/>
          <w:color w:val="auto"/>
        </w:rPr>
      </w:pPr>
    </w:p>
    <w:p>
      <w:pPr>
        <w:jc w:val="both"/>
        <w:ind w:firstLine="1245"/>
        <w:spacing w:after="0" w:line="248" w:lineRule="auto"/>
        <w:tabs>
          <w:tab w:leader="none" w:pos="15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Engage Independent Inspectors</w:t>
      </w:r>
      <w:r>
        <w:rPr>
          <w:rFonts w:ascii="Times New Roman" w:cs="Times New Roman" w:eastAsia="Times New Roman" w:hAnsi="Times New Roman"/>
          <w:sz w:val="21"/>
          <w:szCs w:val="21"/>
          <w:color w:val="auto"/>
        </w:rPr>
        <w:t xml:space="preserve">. In the event of the delivery, in the manner provided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to the Corporation of the requisite special meeting request or requests and/or any related revocation or revocations, the Board may engage, in its discretion, one or more nationally recognized independent inspectors for the purpose of promptly performing a ministerial review of the validity of the requests and/or revocations. For the purpose of permitting the inspectors to perform such review, no special meeting request shall be granted until such date as the independent inspectors certify to the Board and the Corporation that the special meeting requests delivered to the Corporation in accordance with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not revoked, by such stockholders (acting on their own behalf and not by assigning of delegating their rights to any other person or entity) together represent at least the Requisite Percent of the Corporation’s voting stock that has been continuously held by such stockholders, for their own account, for at least one year prior to the date of delivery of such requests to the Corporation, all in accordance with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these Bylaws. Nothing contained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w:t>
      </w:r>
    </w:p>
    <w:p>
      <w:pPr>
        <w:spacing w:after="0" w:line="222" w:lineRule="exact"/>
        <w:rPr>
          <w:rFonts w:ascii="Times New Roman" w:cs="Times New Roman" w:eastAsia="Times New Roman" w:hAnsi="Times New Roman"/>
          <w:sz w:val="21"/>
          <w:szCs w:val="21"/>
          <w:color w:val="auto"/>
        </w:rPr>
      </w:pPr>
    </w:p>
    <w:p>
      <w:pPr>
        <w:jc w:val="both"/>
        <w:ind w:firstLine="1245"/>
        <w:spacing w:after="0" w:line="250" w:lineRule="auto"/>
        <w:tabs>
          <w:tab w:leader="none" w:pos="153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 Time and Date of Special Meetings</w:t>
      </w:r>
      <w:r>
        <w:rPr>
          <w:rFonts w:ascii="Times New Roman" w:cs="Times New Roman" w:eastAsia="Times New Roman" w:hAnsi="Times New Roman"/>
          <w:sz w:val="21"/>
          <w:szCs w:val="21"/>
          <w:color w:val="auto"/>
        </w:rPr>
        <w:t xml:space="preserve">. Special meetings of stockholders shall be held at such place and time and on such date as shall be determined by the Board and stated in the Corporation’s notice of the special meeting given under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of these Bylaws, provided that the Board may in its sole discretion determine that the special meeting shall not be held at any place, but may instead be held solely by means of remote communication pursuant to </w:t>
      </w:r>
      <w:r>
        <w:rPr>
          <w:rFonts w:ascii="Times New Roman" w:cs="Times New Roman" w:eastAsia="Times New Roman" w:hAnsi="Times New Roman"/>
          <w:sz w:val="21"/>
          <w:szCs w:val="21"/>
          <w:u w:val="single" w:color="auto"/>
          <w:color w:val="auto"/>
        </w:rPr>
        <w:t>Section 9.5(a)</w:t>
      </w:r>
      <w:r>
        <w:rPr>
          <w:rFonts w:ascii="Times New Roman" w:cs="Times New Roman" w:eastAsia="Times New Roman" w:hAnsi="Times New Roman"/>
          <w:sz w:val="21"/>
          <w:szCs w:val="21"/>
          <w:color w:val="auto"/>
        </w:rPr>
        <w:t xml:space="preserve">, provided further that, except as otherwise set forth in these Bylaws or unless a later date is required in order to allow the Corporation to file the information required under Item 8 (or any comparable or successor provision) of Schedule 14A under the Exchange Act, if applicable, the date of any stockholder requested special meeting shall be: (i) not more than 90 days after the determination of the validity of the special meeting request(s) by the independent inspectors; or (ii) if no such independent inspectors are engaged to review the validity of one or more special meeting requests, not more than 90 days after the special meeting request(s) complying with the requirements and procedures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have been delivered to the Secretary of the Corporation.</w:t>
      </w:r>
    </w:p>
    <w:p>
      <w:pPr>
        <w:spacing w:after="0" w:line="212"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2.3 Notices</w:t>
      </w:r>
      <w:r>
        <w:rPr>
          <w:rFonts w:ascii="Times New Roman" w:cs="Times New Roman" w:eastAsia="Times New Roman" w:hAnsi="Times New Roman"/>
          <w:sz w:val="21"/>
          <w:szCs w:val="21"/>
          <w:color w:val="auto"/>
        </w:rPr>
        <w:t>. Notice of each stockholders meeting stating the place, if any, date, and time of the meeting,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to each stockholder entitled to vote thereat as of the record date for determining the stockholders entitled to notice of the meeting. Such notice shall be given by the Corporation not less than 10 nor more than 60 days before the date of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67"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meeting.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Times New Roman" w:cs="Times New Roman" w:eastAsia="Times New Roman" w:hAnsi="Times New Roman"/>
          <w:sz w:val="21"/>
          <w:szCs w:val="21"/>
          <w:u w:val="single" w:color="auto"/>
          <w:color w:val="auto"/>
        </w:rPr>
        <w:t>Section 2.7(b)</w:t>
      </w:r>
      <w:r>
        <w:rPr>
          <w:rFonts w:ascii="Times New Roman" w:cs="Times New Roman" w:eastAsia="Times New Roman" w:hAnsi="Times New Roman"/>
          <w:sz w:val="21"/>
          <w:szCs w:val="21"/>
          <w:color w:val="auto"/>
        </w:rPr>
        <w:t>) given before the date previously scheduled for such meeting.</w:t>
      </w:r>
    </w:p>
    <w:p>
      <w:pPr>
        <w:spacing w:after="0" w:line="208" w:lineRule="exact"/>
        <w:rPr>
          <w:sz w:val="20"/>
          <w:szCs w:val="20"/>
          <w:color w:val="auto"/>
        </w:rPr>
      </w:pPr>
    </w:p>
    <w:p>
      <w:pPr>
        <w:jc w:val="both"/>
        <w:ind w:firstLine="1242"/>
        <w:spacing w:after="0" w:line="248" w:lineRule="auto"/>
        <w:rPr>
          <w:sz w:val="20"/>
          <w:szCs w:val="20"/>
          <w:color w:val="auto"/>
        </w:rPr>
      </w:pPr>
      <w:r>
        <w:rPr>
          <w:rFonts w:ascii="Times New Roman" w:cs="Times New Roman" w:eastAsia="Times New Roman" w:hAnsi="Times New Roman"/>
          <w:sz w:val="21"/>
          <w:szCs w:val="21"/>
          <w:b w:val="1"/>
          <w:bCs w:val="1"/>
          <w:color w:val="auto"/>
        </w:rPr>
        <w:t>Section 2.4 Quorum</w:t>
      </w:r>
      <w:r>
        <w:rPr>
          <w:rFonts w:ascii="Times New Roman" w:cs="Times New Roman" w:eastAsia="Times New Roman" w:hAnsi="Times New Roman"/>
          <w:sz w:val="21"/>
          <w:szCs w:val="21"/>
          <w:color w:val="auto"/>
        </w:rPr>
        <w:t>. Except as otherwise provided by applicable law, the Certificate of Incorporation or these Bylaws,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the chairman of the meeting may adjourn the meeting from time to time in the manner provided in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2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2.5 Voting of Shares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49" w:lineRule="auto"/>
        <w:tabs>
          <w:tab w:leader="none" w:pos="152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Lists</w:t>
      </w:r>
      <w:r>
        <w:rPr>
          <w:rFonts w:ascii="Times New Roman" w:cs="Times New Roman" w:eastAsia="Times New Roman" w:hAnsi="Times New Roman"/>
          <w:sz w:val="21"/>
          <w:szCs w:val="21"/>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The stock ledger shall be the only evidence as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67" w:right="339" w:bottom="1440" w:gutter="0" w:footer="0" w:header="0"/>
        </w:sectPr>
      </w:pPr>
    </w:p>
    <w:bookmarkStart w:id="73" w:name="page74"/>
    <w:bookmarkEnd w:id="73"/>
    <w:p>
      <w:pPr>
        <w:spacing w:after="0" w:line="273" w:lineRule="auto"/>
        <w:rPr>
          <w:sz w:val="20"/>
          <w:szCs w:val="20"/>
          <w:color w:val="auto"/>
        </w:rPr>
      </w:pPr>
      <w:r>
        <w:rPr>
          <w:rFonts w:ascii="Times New Roman" w:cs="Times New Roman" w:eastAsia="Times New Roman" w:hAnsi="Times New Roman"/>
          <w:sz w:val="21"/>
          <w:szCs w:val="21"/>
          <w:color w:val="auto"/>
        </w:rPr>
        <w:t xml:space="preserve">to who are the stockholders entitled to examine the list required by this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or to vote in person or by proxy at any meeting of stockholders.</w:t>
      </w:r>
    </w:p>
    <w:p>
      <w:pPr>
        <w:spacing w:after="0" w:line="201" w:lineRule="exact"/>
        <w:rPr>
          <w:sz w:val="20"/>
          <w:szCs w:val="20"/>
          <w:color w:val="auto"/>
        </w:rPr>
      </w:pPr>
    </w:p>
    <w:p>
      <w:pPr>
        <w:jc w:val="both"/>
        <w:ind w:firstLine="1245"/>
        <w:spacing w:after="0" w:line="250" w:lineRule="auto"/>
        <w:tabs>
          <w:tab w:leader="none" w:pos="15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Voting</w:t>
      </w:r>
      <w:r>
        <w:rPr>
          <w:rFonts w:ascii="Times New Roman" w:cs="Times New Roman" w:eastAsia="Times New Roman" w:hAnsi="Times New Roman"/>
          <w:sz w:val="21"/>
          <w:szCs w:val="21"/>
          <w:color w:val="auto"/>
        </w:rPr>
        <w:t xml:space="preserve">. At any stockholders meeting, every stockholder entitled to vote may vote in person or by proxy. If authorized by the Board, the voting by stockholders or proxyholders at any meeting conducted by remote communication may be effected by a ballot submitted by electronic transmission (as defined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spacing w:after="0" w:line="2" w:lineRule="exact"/>
        <w:rPr>
          <w:rFonts w:ascii="Times New Roman" w:cs="Times New Roman" w:eastAsia="Times New Roman" w:hAnsi="Times New Roman"/>
          <w:sz w:val="21"/>
          <w:szCs w:val="21"/>
          <w:color w:val="auto"/>
        </w:rPr>
      </w:pPr>
    </w:p>
    <w:p>
      <w:pPr>
        <w:jc w:val="both"/>
        <w:ind w:firstLine="1245"/>
        <w:spacing w:after="0" w:line="247" w:lineRule="auto"/>
        <w:tabs>
          <w:tab w:leader="none" w:pos="152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218"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13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203" w:lineRule="exact"/>
        <w:rPr>
          <w:rFonts w:ascii="Times New Roman" w:cs="Times New Roman" w:eastAsia="Times New Roman" w:hAnsi="Times New Roman"/>
          <w:sz w:val="21"/>
          <w:szCs w:val="21"/>
          <w:color w:val="auto"/>
        </w:rPr>
      </w:pPr>
    </w:p>
    <w:p>
      <w:pPr>
        <w:jc w:val="both"/>
        <w:ind w:left="620" w:firstLine="1246"/>
        <w:spacing w:after="0" w:line="254" w:lineRule="auto"/>
        <w:tabs>
          <w:tab w:leader="none" w:pos="217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67" w:right="339" w:bottom="1440" w:gutter="0" w:footer="0" w:header="0"/>
        </w:sectPr>
      </w:pPr>
    </w:p>
    <w:bookmarkStart w:id="74" w:name="page75"/>
    <w:bookmarkEnd w:id="74"/>
    <w:p>
      <w:pPr>
        <w:ind w:left="1540" w:hanging="295"/>
        <w:spacing w:after="0"/>
        <w:tabs>
          <w:tab w:leader="none" w:pos="15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Vote</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21"/>
          <w:szCs w:val="21"/>
          <w:color w:val="auto"/>
        </w:rPr>
      </w:pPr>
    </w:p>
    <w:p>
      <w:pPr>
        <w:jc w:val="both"/>
        <w:ind w:left="620" w:firstLine="1246"/>
        <w:spacing w:after="0" w:line="249" w:lineRule="auto"/>
        <w:tabs>
          <w:tab w:leader="none" w:pos="210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Uncontested Election</w:t>
      </w:r>
      <w:r>
        <w:rPr>
          <w:rFonts w:ascii="Times New Roman" w:cs="Times New Roman" w:eastAsia="Times New Roman" w:hAnsi="Times New Roman"/>
          <w:sz w:val="21"/>
          <w:szCs w:val="21"/>
          <w:color w:val="auto"/>
        </w:rPr>
        <w:t xml:space="preserve">. Except as provided in </w:t>
      </w:r>
      <w:r>
        <w:rPr>
          <w:rFonts w:ascii="Times New Roman" w:cs="Times New Roman" w:eastAsia="Times New Roman" w:hAnsi="Times New Roman"/>
          <w:sz w:val="21"/>
          <w:szCs w:val="21"/>
          <w:u w:val="single" w:color="auto"/>
          <w:color w:val="auto"/>
        </w:rPr>
        <w:t>Section 2.5(d)(ii)</w:t>
      </w:r>
      <w:r>
        <w:rPr>
          <w:rFonts w:ascii="Times New Roman" w:cs="Times New Roman" w:eastAsia="Times New Roman" w:hAnsi="Times New Roman"/>
          <w:sz w:val="21"/>
          <w:szCs w:val="21"/>
          <w:color w:val="auto"/>
        </w:rPr>
        <w:t xml:space="preserve"> and subject to the rights of any holders of one or more series of Preferred Stock, voting separately by class or series, to elect directors pursuant to the terms of one or more series of Preferred Stock, each director shall be elected by a vote of the majority of the votes cast at any meeting for the election of directors at which a quorum is present. For purposes of this </w:t>
      </w:r>
      <w:r>
        <w:rPr>
          <w:rFonts w:ascii="Times New Roman" w:cs="Times New Roman" w:eastAsia="Times New Roman" w:hAnsi="Times New Roman"/>
          <w:sz w:val="21"/>
          <w:szCs w:val="21"/>
          <w:u w:val="single" w:color="auto"/>
          <w:color w:val="auto"/>
        </w:rPr>
        <w:t>Section 2.5(d)(i)</w:t>
      </w:r>
      <w:r>
        <w:rPr>
          <w:rFonts w:ascii="Times New Roman" w:cs="Times New Roman" w:eastAsia="Times New Roman" w:hAnsi="Times New Roman"/>
          <w:sz w:val="21"/>
          <w:szCs w:val="21"/>
          <w:color w:val="auto"/>
        </w:rPr>
        <w:t>, a majority of the votes cast means that the number of shares voted “for” a director must exceed the number of votes cast “against” that director. In an uncontested election, any incumbent director who is not elected because he or she does not receive a majority of the votes cast shall immediately tender his or her resignation for consideration by the Board. The Board will evaluate whether to accept or reject such resignation or whether other action should be taken; provided, however, that the Board will act on such resignation, and the Corporation shall publicly disclose the Board’s decision to accept or reject such resignation and, if applicable, the rationale behind such decision, within 90 days from the date of the certification of the director elections results. The Board may fill any vacancy resulting from the non-election or resignation of a director as provided in these Bylaws or the Certificate of Incorporation.</w:t>
      </w:r>
    </w:p>
    <w:p>
      <w:pPr>
        <w:spacing w:after="0" w:line="227" w:lineRule="exact"/>
        <w:rPr>
          <w:rFonts w:ascii="Times New Roman" w:cs="Times New Roman" w:eastAsia="Times New Roman" w:hAnsi="Times New Roman"/>
          <w:sz w:val="21"/>
          <w:szCs w:val="21"/>
          <w:color w:val="auto"/>
        </w:rPr>
      </w:pPr>
    </w:p>
    <w:p>
      <w:pPr>
        <w:jc w:val="both"/>
        <w:ind w:left="620" w:firstLine="1246"/>
        <w:spacing w:after="0" w:line="250" w:lineRule="auto"/>
        <w:tabs>
          <w:tab w:leader="none" w:pos="219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Contested Election</w:t>
      </w:r>
      <w:r>
        <w:rPr>
          <w:rFonts w:ascii="Times New Roman" w:cs="Times New Roman" w:eastAsia="Times New Roman" w:hAnsi="Times New Roman"/>
          <w:sz w:val="21"/>
          <w:szCs w:val="21"/>
          <w:color w:val="auto"/>
        </w:rPr>
        <w:t xml:space="preserve">. Subject to the rights of any holders of one or more series of Preferred Stock, voting separately by class or series, to elect directors pursuant to the terms of one or more series of Preferred Stock, in a contested election, each director shall be elected by a plurality of the votes cast, which shall mean that the directors receiving the largest number of “for” votes will be elected in such contested election, at any meeting for the election of directors at which a quorum is present. For purposes of this </w:t>
      </w:r>
      <w:r>
        <w:rPr>
          <w:rFonts w:ascii="Times New Roman" w:cs="Times New Roman" w:eastAsia="Times New Roman" w:hAnsi="Times New Roman"/>
          <w:sz w:val="21"/>
          <w:szCs w:val="21"/>
          <w:u w:val="single" w:color="auto"/>
          <w:color w:val="auto"/>
        </w:rPr>
        <w:t>Section 2.5(d)(ii)</w:t>
      </w:r>
      <w:r>
        <w:rPr>
          <w:rFonts w:ascii="Times New Roman" w:cs="Times New Roman" w:eastAsia="Times New Roman" w:hAnsi="Times New Roman"/>
          <w:sz w:val="21"/>
          <w:szCs w:val="21"/>
          <w:color w:val="auto"/>
        </w:rPr>
        <w:t>, a contested election means an election in which (i) as of the last day for giving notice of a stockholder nominee, a stockholder has nominated a candidate for director in accordance with the requirements of these Bylaws, and (ii) as of the date that notice of the annual meeting is given, the Board considers that a stockholder-nominated director candidacy has created a bona fide election contest.</w:t>
      </w:r>
    </w:p>
    <w:p>
      <w:pPr>
        <w:spacing w:after="0" w:line="225" w:lineRule="exact"/>
        <w:rPr>
          <w:rFonts w:ascii="Times New Roman" w:cs="Times New Roman" w:eastAsia="Times New Roman" w:hAnsi="Times New Roman"/>
          <w:sz w:val="21"/>
          <w:szCs w:val="21"/>
          <w:color w:val="auto"/>
        </w:rPr>
      </w:pPr>
    </w:p>
    <w:p>
      <w:pPr>
        <w:jc w:val="both"/>
        <w:ind w:left="620" w:firstLine="1246"/>
        <w:spacing w:after="0" w:line="251" w:lineRule="auto"/>
        <w:tabs>
          <w:tab w:leader="none" w:pos="2237"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 Other Matters</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2.5(d)(i)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2.5(d)(ii)</w:t>
      </w:r>
      <w:r>
        <w:rPr>
          <w:rFonts w:ascii="Times New Roman" w:cs="Times New Roman" w:eastAsia="Times New Roman" w:hAnsi="Times New Roman"/>
          <w:sz w:val="21"/>
          <w:szCs w:val="21"/>
          <w:color w:val="auto"/>
        </w:rPr>
        <w:t>,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224" w:lineRule="exact"/>
        <w:rPr>
          <w:rFonts w:ascii="Times New Roman" w:cs="Times New Roman" w:eastAsia="Times New Roman" w:hAnsi="Times New Roman"/>
          <w:sz w:val="21"/>
          <w:szCs w:val="21"/>
          <w:color w:val="auto"/>
        </w:rPr>
      </w:pPr>
    </w:p>
    <w:p>
      <w:pPr>
        <w:jc w:val="both"/>
        <w:ind w:firstLine="1245"/>
        <w:spacing w:after="0" w:line="251" w:lineRule="auto"/>
        <w:tabs>
          <w:tab w:leader="none" w:pos="154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Inspectors of Election</w:t>
      </w:r>
      <w:r>
        <w:rPr>
          <w:rFonts w:ascii="Times New Roman" w:cs="Times New Roman" w:eastAsia="Times New Roman" w:hAnsi="Times New Roman"/>
          <w:sz w:val="21"/>
          <w:szCs w:val="21"/>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67" w:right="339" w:bottom="144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21"/>
          <w:szCs w:val="21"/>
          <w:color w:val="auto"/>
        </w:rPr>
        <w:t>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209" w:lineRule="exact"/>
        <w:rPr>
          <w:sz w:val="20"/>
          <w:szCs w:val="20"/>
          <w:color w:val="auto"/>
        </w:rPr>
      </w:pPr>
    </w:p>
    <w:p>
      <w:pPr>
        <w:jc w:val="both"/>
        <w:ind w:firstLine="1242"/>
        <w:spacing w:after="0" w:line="248" w:lineRule="auto"/>
        <w:rPr>
          <w:sz w:val="20"/>
          <w:szCs w:val="20"/>
          <w:color w:val="auto"/>
        </w:rPr>
      </w:pPr>
      <w:r>
        <w:rPr>
          <w:rFonts w:ascii="Times New Roman" w:cs="Times New Roman" w:eastAsia="Times New Roman" w:hAnsi="Times New Roman"/>
          <w:sz w:val="21"/>
          <w:szCs w:val="21"/>
          <w:b w:val="1"/>
          <w:bCs w:val="1"/>
          <w:color w:val="auto"/>
        </w:rPr>
        <w:t>Section 2.6 Adjournments</w:t>
      </w:r>
      <w:r>
        <w:rPr>
          <w:rFonts w:ascii="Times New Roman" w:cs="Times New Roman" w:eastAsia="Times New Roman" w:hAnsi="Times New Roman"/>
          <w:sz w:val="21"/>
          <w:szCs w:val="21"/>
          <w:color w:val="auto"/>
        </w:rPr>
        <w:t>. Any meeting of stockholders, annual or special, may be adjourned by the chairman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meeting, from time to time, whether or not there is a quorum, to reconvene at the same or some other place. When a meeting is adjourned to another time or place, (including an adjournment taken to address a technical failure to convene or continue a meeting using remote communication), notice need not be given of any such adjourned meeting if the date, time and place, if any, thereof, and the means of remote communication,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stockholders, or the holders of any class or series of stock entitled to vote separately as a class, as the case may be,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and shall give notice of the adjourned meeting to each stockholder of record entitled to vote at such adjourned meeting as of the record date fixed for notice of such adjourned meeting.</w:t>
      </w:r>
    </w:p>
    <w:p>
      <w:pPr>
        <w:spacing w:after="0" w:line="2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2.7 Advance Notice for Business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64" w:lineRule="auto"/>
        <w:tabs>
          <w:tab w:leader="none" w:pos="15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Meetings of Stockholders</w:t>
      </w:r>
      <w:r>
        <w:rPr>
          <w:rFonts w:ascii="Times New Roman" w:cs="Times New Roman" w:eastAsia="Times New Roman" w:hAnsi="Times New Roman"/>
          <w:sz w:val="20"/>
          <w:szCs w:val="20"/>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both on the date of the giving of the notice provided for in this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and on the date of such annual meeting and who is entitled to vote at such annual meeting and</w:t>
      </w:r>
    </w:p>
    <w:p>
      <w:pPr>
        <w:ind w:left="300" w:hanging="297"/>
        <w:spacing w:after="0"/>
        <w:tabs>
          <w:tab w:leader="none" w:pos="3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who complies with the notice procedures set forth in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Except for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67"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stockholders. Stockholders seeking to nominate persons for election to the Board must comply with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 and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shall not be applicable to nominations.</w:t>
      </w:r>
    </w:p>
    <w:p>
      <w:pPr>
        <w:spacing w:after="0" w:line="203" w:lineRule="exact"/>
        <w:rPr>
          <w:sz w:val="20"/>
          <w:szCs w:val="20"/>
          <w:color w:val="auto"/>
        </w:rPr>
      </w:pPr>
    </w:p>
    <w:p>
      <w:pPr>
        <w:jc w:val="both"/>
        <w:ind w:left="620" w:firstLine="1246"/>
        <w:spacing w:after="0" w:line="248" w:lineRule="auto"/>
        <w:tabs>
          <w:tab w:leader="none" w:pos="211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2.7(a)(iv)</w:t>
      </w:r>
      <w:r>
        <w:rPr>
          <w:rFonts w:ascii="Times New Roman" w:cs="Times New Roman" w:eastAsia="Times New Roman" w:hAnsi="Times New Roman"/>
          <w:sz w:val="21"/>
          <w:szCs w:val="21"/>
          <w:color w:val="auto"/>
        </w:rPr>
        <w:t xml:space="preserve">, a stockholder’s notice to the Secretary with respect to such business, to be timely, must (x) comply with the provisions of this </w:t>
      </w:r>
      <w:r>
        <w:rPr>
          <w:rFonts w:ascii="Times New Roman" w:cs="Times New Roman" w:eastAsia="Times New Roman" w:hAnsi="Times New Roman"/>
          <w:sz w:val="21"/>
          <w:szCs w:val="21"/>
          <w:u w:val="single" w:color="auto"/>
          <w:color w:val="auto"/>
        </w:rPr>
        <w:t>Section 2.7(a)(i)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be timely updated by the times and in the manner required by the provisions of </w:t>
      </w:r>
      <w:r>
        <w:rPr>
          <w:rFonts w:ascii="Times New Roman" w:cs="Times New Roman" w:eastAsia="Times New Roman" w:hAnsi="Times New Roman"/>
          <w:sz w:val="21"/>
          <w:szCs w:val="21"/>
          <w:u w:val="single" w:color="auto"/>
          <w:color w:val="auto"/>
        </w:rPr>
        <w:t>Section 2.7(a)(iii)</w:t>
      </w:r>
      <w:r>
        <w:rPr>
          <w:rFonts w:ascii="Times New Roman" w:cs="Times New Roman" w:eastAsia="Times New Roman" w:hAnsi="Times New Roman"/>
          <w:sz w:val="21"/>
          <w:szCs w:val="21"/>
          <w:color w:val="auto"/>
        </w:rPr>
        <w:t xml:space="preserve">.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stockholder’s notice as described in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w:t>
      </w:r>
    </w:p>
    <w:p>
      <w:pPr>
        <w:spacing w:after="0" w:line="232" w:lineRule="exact"/>
        <w:rPr>
          <w:rFonts w:ascii="Times New Roman" w:cs="Times New Roman" w:eastAsia="Times New Roman" w:hAnsi="Times New Roman"/>
          <w:sz w:val="21"/>
          <w:szCs w:val="21"/>
          <w:color w:val="auto"/>
        </w:rPr>
      </w:pPr>
    </w:p>
    <w:p>
      <w:pPr>
        <w:ind w:left="620" w:firstLine="1246"/>
        <w:spacing w:after="0" w:line="273" w:lineRule="auto"/>
        <w:tabs>
          <w:tab w:leader="none" w:pos="217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written form, a stockholder’s notice to the Secretary with respect to any business (other than nominations) must set forth:</w:t>
      </w:r>
    </w:p>
    <w:p>
      <w:pPr>
        <w:spacing w:after="0" w:line="175" w:lineRule="exact"/>
        <w:rPr>
          <w:rFonts w:ascii="Times New Roman" w:cs="Times New Roman" w:eastAsia="Times New Roman" w:hAnsi="Times New Roman"/>
          <w:sz w:val="21"/>
          <w:szCs w:val="21"/>
          <w:color w:val="auto"/>
        </w:rPr>
      </w:pPr>
    </w:p>
    <w:p>
      <w:pPr>
        <w:jc w:val="both"/>
        <w:ind w:left="1240" w:firstLine="1247"/>
        <w:spacing w:after="0" w:line="252" w:lineRule="auto"/>
        <w:tabs>
          <w:tab w:leader="none" w:pos="285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such matter such stockholder proposes to bring before the annual meeting (1) a brief description of the business desired to be brought before the annual meeting and any material interest in such business of such stockholder and any Stockholder Associated Person (as defined below), individually or in the aggregate, (2) the text of the proposal or business (including the text of any resolutions proposed for consideration and if such business includes a proposal to amend these Bylaws, the text of the proposed amendment) and (3) the reasons for conducting such business at the annual meeting,</w:t>
      </w:r>
    </w:p>
    <w:p>
      <w:pPr>
        <w:spacing w:after="0" w:line="199" w:lineRule="exact"/>
        <w:rPr>
          <w:rFonts w:ascii="Times New Roman" w:cs="Times New Roman" w:eastAsia="Times New Roman" w:hAnsi="Times New Roman"/>
          <w:sz w:val="21"/>
          <w:szCs w:val="21"/>
          <w:color w:val="auto"/>
        </w:rPr>
      </w:pPr>
    </w:p>
    <w:p>
      <w:pPr>
        <w:ind w:left="1240" w:firstLine="1247"/>
        <w:spacing w:after="0" w:line="273" w:lineRule="auto"/>
        <w:tabs>
          <w:tab w:leader="none" w:pos="280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stockholder proposing such business, as they appear on the Corporation’s books, and the name and address of any Stockholder Associated Person,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67" w:right="339" w:bottom="1440" w:gutter="0" w:footer="0" w:header="0"/>
        </w:sectPr>
      </w:pPr>
    </w:p>
    <w:bookmarkStart w:id="77" w:name="page78"/>
    <w:bookmarkEnd w:id="77"/>
    <w:p>
      <w:pPr>
        <w:jc w:val="both"/>
        <w:ind w:left="120" w:firstLine="1247"/>
        <w:spacing w:after="0" w:line="256" w:lineRule="auto"/>
        <w:tabs>
          <w:tab w:leader="none" w:pos="171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class or series and number of shares of capital stock of the Corporation that are owned of record or are directly or indirectly owned beneficially by such stockholder and by any Stockholder Associated Person,</w:t>
      </w:r>
    </w:p>
    <w:p>
      <w:pPr>
        <w:ind w:left="120" w:firstLine="5"/>
        <w:spacing w:after="0" w:line="262" w:lineRule="auto"/>
        <w:tabs>
          <w:tab w:leader="none" w:pos="42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or dates such shares were acquired, (3) the investment intent of such acquisition and (4) any pledge by any Stockholder Associated Person with respect to any of such shares,</w:t>
      </w:r>
    </w:p>
    <w:p>
      <w:pPr>
        <w:spacing w:after="0" w:line="186" w:lineRule="exact"/>
        <w:rPr>
          <w:rFonts w:ascii="Times New Roman" w:cs="Times New Roman" w:eastAsia="Times New Roman" w:hAnsi="Times New Roman"/>
          <w:sz w:val="21"/>
          <w:szCs w:val="21"/>
          <w:color w:val="auto"/>
        </w:rPr>
      </w:pPr>
    </w:p>
    <w:p>
      <w:pPr>
        <w:jc w:val="both"/>
        <w:ind w:left="120" w:firstLine="1247"/>
        <w:spacing w:after="0" w:line="250" w:lineRule="auto"/>
        <w:tabs>
          <w:tab w:leader="none" w:pos="1738"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(a “</w:t>
      </w:r>
      <w:r>
        <w:rPr>
          <w:rFonts w:ascii="Times New Roman" w:cs="Times New Roman" w:eastAsia="Times New Roman" w:hAnsi="Times New Roman"/>
          <w:sz w:val="21"/>
          <w:szCs w:val="21"/>
          <w:b w:val="1"/>
          <w:bCs w:val="1"/>
          <w:i w:val="1"/>
          <w:iCs w:val="1"/>
          <w:color w:val="auto"/>
        </w:rPr>
        <w:t>Derivative Instrument</w:t>
      </w:r>
      <w:r>
        <w:rPr>
          <w:rFonts w:ascii="Times New Roman" w:cs="Times New Roman" w:eastAsia="Times New Roman" w:hAnsi="Times New Roman"/>
          <w:sz w:val="21"/>
          <w:szCs w:val="21"/>
          <w:color w:val="auto"/>
        </w:rPr>
        <w:t>”)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w:t>
      </w:r>
    </w:p>
    <w:p>
      <w:pPr>
        <w:spacing w:after="0" w:line="199" w:lineRule="exact"/>
        <w:rPr>
          <w:rFonts w:ascii="Times New Roman" w:cs="Times New Roman" w:eastAsia="Times New Roman" w:hAnsi="Times New Roman"/>
          <w:sz w:val="21"/>
          <w:szCs w:val="21"/>
          <w:color w:val="auto"/>
        </w:rPr>
      </w:pPr>
    </w:p>
    <w:p>
      <w:pPr>
        <w:jc w:val="both"/>
        <w:ind w:left="120" w:firstLine="1247"/>
        <w:spacing w:after="0" w:line="258" w:lineRule="auto"/>
        <w:tabs>
          <w:tab w:leader="none" w:pos="168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w:t>
      </w:r>
    </w:p>
    <w:p>
      <w:pPr>
        <w:spacing w:after="0" w:line="190" w:lineRule="exact"/>
        <w:rPr>
          <w:rFonts w:ascii="Times New Roman" w:cs="Times New Roman" w:eastAsia="Times New Roman" w:hAnsi="Times New Roman"/>
          <w:sz w:val="21"/>
          <w:szCs w:val="21"/>
          <w:color w:val="auto"/>
        </w:rPr>
      </w:pPr>
    </w:p>
    <w:p>
      <w:pPr>
        <w:jc w:val="both"/>
        <w:ind w:left="120" w:firstLine="1247"/>
        <w:spacing w:after="0" w:line="258" w:lineRule="auto"/>
        <w:tabs>
          <w:tab w:leader="none" w:pos="1693"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short interest in any security of the Corporation held by such stockholder or any Stockholder Associated Person (for purposes of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190" w:lineRule="exact"/>
        <w:rPr>
          <w:rFonts w:ascii="Times New Roman" w:cs="Times New Roman" w:eastAsia="Times New Roman" w:hAnsi="Times New Roman"/>
          <w:sz w:val="21"/>
          <w:szCs w:val="21"/>
          <w:color w:val="auto"/>
        </w:rPr>
      </w:pPr>
    </w:p>
    <w:p>
      <w:pPr>
        <w:ind w:left="120" w:firstLine="1247"/>
        <w:spacing w:after="0" w:line="273" w:lineRule="auto"/>
        <w:tabs>
          <w:tab w:leader="none" w:pos="170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rights owned beneficially by such stockholder or Stockholder Associated Person to dividends on the shares of the Corporation that are separated or separable from the underlying shares of the Corporation,</w:t>
      </w:r>
    </w:p>
    <w:p>
      <w:pPr>
        <w:spacing w:after="0" w:line="175" w:lineRule="exact"/>
        <w:rPr>
          <w:rFonts w:ascii="Times New Roman" w:cs="Times New Roman" w:eastAsia="Times New Roman" w:hAnsi="Times New Roman"/>
          <w:sz w:val="21"/>
          <w:szCs w:val="21"/>
          <w:color w:val="auto"/>
        </w:rPr>
      </w:pPr>
    </w:p>
    <w:p>
      <w:pPr>
        <w:jc w:val="both"/>
        <w:ind w:left="120" w:firstLine="1247"/>
        <w:spacing w:after="0" w:line="265" w:lineRule="auto"/>
        <w:tabs>
          <w:tab w:leader="none" w:pos="1728"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w:t>
      </w:r>
    </w:p>
    <w:p>
      <w:pPr>
        <w:spacing w:after="0" w:line="183" w:lineRule="exact"/>
        <w:rPr>
          <w:rFonts w:ascii="Times New Roman" w:cs="Times New Roman" w:eastAsia="Times New Roman" w:hAnsi="Times New Roman"/>
          <w:sz w:val="21"/>
          <w:szCs w:val="21"/>
          <w:color w:val="auto"/>
        </w:rPr>
      </w:pPr>
    </w:p>
    <w:p>
      <w:pPr>
        <w:ind w:left="120" w:firstLine="1247"/>
        <w:spacing w:after="0" w:line="273" w:lineRule="auto"/>
        <w:tabs>
          <w:tab w:leader="none" w:pos="1638"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agreements, arrangements or understandings (written or oral) between or among such stockholder, any Stockholder Associated</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120"/>
          </w:cols>
          <w:pgMar w:left="1440" w:top="1367" w:right="339" w:bottom="1440" w:gutter="0" w:footer="0" w:header="0"/>
        </w:sectPr>
      </w:pPr>
    </w:p>
    <w:bookmarkStart w:id="78" w:name="page79"/>
    <w:bookmarkEnd w:id="78"/>
    <w:p>
      <w:pPr>
        <w:ind w:left="120"/>
        <w:spacing w:after="0" w:line="273" w:lineRule="auto"/>
        <w:rPr>
          <w:sz w:val="20"/>
          <w:szCs w:val="20"/>
          <w:color w:val="auto"/>
        </w:rPr>
      </w:pPr>
      <w:r>
        <w:rPr>
          <w:rFonts w:ascii="Times New Roman" w:cs="Times New Roman" w:eastAsia="Times New Roman" w:hAnsi="Times New Roman"/>
          <w:sz w:val="21"/>
          <w:szCs w:val="21"/>
          <w:color w:val="auto"/>
        </w:rPr>
        <w:t>Person or any other person or persons (including their names) in connection with the proposal of such business by such stockholder,</w:t>
      </w:r>
    </w:p>
    <w:p>
      <w:pPr>
        <w:spacing w:after="0" w:line="175" w:lineRule="exact"/>
        <w:rPr>
          <w:sz w:val="20"/>
          <w:szCs w:val="20"/>
          <w:color w:val="auto"/>
        </w:rPr>
      </w:pPr>
    </w:p>
    <w:p>
      <w:pPr>
        <w:jc w:val="both"/>
        <w:ind w:left="120" w:firstLine="1247"/>
        <w:spacing w:after="0" w:line="275" w:lineRule="auto"/>
        <w:tabs>
          <w:tab w:leader="none" w:pos="163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w:t>
      </w:r>
    </w:p>
    <w:p>
      <w:pPr>
        <w:spacing w:after="0" w:line="174" w:lineRule="exact"/>
        <w:rPr>
          <w:rFonts w:ascii="Times New Roman" w:cs="Times New Roman" w:eastAsia="Times New Roman" w:hAnsi="Times New Roman"/>
          <w:sz w:val="20"/>
          <w:szCs w:val="20"/>
          <w:color w:val="auto"/>
        </w:rPr>
      </w:pPr>
    </w:p>
    <w:p>
      <w:pPr>
        <w:ind w:left="120" w:firstLine="1247"/>
        <w:spacing w:after="0" w:line="273" w:lineRule="auto"/>
        <w:tabs>
          <w:tab w:leader="none" w:pos="171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that such stockholder intends to appear in person or by proxy at the annual meeting to bring such business before the meeting, and</w:t>
      </w:r>
    </w:p>
    <w:p>
      <w:pPr>
        <w:spacing w:after="0" w:line="187" w:lineRule="exact"/>
        <w:rPr>
          <w:rFonts w:ascii="Times New Roman" w:cs="Times New Roman" w:eastAsia="Times New Roman" w:hAnsi="Times New Roman"/>
          <w:sz w:val="21"/>
          <w:szCs w:val="21"/>
          <w:color w:val="auto"/>
        </w:rPr>
      </w:pPr>
    </w:p>
    <w:p>
      <w:pPr>
        <w:ind w:left="120" w:firstLine="1247"/>
        <w:spacing w:after="0" w:line="273" w:lineRule="auto"/>
        <w:tabs>
          <w:tab w:leader="none" w:pos="1681"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of whether such stockholder or any Stockholder Associated Person intends, or is part of a group that intends, to solicit proxies in connection with the proposal.</w:t>
      </w:r>
    </w:p>
    <w:p>
      <w:pPr>
        <w:spacing w:after="0" w:line="187" w:lineRule="exact"/>
        <w:rPr>
          <w:rFonts w:ascii="Times New Roman" w:cs="Times New Roman" w:eastAsia="Times New Roman" w:hAnsi="Times New Roman"/>
          <w:sz w:val="21"/>
          <w:szCs w:val="21"/>
          <w:color w:val="auto"/>
        </w:rPr>
      </w:pPr>
    </w:p>
    <w:p>
      <w:pPr>
        <w:jc w:val="both"/>
        <w:ind w:left="-500" w:firstLine="1246"/>
        <w:spacing w:after="0" w:line="250" w:lineRule="auto"/>
        <w:tabs>
          <w:tab w:leader="none" w:pos="112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spacing w:after="0" w:line="213" w:lineRule="exact"/>
        <w:rPr>
          <w:rFonts w:ascii="Times New Roman" w:cs="Times New Roman" w:eastAsia="Times New Roman" w:hAnsi="Times New Roman"/>
          <w:sz w:val="21"/>
          <w:szCs w:val="21"/>
          <w:color w:val="auto"/>
        </w:rPr>
      </w:pPr>
    </w:p>
    <w:p>
      <w:pPr>
        <w:jc w:val="both"/>
        <w:ind w:left="-500" w:firstLine="1246"/>
        <w:spacing w:after="0" w:line="251" w:lineRule="auto"/>
        <w:tabs>
          <w:tab w:leader="none" w:pos="109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foregoing notice requirements of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stockholder’s proposal has been included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shall be deemed to preclude discussion by any stockholder of any such business. If the Board or the chairman of the annual meeting determines that any stockholder proposal</w:t>
      </w: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120"/>
          </w:cols>
          <w:pgMar w:left="1440" w:top="1367" w:right="339" w:bottom="1440" w:gutter="0" w:footer="0" w:header="0"/>
        </w:sectPr>
      </w:pPr>
    </w:p>
    <w:bookmarkStart w:id="79" w:name="page80"/>
    <w:bookmarkEnd w:id="79"/>
    <w:p>
      <w:pPr>
        <w:jc w:val="both"/>
        <w:ind w:left="620"/>
        <w:spacing w:after="0" w:line="252" w:lineRule="auto"/>
        <w:rPr>
          <w:sz w:val="20"/>
          <w:szCs w:val="20"/>
          <w:color w:val="auto"/>
        </w:rPr>
      </w:pPr>
      <w:r>
        <w:rPr>
          <w:rFonts w:ascii="Times New Roman" w:cs="Times New Roman" w:eastAsia="Times New Roman" w:hAnsi="Times New Roman"/>
          <w:sz w:val="21"/>
          <w:szCs w:val="21"/>
          <w:color w:val="auto"/>
        </w:rPr>
        <w:t xml:space="preserve">was not made in accordance with the provisions of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or that the information provided in a stockholder’s notice does not satisfy the information requirements of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such proposal shall not be presented for action at the annual meeting. Notwithstanding the foregoing provisions of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212" w:lineRule="exact"/>
        <w:rPr>
          <w:sz w:val="20"/>
          <w:szCs w:val="20"/>
          <w:color w:val="auto"/>
        </w:rPr>
      </w:pPr>
    </w:p>
    <w:p>
      <w:pPr>
        <w:jc w:val="both"/>
        <w:ind w:left="620" w:firstLine="1246"/>
        <w:spacing w:after="0" w:line="258" w:lineRule="auto"/>
        <w:tabs>
          <w:tab w:leader="none" w:pos="219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provisions of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a stockholder shall also comply with all applicable requirements of the Exchange Act and the rules and regulations thereunder with respect to the matters set forth herein. Nothing in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shall be deemed to affect any rights of stockholders to request inclusion of proposals in the Corporation’s proxy statement pursuant to Rule 14a-8 under the Exchange Act.</w:t>
      </w:r>
    </w:p>
    <w:p>
      <w:pPr>
        <w:spacing w:after="0" w:line="199" w:lineRule="exact"/>
        <w:rPr>
          <w:rFonts w:ascii="Times New Roman" w:cs="Times New Roman" w:eastAsia="Times New Roman" w:hAnsi="Times New Roman"/>
          <w:sz w:val="21"/>
          <w:szCs w:val="21"/>
          <w:color w:val="auto"/>
        </w:rPr>
      </w:pPr>
    </w:p>
    <w:p>
      <w:pPr>
        <w:jc w:val="both"/>
        <w:ind w:firstLine="1245"/>
        <w:spacing w:after="0" w:line="250" w:lineRule="auto"/>
        <w:tabs>
          <w:tab w:leader="none" w:pos="153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these Bylaws, “</w:t>
      </w:r>
      <w:r>
        <w:rPr>
          <w:rFonts w:ascii="Times New Roman" w:cs="Times New Roman" w:eastAsia="Times New Roman" w:hAnsi="Times New Roman"/>
          <w:sz w:val="21"/>
          <w:szCs w:val="21"/>
          <w:b w:val="1"/>
          <w:bCs w:val="1"/>
          <w:i w:val="1"/>
          <w:iCs w:val="1"/>
          <w:color w:val="auto"/>
        </w:rPr>
        <w:t>public announcement</w:t>
      </w:r>
      <w:r>
        <w:rPr>
          <w:rFonts w:ascii="Times New Roman" w:cs="Times New Roman" w:eastAsia="Times New Roman" w:hAnsi="Times New Roman"/>
          <w:sz w:val="21"/>
          <w:szCs w:val="21"/>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Associated Person</w:t>
      </w:r>
      <w:r>
        <w:rPr>
          <w:rFonts w:ascii="Times New Roman" w:cs="Times New Roman" w:eastAsia="Times New Roman" w:hAnsi="Times New Roman"/>
          <w:sz w:val="21"/>
          <w:szCs w:val="21"/>
          <w:color w:val="auto"/>
        </w:rPr>
        <w:t>” shall mean for any stockholder (i) any person controlling, directly or indirectly, such stockholder, (ii)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beneficial owner of shares of stock of the Corporation owned of record or beneficially by such stockholder, or (iii) any participant (as defined in paragraphs (a)(ii)-(vi) of Instruction 3 to Item 4 of Schedule 14A) with such stockholder in such solicitation; and a “</w:t>
      </w:r>
      <w:r>
        <w:rPr>
          <w:rFonts w:ascii="Times New Roman" w:cs="Times New Roman" w:eastAsia="Times New Roman" w:hAnsi="Times New Roman"/>
          <w:sz w:val="21"/>
          <w:szCs w:val="21"/>
          <w:b w:val="1"/>
          <w:bCs w:val="1"/>
          <w:i w:val="1"/>
          <w:iCs w:val="1"/>
          <w:color w:val="auto"/>
        </w:rPr>
        <w:t>qualified representative</w:t>
      </w:r>
      <w:r>
        <w:rPr>
          <w:rFonts w:ascii="Times New Roman" w:cs="Times New Roman" w:eastAsia="Times New Roman" w:hAnsi="Times New Roman"/>
          <w:sz w:val="21"/>
          <w:szCs w:val="21"/>
          <w:color w:val="auto"/>
        </w:rPr>
        <w:t>” of a stockholder shall mean a duly authorized officer, manager, trustee or partner of such stockholder or a person authorized by a writing executed by such stockholder (or a reliable reproduction of the writing) stating that such person is authorized to act for such stockholder as proxy at the meeting of stockholders, which writing or reproduction must be delivered to the Corporation not fewer than five business days before the stockholder meeting.</w:t>
      </w:r>
    </w:p>
    <w:p>
      <w:pPr>
        <w:spacing w:after="0" w:line="216" w:lineRule="exact"/>
        <w:rPr>
          <w:sz w:val="20"/>
          <w:szCs w:val="20"/>
          <w:color w:val="auto"/>
        </w:rPr>
      </w:pPr>
    </w:p>
    <w:p>
      <w:pPr>
        <w:jc w:val="both"/>
        <w:ind w:firstLine="1242"/>
        <w:spacing w:after="0" w:line="249" w:lineRule="auto"/>
        <w:rPr>
          <w:sz w:val="20"/>
          <w:szCs w:val="20"/>
          <w:color w:val="auto"/>
        </w:rPr>
      </w:pPr>
      <w:r>
        <w:rPr>
          <w:rFonts w:ascii="Times New Roman" w:cs="Times New Roman" w:eastAsia="Times New Roman" w:hAnsi="Times New Roman"/>
          <w:sz w:val="21"/>
          <w:szCs w:val="21"/>
          <w:b w:val="1"/>
          <w:bCs w:val="1"/>
          <w:color w:val="auto"/>
        </w:rPr>
        <w:t>Section 2.8 Conduct of Meetings</w:t>
      </w:r>
      <w:r>
        <w:rPr>
          <w:rFonts w:ascii="Times New Roman" w:cs="Times New Roman" w:eastAsia="Times New Roman" w:hAnsi="Times New Roman"/>
          <w:sz w:val="21"/>
          <w:szCs w:val="21"/>
          <w:color w:val="auto"/>
        </w:rPr>
        <w:t>. The chairman of each annual and special meeting of stockholders shall be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67" w:right="339" w:bottom="1440" w:gutter="0" w:footer="0" w:header="0"/>
        </w:sectPr>
      </w:pPr>
    </w:p>
    <w:bookmarkStart w:id="80" w:name="page81"/>
    <w:bookmarkEnd w:id="80"/>
    <w:p>
      <w:pPr>
        <w:jc w:val="both"/>
        <w:spacing w:after="0" w:line="264" w:lineRule="auto"/>
        <w:rPr>
          <w:sz w:val="20"/>
          <w:szCs w:val="20"/>
          <w:color w:val="auto"/>
        </w:rPr>
      </w:pPr>
      <w:r>
        <w:rPr>
          <w:rFonts w:ascii="Times New Roman" w:cs="Times New Roman" w:eastAsia="Times New Roman" w:hAnsi="Times New Roman"/>
          <w:sz w:val="20"/>
          <w:szCs w:val="20"/>
          <w:color w:val="auto"/>
        </w:rPr>
        <w:t>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98" w:lineRule="exact"/>
        <w:rPr>
          <w:sz w:val="20"/>
          <w:szCs w:val="20"/>
          <w:color w:val="auto"/>
        </w:rPr>
      </w:pPr>
    </w:p>
    <w:p>
      <w:pPr>
        <w:jc w:val="both"/>
        <w:ind w:firstLine="1242"/>
        <w:spacing w:after="0" w:line="248" w:lineRule="auto"/>
        <w:rPr>
          <w:sz w:val="20"/>
          <w:szCs w:val="20"/>
          <w:color w:val="auto"/>
        </w:rPr>
      </w:pPr>
      <w:r>
        <w:rPr>
          <w:rFonts w:ascii="Times New Roman" w:cs="Times New Roman" w:eastAsia="Times New Roman" w:hAnsi="Times New Roman"/>
          <w:sz w:val="21"/>
          <w:szCs w:val="21"/>
          <w:b w:val="1"/>
          <w:bCs w:val="1"/>
          <w:color w:val="auto"/>
        </w:rPr>
        <w:t>Section 2.9 Consents in Lieu of Meeting</w:t>
      </w:r>
      <w:r>
        <w:rPr>
          <w:rFonts w:ascii="Times New Roman" w:cs="Times New Roman" w:eastAsia="Times New Roman" w:hAnsi="Times New Roman"/>
          <w:sz w:val="21"/>
          <w:szCs w:val="21"/>
          <w:color w:val="auto"/>
        </w:rPr>
        <w:t>. Except as otherwise expressly provided by the terms of any series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 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67" w:right="339" w:bottom="1440" w:gutter="0" w:footer="0" w:header="0"/>
        </w:sectPr>
      </w:pPr>
    </w:p>
    <w:bookmarkStart w:id="81" w:name="page82"/>
    <w:bookmarkEnd w:id="81"/>
    <w:p>
      <w:pPr>
        <w:jc w:val="both"/>
        <w:spacing w:after="0" w:line="250" w:lineRule="auto"/>
        <w:rPr>
          <w:sz w:val="20"/>
          <w:szCs w:val="20"/>
          <w:color w:val="auto"/>
        </w:rPr>
      </w:pPr>
      <w:r>
        <w:rPr>
          <w:rFonts w:ascii="Times New Roman" w:cs="Times New Roman" w:eastAsia="Times New Roman" w:hAnsi="Times New Roman"/>
          <w:sz w:val="21"/>
          <w:szCs w:val="21"/>
          <w:color w:val="auto"/>
        </w:rPr>
        <w:t xml:space="preserve">Delivery made to the Corporation’s registered office shall be made by hand or by certified or registered mail, return receipt requested. Notwithstanding the limitations on delivery in the previous sentence, consents given by electronic transmission 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jc w:val="both"/>
        <w:ind w:firstLine="1242"/>
        <w:spacing w:after="0" w:line="250" w:lineRule="auto"/>
        <w:rPr>
          <w:sz w:val="20"/>
          <w:szCs w:val="20"/>
          <w:color w:val="auto"/>
        </w:rPr>
      </w:pPr>
      <w:r>
        <w:rPr>
          <w:rFonts w:ascii="Times New Roman" w:cs="Times New Roman" w:eastAsia="Times New Roman" w:hAnsi="Times New Roman"/>
          <w:sz w:val="21"/>
          <w:szCs w:val="21"/>
          <w:b w:val="1"/>
          <w:bCs w:val="1"/>
          <w:color w:val="auto"/>
        </w:rPr>
        <w:t>Section 2.10 Delivery to the Corporation</w:t>
      </w:r>
      <w:r>
        <w:rPr>
          <w:rFonts w:ascii="Times New Roman" w:cs="Times New Roman" w:eastAsia="Times New Roman" w:hAnsi="Times New Roman"/>
          <w:sz w:val="21"/>
          <w:szCs w:val="21"/>
          <w:color w:val="auto"/>
        </w:rPr>
        <w:t>. Except as otherwise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whenever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requires one or more persons (including a record or beneficial owner of stock) to deliver a document or information (other than a document authorizing another person to act for a stockholder by proxy at a meeting of stockholders pursuant to Section 212 of the General Corporation Law of the State of Delaware (“</w:t>
      </w:r>
      <w:r>
        <w:rPr>
          <w:rFonts w:ascii="Times New Roman" w:cs="Times New Roman" w:eastAsia="Times New Roman" w:hAnsi="Times New Roman"/>
          <w:sz w:val="21"/>
          <w:szCs w:val="21"/>
          <w:b w:val="1"/>
          <w:bCs w:val="1"/>
          <w:i w:val="1"/>
          <w:iCs w:val="1"/>
          <w:color w:val="auto"/>
        </w:rPr>
        <w:t>DGCL</w:t>
      </w:r>
      <w:r>
        <w:rPr>
          <w:rFonts w:ascii="Times New Roman" w:cs="Times New Roman" w:eastAsia="Times New Roman" w:hAnsi="Times New Roman"/>
          <w:sz w:val="21"/>
          <w:szCs w:val="21"/>
          <w:color w:val="auto"/>
        </w:rPr>
        <w:t>”))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2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DIRECTORS</w:t>
      </w:r>
    </w:p>
    <w:p>
      <w:pPr>
        <w:spacing w:after="0" w:line="224"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3.1 Powers</w:t>
      </w:r>
      <w:r>
        <w:rPr>
          <w:rFonts w:ascii="Times New Roman" w:cs="Times New Roman" w:eastAsia="Times New Roman" w:hAnsi="Times New Roman"/>
          <w:sz w:val="21"/>
          <w:szCs w:val="21"/>
          <w:color w:val="auto"/>
        </w:rPr>
        <w:t>. The business and affairs of the Corporation shall be managed by or under the direction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2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3.2 Advance Notice for Nomination of Directors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52" w:lineRule="auto"/>
        <w:tabs>
          <w:tab w:leader="none" w:pos="153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Only persons who are nominated in accordance with the following procedures or the procedures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of these Bylaws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(ii) by any stockholder of the Corporation (x)</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67"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who is a stockholder of record both on the date of the giving of the notice provided for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and on the date of the applicable meeting and who is entitled to vote in the election of directors at such meeting and (y) who complies with the notice procedures set forth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(iii) by any Eligible Holder (as defined below) who satisfies the requirements and complies with the procedures set forth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w:t>
      </w:r>
    </w:p>
    <w:p>
      <w:pPr>
        <w:spacing w:after="0" w:line="203" w:lineRule="exact"/>
        <w:rPr>
          <w:sz w:val="20"/>
          <w:szCs w:val="20"/>
          <w:color w:val="auto"/>
        </w:rPr>
      </w:pPr>
    </w:p>
    <w:p>
      <w:pPr>
        <w:jc w:val="both"/>
        <w:ind w:firstLine="1245"/>
        <w:spacing w:after="0" w:line="248" w:lineRule="auto"/>
        <w:tabs>
          <w:tab w:leader="none" w:pos="153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any other applicable requirements, for a nomination to be made by a stockholder, (1) such stockholder must have given timely notice thereof in proper written form to the Secretary of the Corporation, (2) such stockholder must have complied in all respects with the requirements of Regulation 14A under the Exchange Act including, without limitation, the requirements of Rule 14a-19 (as such rule and regulations may be amended from time to time), and (3) the Board or an executive officer designated thereby shall determine that the stockholder has satisfied the requirements of this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as well as the satisfaction of any undertaking delivered under </w:t>
      </w:r>
      <w:r>
        <w:rPr>
          <w:rFonts w:ascii="Times New Roman" w:cs="Times New Roman" w:eastAsia="Times New Roman" w:hAnsi="Times New Roman"/>
          <w:sz w:val="21"/>
          <w:szCs w:val="21"/>
          <w:u w:val="single" w:color="auto"/>
          <w:color w:val="auto"/>
        </w:rPr>
        <w:t>Section 3.2(d)</w:t>
      </w:r>
      <w:r>
        <w:rPr>
          <w:rFonts w:ascii="Times New Roman" w:cs="Times New Roman" w:eastAsia="Times New Roman" w:hAnsi="Times New Roman"/>
          <w:sz w:val="21"/>
          <w:szCs w:val="21"/>
          <w:color w:val="auto"/>
        </w:rPr>
        <w:t xml:space="preserve"> below. To be timely, a stockholder’s notice to the Secretary must (x) comply with the provisions of this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and (y) be timely updated by the times and in the manner required by the provisions of </w:t>
      </w:r>
      <w:r>
        <w:rPr>
          <w:rFonts w:ascii="Times New Roman" w:cs="Times New Roman" w:eastAsia="Times New Roman" w:hAnsi="Times New Roman"/>
          <w:sz w:val="21"/>
          <w:szCs w:val="21"/>
          <w:u w:val="single" w:color="auto"/>
          <w:color w:val="auto"/>
        </w:rPr>
        <w:t>Section 3.2(e)</w:t>
      </w:r>
      <w:r>
        <w:rPr>
          <w:rFonts w:ascii="Times New Roman" w:cs="Times New Roman" w:eastAsia="Times New Roman" w:hAnsi="Times New Roman"/>
          <w:sz w:val="21"/>
          <w:szCs w:val="21"/>
          <w:color w:val="auto"/>
        </w:rPr>
        <w:t xml:space="preserv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The public announcement of an adjournment or postponement of an annual meeting or special meeting shall not commence a new time period for the giving of a stockholder’s notice as described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1245"/>
        <w:spacing w:after="0" w:line="264" w:lineRule="auto"/>
        <w:tabs>
          <w:tab w:leader="none" w:pos="156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no event may a nominating stockholder provide timely notice with respect to a greater number of director candidates than are subject to election by stockholders at the applicable meeting. Notwithstanding anything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(b) to the contrary, if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67" w:right="339" w:bottom="1440" w:gutter="0" w:footer="0" w:header="0"/>
        </w:sectPr>
      </w:pPr>
    </w:p>
    <w:bookmarkStart w:id="83" w:name="page84"/>
    <w:bookmarkEnd w:id="83"/>
    <w:p>
      <w:pPr>
        <w:spacing w:after="0" w:line="273" w:lineRule="auto"/>
        <w:rPr>
          <w:sz w:val="20"/>
          <w:szCs w:val="20"/>
          <w:color w:val="auto"/>
        </w:rPr>
      </w:pPr>
      <w:r>
        <w:rPr>
          <w:rFonts w:ascii="Times New Roman" w:cs="Times New Roman" w:eastAsia="Times New Roman" w:hAnsi="Times New Roman"/>
          <w:sz w:val="21"/>
          <w:szCs w:val="21"/>
          <w:color w:val="auto"/>
        </w:rPr>
        <w:t>of the Corporation not later than the close of business on the 10th day following the date on which such public announcement was first made by the Corporation.</w:t>
      </w:r>
    </w:p>
    <w:p>
      <w:pPr>
        <w:spacing w:after="0" w:line="201" w:lineRule="exact"/>
        <w:rPr>
          <w:sz w:val="20"/>
          <w:szCs w:val="20"/>
          <w:color w:val="auto"/>
        </w:rPr>
      </w:pPr>
    </w:p>
    <w:p>
      <w:pPr>
        <w:ind w:left="1540" w:hanging="295"/>
        <w:spacing w:after="0"/>
        <w:tabs>
          <w:tab w:leader="none" w:pos="15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written form, a stockholder’s notice to the Secretary must set forth:</w:t>
      </w:r>
    </w:p>
    <w:p>
      <w:pPr>
        <w:spacing w:after="0" w:line="28" w:lineRule="exact"/>
        <w:rPr>
          <w:rFonts w:ascii="Times New Roman" w:cs="Times New Roman" w:eastAsia="Times New Roman" w:hAnsi="Times New Roman"/>
          <w:sz w:val="21"/>
          <w:szCs w:val="21"/>
          <w:color w:val="auto"/>
        </w:rPr>
      </w:pPr>
    </w:p>
    <w:p>
      <w:pPr>
        <w:jc w:val="both"/>
        <w:ind w:left="620" w:firstLine="1246"/>
        <w:spacing w:after="0" w:line="246" w:lineRule="auto"/>
        <w:tabs>
          <w:tab w:leader="none" w:pos="2117"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undertaking by the stockholder giving the notice that such stockholder will solicit holders of shares representing at least 67% of the voting power of the stock entitled to vote in the election of directors in accordance with Rule 14a-19 under the Exchange Act;</w:t>
      </w:r>
    </w:p>
    <w:p>
      <w:pPr>
        <w:spacing w:after="0" w:line="203" w:lineRule="exact"/>
        <w:rPr>
          <w:rFonts w:ascii="Times New Roman" w:cs="Times New Roman" w:eastAsia="Times New Roman" w:hAnsi="Times New Roman"/>
          <w:sz w:val="21"/>
          <w:szCs w:val="21"/>
          <w:color w:val="auto"/>
        </w:rPr>
      </w:pPr>
    </w:p>
    <w:p>
      <w:pPr>
        <w:ind w:left="2180" w:hanging="314"/>
        <w:spacing w:after="0"/>
        <w:tabs>
          <w:tab w:leader="none" w:pos="21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the stockholder proposes to nominate for election as a director:</w:t>
      </w:r>
    </w:p>
    <w:p>
      <w:pPr>
        <w:spacing w:after="0" w:line="250"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age, business address and residence address of the person,</w:t>
      </w:r>
    </w:p>
    <w:p>
      <w:pPr>
        <w:spacing w:after="0" w:line="237"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occupation or employment of the person,</w:t>
      </w:r>
    </w:p>
    <w:p>
      <w:pPr>
        <w:spacing w:after="0" w:line="237" w:lineRule="exact"/>
        <w:rPr>
          <w:rFonts w:ascii="Times New Roman" w:cs="Times New Roman" w:eastAsia="Times New Roman" w:hAnsi="Times New Roman"/>
          <w:sz w:val="21"/>
          <w:szCs w:val="21"/>
          <w:color w:val="auto"/>
        </w:rPr>
      </w:pPr>
    </w:p>
    <w:p>
      <w:pPr>
        <w:ind w:left="1240" w:firstLine="1247"/>
        <w:spacing w:after="0" w:line="273" w:lineRule="auto"/>
        <w:tabs>
          <w:tab w:leader="none" w:pos="281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or series and number of shares of capital stock of the Corporation that are owned of record or are directly or indirectly owned beneficially by the person,</w:t>
      </w:r>
    </w:p>
    <w:p>
      <w:pPr>
        <w:spacing w:after="0" w:line="175" w:lineRule="exact"/>
        <w:rPr>
          <w:rFonts w:ascii="Times New Roman" w:cs="Times New Roman" w:eastAsia="Times New Roman" w:hAnsi="Times New Roman"/>
          <w:sz w:val="21"/>
          <w:szCs w:val="21"/>
          <w:color w:val="auto"/>
        </w:rPr>
      </w:pPr>
    </w:p>
    <w:p>
      <w:pPr>
        <w:jc w:val="both"/>
        <w:ind w:left="1240" w:firstLine="1247"/>
        <w:spacing w:after="0" w:line="265" w:lineRule="auto"/>
        <w:tabs>
          <w:tab w:leader="none" w:pos="2836"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Derivative Instrument directly or indirectly owned beneficially by such nominee and any other direct or indirect opportunity to profit or share in any profit derived from any increase or decrease in the value of shares of the Corporation,</w:t>
      </w:r>
    </w:p>
    <w:p>
      <w:pPr>
        <w:spacing w:after="0" w:line="183" w:lineRule="exact"/>
        <w:rPr>
          <w:rFonts w:ascii="Times New Roman" w:cs="Times New Roman" w:eastAsia="Times New Roman" w:hAnsi="Times New Roman"/>
          <w:sz w:val="21"/>
          <w:szCs w:val="21"/>
          <w:color w:val="auto"/>
        </w:rPr>
      </w:pPr>
    </w:p>
    <w:p>
      <w:pPr>
        <w:jc w:val="both"/>
        <w:ind w:left="1240" w:firstLine="1247"/>
        <w:spacing w:after="0" w:line="258" w:lineRule="auto"/>
        <w:tabs>
          <w:tab w:leader="none" w:pos="2841"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191" w:lineRule="exact"/>
        <w:rPr>
          <w:rFonts w:ascii="Times New Roman" w:cs="Times New Roman" w:eastAsia="Times New Roman" w:hAnsi="Times New Roman"/>
          <w:sz w:val="21"/>
          <w:szCs w:val="21"/>
          <w:color w:val="auto"/>
        </w:rPr>
      </w:pPr>
    </w:p>
    <w:p>
      <w:pPr>
        <w:ind w:left="2800" w:hanging="313"/>
        <w:spacing w:after="0"/>
        <w:tabs>
          <w:tab w:leader="none" w:pos="280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questionnaire, representation and agreement required by </w:t>
      </w:r>
      <w:r>
        <w:rPr>
          <w:rFonts w:ascii="Times New Roman" w:cs="Times New Roman" w:eastAsia="Times New Roman" w:hAnsi="Times New Roman"/>
          <w:sz w:val="21"/>
          <w:szCs w:val="21"/>
          <w:u w:val="single" w:color="auto"/>
          <w:color w:val="auto"/>
        </w:rPr>
        <w:t>Section 3.2(i)</w:t>
      </w:r>
      <w:r>
        <w:rPr>
          <w:rFonts w:ascii="Times New Roman" w:cs="Times New Roman" w:eastAsia="Times New Roman" w:hAnsi="Times New Roman"/>
          <w:sz w:val="21"/>
          <w:szCs w:val="21"/>
          <w:color w:val="auto"/>
        </w:rPr>
        <w:t>, completed and signed by</w:t>
      </w:r>
    </w:p>
    <w:p>
      <w:pPr>
        <w:spacing w:after="0" w:line="28"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nominee.</w:t>
      </w:r>
    </w:p>
    <w:p>
      <w:pPr>
        <w:spacing w:after="0" w:line="225" w:lineRule="exact"/>
        <w:rPr>
          <w:rFonts w:ascii="Times New Roman" w:cs="Times New Roman" w:eastAsia="Times New Roman" w:hAnsi="Times New Roman"/>
          <w:sz w:val="21"/>
          <w:szCs w:val="21"/>
          <w:color w:val="auto"/>
        </w:rPr>
      </w:pPr>
    </w:p>
    <w:p>
      <w:pPr>
        <w:ind w:left="2220" w:hanging="354"/>
        <w:spacing w:after="0"/>
        <w:tabs>
          <w:tab w:leader="none" w:pos="222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w:t>
      </w:r>
    </w:p>
    <w:p>
      <w:pPr>
        <w:spacing w:after="0" w:line="237" w:lineRule="exact"/>
        <w:rPr>
          <w:rFonts w:ascii="Times New Roman" w:cs="Times New Roman" w:eastAsia="Times New Roman" w:hAnsi="Times New Roman"/>
          <w:sz w:val="21"/>
          <w:szCs w:val="21"/>
          <w:color w:val="auto"/>
        </w:rPr>
      </w:pPr>
    </w:p>
    <w:p>
      <w:pPr>
        <w:ind w:left="1240" w:firstLine="1247"/>
        <w:spacing w:after="0" w:line="273" w:lineRule="auto"/>
        <w:tabs>
          <w:tab w:leader="none" w:pos="2834"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such stockholder as they appear on the Corporation’s books, and the name and address of any Stockholder Associated Person,</w:t>
      </w:r>
    </w:p>
    <w:p>
      <w:pPr>
        <w:spacing w:after="0" w:line="175" w:lineRule="exact"/>
        <w:rPr>
          <w:rFonts w:ascii="Times New Roman" w:cs="Times New Roman" w:eastAsia="Times New Roman" w:hAnsi="Times New Roman"/>
          <w:sz w:val="21"/>
          <w:szCs w:val="21"/>
          <w:color w:val="auto"/>
        </w:rPr>
      </w:pPr>
    </w:p>
    <w:p>
      <w:pPr>
        <w:ind w:left="1240" w:firstLine="1247"/>
        <w:spacing w:after="0" w:line="285" w:lineRule="auto"/>
        <w:tabs>
          <w:tab w:leader="none" w:pos="2833"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class or series and number of shares of capital stock of the Corporation that are owned of record or directly or indirectly owned beneficially by such stockholder and any Stockholder Associated Person, (2)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367" w:right="339" w:bottom="1440" w:gutter="0" w:footer="0" w:header="0"/>
        </w:sectPr>
      </w:pPr>
    </w:p>
    <w:bookmarkStart w:id="84" w:name="page85"/>
    <w:bookmarkEnd w:id="84"/>
    <w:p>
      <w:pPr>
        <w:ind w:left="120"/>
        <w:spacing w:after="0" w:line="273" w:lineRule="auto"/>
        <w:rPr>
          <w:sz w:val="20"/>
          <w:szCs w:val="20"/>
          <w:color w:val="auto"/>
        </w:rPr>
      </w:pPr>
      <w:r>
        <w:rPr>
          <w:rFonts w:ascii="Times New Roman" w:cs="Times New Roman" w:eastAsia="Times New Roman" w:hAnsi="Times New Roman"/>
          <w:sz w:val="21"/>
          <w:szCs w:val="21"/>
          <w:color w:val="auto"/>
        </w:rPr>
        <w:t>date or dates such shares were acquired, (3) the investment intent of such acquisition and (4) any pledge by any Stockholder Associated Person with respect to any of such shares,</w:t>
      </w:r>
    </w:p>
    <w:p>
      <w:pPr>
        <w:spacing w:after="0" w:line="175" w:lineRule="exact"/>
        <w:rPr>
          <w:sz w:val="20"/>
          <w:szCs w:val="20"/>
          <w:color w:val="auto"/>
        </w:rPr>
      </w:pPr>
    </w:p>
    <w:p>
      <w:pPr>
        <w:jc w:val="both"/>
        <w:ind w:left="120" w:firstLine="1247"/>
        <w:spacing w:after="0" w:line="258" w:lineRule="auto"/>
        <w:tabs>
          <w:tab w:leader="none" w:pos="176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w:t>
      </w:r>
    </w:p>
    <w:p>
      <w:pPr>
        <w:spacing w:after="0" w:line="190" w:lineRule="exact"/>
        <w:rPr>
          <w:rFonts w:ascii="Times New Roman" w:cs="Times New Roman" w:eastAsia="Times New Roman" w:hAnsi="Times New Roman"/>
          <w:sz w:val="21"/>
          <w:szCs w:val="21"/>
          <w:color w:val="auto"/>
        </w:rPr>
      </w:pPr>
    </w:p>
    <w:p>
      <w:pPr>
        <w:jc w:val="both"/>
        <w:ind w:left="120" w:firstLine="1247"/>
        <w:spacing w:after="0" w:line="258" w:lineRule="auto"/>
        <w:tabs>
          <w:tab w:leader="none" w:pos="170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w:t>
      </w:r>
    </w:p>
    <w:p>
      <w:pPr>
        <w:spacing w:after="0" w:line="190" w:lineRule="exact"/>
        <w:rPr>
          <w:rFonts w:ascii="Times New Roman" w:cs="Times New Roman" w:eastAsia="Times New Roman" w:hAnsi="Times New Roman"/>
          <w:sz w:val="21"/>
          <w:szCs w:val="21"/>
          <w:color w:val="auto"/>
        </w:rPr>
      </w:pPr>
    </w:p>
    <w:p>
      <w:pPr>
        <w:jc w:val="both"/>
        <w:ind w:left="120" w:firstLine="1247"/>
        <w:spacing w:after="0" w:line="253" w:lineRule="auto"/>
        <w:tabs>
          <w:tab w:leader="none" w:pos="170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short interest in any security of the Corporation held by such stockholder or any Stockholder Associated Person (for purposes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210" w:lineRule="exact"/>
        <w:rPr>
          <w:rFonts w:ascii="Times New Roman" w:cs="Times New Roman" w:eastAsia="Times New Roman" w:hAnsi="Times New Roman"/>
          <w:sz w:val="21"/>
          <w:szCs w:val="21"/>
          <w:color w:val="auto"/>
        </w:rPr>
      </w:pPr>
    </w:p>
    <w:p>
      <w:pPr>
        <w:jc w:val="both"/>
        <w:ind w:left="120" w:firstLine="1247"/>
        <w:spacing w:after="0" w:line="258" w:lineRule="auto"/>
        <w:tabs>
          <w:tab w:leader="none" w:pos="168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rights beneficially owned, directly or indirectly, by such stockholder or Stockholder Associated Person to dividends on the shares of the Corporation that are separated or separable from the underlying shares of the Corporation,</w:t>
      </w:r>
    </w:p>
    <w:p>
      <w:pPr>
        <w:spacing w:after="0" w:line="191" w:lineRule="exact"/>
        <w:rPr>
          <w:rFonts w:ascii="Times New Roman" w:cs="Times New Roman" w:eastAsia="Times New Roman" w:hAnsi="Times New Roman"/>
          <w:sz w:val="21"/>
          <w:szCs w:val="21"/>
          <w:color w:val="auto"/>
        </w:rPr>
      </w:pPr>
    </w:p>
    <w:p>
      <w:pPr>
        <w:jc w:val="both"/>
        <w:ind w:left="120" w:firstLine="1247"/>
        <w:spacing w:after="0" w:line="265" w:lineRule="auto"/>
        <w:tabs>
          <w:tab w:leader="none" w:pos="172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w:t>
      </w:r>
    </w:p>
    <w:p>
      <w:pPr>
        <w:spacing w:after="0" w:line="183" w:lineRule="exact"/>
        <w:rPr>
          <w:rFonts w:ascii="Times New Roman" w:cs="Times New Roman" w:eastAsia="Times New Roman" w:hAnsi="Times New Roman"/>
          <w:sz w:val="21"/>
          <w:szCs w:val="21"/>
          <w:color w:val="auto"/>
        </w:rPr>
      </w:pPr>
    </w:p>
    <w:p>
      <w:pPr>
        <w:jc w:val="both"/>
        <w:ind w:left="120" w:firstLine="1247"/>
        <w:spacing w:after="0" w:line="254" w:lineRule="auto"/>
        <w:tabs>
          <w:tab w:leader="none" w:pos="171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agreements, arrangements or understandings (written or oral) between or among such stockholder, any Stockholder Associated Person, any proposed nominee or any other person or persons (including their names) (x) pursuant to which the nomination or nominations are to be made by such stockholder, and (y) related to any subject matter that will be material in the stockholder’s solicitation of stockholders, regardless of whether such agreement, arrangement or understanding relates specifically to the Corporation,</w:t>
      </w:r>
    </w:p>
    <w:p>
      <w:pPr>
        <w:spacing w:after="0" w:line="196" w:lineRule="exact"/>
        <w:rPr>
          <w:rFonts w:ascii="Times New Roman" w:cs="Times New Roman" w:eastAsia="Times New Roman" w:hAnsi="Times New Roman"/>
          <w:sz w:val="21"/>
          <w:szCs w:val="21"/>
          <w:color w:val="auto"/>
        </w:rPr>
      </w:pPr>
    </w:p>
    <w:p>
      <w:pPr>
        <w:ind w:left="120" w:firstLine="1247"/>
        <w:spacing w:after="0" w:line="273" w:lineRule="auto"/>
        <w:tabs>
          <w:tab w:leader="none" w:pos="165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that such stockholder intends to appear in person or by proxy at the meeting to nominate the persons named in its notice,</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120"/>
          </w:cols>
          <w:pgMar w:left="1440" w:top="1367" w:right="339" w:bottom="1440" w:gutter="0" w:footer="0" w:header="0"/>
        </w:sectPr>
      </w:pPr>
    </w:p>
    <w:bookmarkStart w:id="85" w:name="page86"/>
    <w:bookmarkEnd w:id="85"/>
    <w:p>
      <w:pPr>
        <w:spacing w:after="0" w:line="160" w:lineRule="exact"/>
        <w:rPr>
          <w:sz w:val="20"/>
          <w:szCs w:val="20"/>
          <w:color w:val="auto"/>
        </w:rPr>
      </w:pPr>
    </w:p>
    <w:p>
      <w:pPr>
        <w:jc w:val="both"/>
        <w:ind w:left="1240" w:firstLine="1247"/>
        <w:spacing w:after="0" w:line="258" w:lineRule="auto"/>
        <w:tabs>
          <w:tab w:leader="none" w:pos="275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90" w:lineRule="exact"/>
        <w:rPr>
          <w:rFonts w:ascii="Times New Roman" w:cs="Times New Roman" w:eastAsia="Times New Roman" w:hAnsi="Times New Roman"/>
          <w:sz w:val="21"/>
          <w:szCs w:val="21"/>
          <w:color w:val="auto"/>
        </w:rPr>
      </w:pPr>
    </w:p>
    <w:p>
      <w:pPr>
        <w:jc w:val="both"/>
        <w:ind w:left="1240" w:firstLine="1247"/>
        <w:spacing w:after="0" w:line="253" w:lineRule="auto"/>
        <w:tabs>
          <w:tab w:leader="none" w:pos="287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years, and any other material relationships, between or among such stockholder or any Stockholder Associated Person, on the one hand, and each proposed nominee, and his or her respective affiliates and associates, on the other hand, and</w:t>
      </w:r>
    </w:p>
    <w:p>
      <w:pPr>
        <w:spacing w:after="0" w:line="210" w:lineRule="exact"/>
        <w:rPr>
          <w:rFonts w:ascii="Times New Roman" w:cs="Times New Roman" w:eastAsia="Times New Roman" w:hAnsi="Times New Roman"/>
          <w:sz w:val="21"/>
          <w:szCs w:val="21"/>
          <w:color w:val="auto"/>
        </w:rPr>
      </w:pPr>
    </w:p>
    <w:p>
      <w:pPr>
        <w:ind w:left="1240" w:firstLine="1247"/>
        <w:spacing w:after="0" w:line="273" w:lineRule="auto"/>
        <w:tabs>
          <w:tab w:leader="none" w:pos="280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of whether such stockholder or any Stockholder Associated Person intends, or is part of a group that intends, to solicit proxies for the election of the proposed nominee.</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Such notice must be accompanied by a written consent of each proposed nominee to being named as a nominee and to serve as a director if elected.</w:t>
      </w:r>
    </w:p>
    <w:p>
      <w:pPr>
        <w:spacing w:after="0" w:line="188" w:lineRule="exact"/>
        <w:rPr>
          <w:sz w:val="20"/>
          <w:szCs w:val="20"/>
          <w:color w:val="auto"/>
        </w:rPr>
      </w:pPr>
    </w:p>
    <w:p>
      <w:pPr>
        <w:jc w:val="both"/>
        <w:ind w:firstLine="1245"/>
        <w:spacing w:after="0" w:line="261" w:lineRule="auto"/>
        <w:tabs>
          <w:tab w:leader="none" w:pos="15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stockholder providing notice of a director nomination shall further update and supplement such notice, if necessary, so that the information provided or required to be provided in such notice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(i) determine the eligibility of such proposed nominee to serve as an independent director of the Corporation or that could be material to a reasonable stockholder’s understanding of the independence, or lack thereof, of such nominee or (ii) facilitate disclosure to stockholders of all material facts that, in the reasonable discretion of the Corporation, are relevant for stockholders to make an informed decision on the director election proposal, including information regarding any Stockholder Associated Person, and if such information is not furnished within such time period, the notice of such director’s nomination shall not be considered to have been timely given for purposes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440" w:right="339" w:bottom="1440" w:gutter="0" w:footer="0" w:header="0"/>
        </w:sectPr>
      </w:pPr>
    </w:p>
    <w:bookmarkStart w:id="86" w:name="page87"/>
    <w:bookmarkEnd w:id="86"/>
    <w:p>
      <w:pPr>
        <w:jc w:val="both"/>
        <w:ind w:firstLine="1245"/>
        <w:spacing w:after="0" w:line="250" w:lineRule="auto"/>
        <w:tabs>
          <w:tab w:leader="none" w:pos="150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may be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procedures set forth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 If the Board or the chairman of the meeting of stockholders determines that any nomination was not made in accordance with the provisions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 then such nomination shall not be considered at the meeting in question. Notwithstanding the foregoing provisions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225" w:lineRule="exact"/>
        <w:rPr>
          <w:rFonts w:ascii="Times New Roman" w:cs="Times New Roman" w:eastAsia="Times New Roman" w:hAnsi="Times New Roman"/>
          <w:sz w:val="21"/>
          <w:szCs w:val="21"/>
          <w:color w:val="auto"/>
        </w:rPr>
      </w:pPr>
    </w:p>
    <w:p>
      <w:pPr>
        <w:jc w:val="both"/>
        <w:ind w:firstLine="1245"/>
        <w:spacing w:after="0" w:line="256" w:lineRule="auto"/>
        <w:tabs>
          <w:tab w:leader="none" w:pos="155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unless otherwise required by law, if any stockholder that nominates persons for election under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(1) provides notice pursuant to Rule 14a-19(b) under the Exchange Act and</w:t>
      </w:r>
    </w:p>
    <w:p>
      <w:pPr>
        <w:jc w:val="both"/>
        <w:ind w:firstLine="3"/>
        <w:spacing w:after="0" w:line="248" w:lineRule="auto"/>
        <w:tabs>
          <w:tab w:leader="none" w:pos="30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subsequently fails to comply with the requirements of Rule 14a-19(a)(2) and Rule 14a-19(a)(3) under the Exchange Act, then the Corporation shall disregard any proxies or votes solicited for the such proposed nominees. Upon request by the Corporation, if any nominating stockholder provides notice pursuant to Rule 14a-19(b) under the Exchange Act, such nominating stockholder shall deliver to the Corporation, no later than five business days prior to the applicable meeting, reasonable evidence that it has met the requirements of Rule 14a-19(a)(3) under the Exchange Act.</w:t>
      </w:r>
    </w:p>
    <w:p>
      <w:pPr>
        <w:spacing w:after="0" w:line="215" w:lineRule="exact"/>
        <w:rPr>
          <w:rFonts w:ascii="Times New Roman" w:cs="Times New Roman" w:eastAsia="Times New Roman" w:hAnsi="Times New Roman"/>
          <w:sz w:val="21"/>
          <w:szCs w:val="21"/>
          <w:color w:val="auto"/>
        </w:rPr>
      </w:pPr>
    </w:p>
    <w:p>
      <w:pPr>
        <w:jc w:val="both"/>
        <w:ind w:firstLine="1245"/>
        <w:spacing w:after="0" w:line="254" w:lineRule="auto"/>
        <w:tabs>
          <w:tab w:leader="none" w:pos="158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provisions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a stockholder shall also comply with all of the applicable requirements of the Exchange Act and the rules and regulations thereunder with respect to the matters set forth herein. Nothing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spacing w:after="0" w:line="196" w:lineRule="exact"/>
        <w:rPr>
          <w:rFonts w:ascii="Times New Roman" w:cs="Times New Roman" w:eastAsia="Times New Roman" w:hAnsi="Times New Roman"/>
          <w:sz w:val="21"/>
          <w:szCs w:val="21"/>
          <w:color w:val="auto"/>
        </w:rPr>
      </w:pPr>
    </w:p>
    <w:p>
      <w:pPr>
        <w:jc w:val="both"/>
        <w:ind w:firstLine="1245"/>
        <w:spacing w:after="0" w:line="265" w:lineRule="auto"/>
        <w:tabs>
          <w:tab w:leader="none" w:pos="151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be eligible to be a nominee for election or re-election pursuant to a nomination made by a stockholder under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3.2(a)(ii)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of these Bylaws, a stockholder must deliver with such stockholder’s request (in the case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these Bylaws) or notice (in the case of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of these Bylaws) must include:</w:t>
      </w:r>
    </w:p>
    <w:p>
      <w:pPr>
        <w:spacing w:after="0" w:line="183"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122"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questionnaire with respect to the background, qualifications, stock ownership and independence of such proposed nominee (in the form provided by the Secretary within 10 days following a written request therefor by a stockholder of record) and</w:t>
      </w:r>
    </w:p>
    <w:p>
      <w:pPr>
        <w:spacing w:after="0" w:line="191" w:lineRule="exact"/>
        <w:rPr>
          <w:rFonts w:ascii="Times New Roman" w:cs="Times New Roman" w:eastAsia="Times New Roman" w:hAnsi="Times New Roman"/>
          <w:sz w:val="21"/>
          <w:szCs w:val="21"/>
          <w:color w:val="auto"/>
        </w:rPr>
      </w:pPr>
    </w:p>
    <w:p>
      <w:pPr>
        <w:ind w:left="620" w:firstLine="1246"/>
        <w:spacing w:after="0" w:line="273" w:lineRule="auto"/>
        <w:tabs>
          <w:tab w:leader="none" w:pos="2202"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executed agreement (in the form provided by the Secretary within 10 days following a written request therefor by a stockholder of record) that such nominee:</w:t>
      </w:r>
    </w:p>
    <w:p>
      <w:pPr>
        <w:spacing w:after="0" w:line="187"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3"/>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act as a representative of all of the stockholders of the Corporation while serving as a director;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67" w:right="339" w:bottom="1440" w:gutter="0" w:footer="0" w:header="0"/>
        </w:sectPr>
      </w:pPr>
    </w:p>
    <w:bookmarkStart w:id="87" w:name="page88"/>
    <w:bookmarkEnd w:id="87"/>
    <w:p>
      <w:pPr>
        <w:spacing w:after="0" w:line="160" w:lineRule="exact"/>
        <w:rPr>
          <w:sz w:val="20"/>
          <w:szCs w:val="20"/>
          <w:color w:val="auto"/>
        </w:rPr>
      </w:pPr>
    </w:p>
    <w:p>
      <w:pPr>
        <w:jc w:val="both"/>
        <w:ind w:left="1240" w:firstLine="1247"/>
        <w:spacing w:after="0" w:line="258" w:lineRule="auto"/>
        <w:tabs>
          <w:tab w:leader="none" w:pos="282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read and agrees, and, if elected to serve as a member of the Board, will be in compliance with and adhere to the Corporation’s Corporate Governance Guidelines and Code of Business Conduct and Ethics and any other company policies and guidelines applicable to directors;</w:t>
      </w:r>
    </w:p>
    <w:p>
      <w:pPr>
        <w:spacing w:after="0" w:line="204"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w:t>
      </w:r>
    </w:p>
    <w:p>
      <w:pPr>
        <w:spacing w:after="0" w:line="237" w:lineRule="exact"/>
        <w:rPr>
          <w:rFonts w:ascii="Times New Roman" w:cs="Times New Roman" w:eastAsia="Times New Roman" w:hAnsi="Times New Roman"/>
          <w:sz w:val="21"/>
          <w:szCs w:val="21"/>
          <w:color w:val="auto"/>
        </w:rPr>
      </w:pPr>
    </w:p>
    <w:p>
      <w:pPr>
        <w:jc w:val="both"/>
        <w:ind w:left="1860" w:firstLine="1248"/>
        <w:spacing w:after="0" w:line="253" w:lineRule="auto"/>
        <w:tabs>
          <w:tab w:leader="none" w:pos="340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compensatory, payment or other financial agreement, arrangement or understanding with any person or entity in connection with nomination, service or action as a director of the Corporation that has not been disclosed to the Corporation prior to or concurrently with the delivery of the stockholder’s request (in the case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these Bylaws) or notice (in the case of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of these Bylaws),</w:t>
      </w:r>
    </w:p>
    <w:p>
      <w:pPr>
        <w:spacing w:after="0" w:line="210" w:lineRule="exact"/>
        <w:rPr>
          <w:rFonts w:ascii="Times New Roman" w:cs="Times New Roman" w:eastAsia="Times New Roman" w:hAnsi="Times New Roman"/>
          <w:sz w:val="21"/>
          <w:szCs w:val="21"/>
          <w:color w:val="auto"/>
        </w:rPr>
      </w:pPr>
    </w:p>
    <w:p>
      <w:pPr>
        <w:jc w:val="both"/>
        <w:ind w:left="1860" w:firstLine="1248"/>
        <w:spacing w:after="0" w:line="253" w:lineRule="auto"/>
        <w:tabs>
          <w:tab w:leader="none" w:pos="339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arrangement or understanding with any person or entity as to how the nominee would vote or act on any issue or question as a director (a “</w:t>
      </w:r>
      <w:r>
        <w:rPr>
          <w:rFonts w:ascii="Times New Roman" w:cs="Times New Roman" w:eastAsia="Times New Roman" w:hAnsi="Times New Roman"/>
          <w:sz w:val="21"/>
          <w:szCs w:val="21"/>
          <w:b w:val="1"/>
          <w:bCs w:val="1"/>
          <w:i w:val="1"/>
          <w:iCs w:val="1"/>
          <w:color w:val="auto"/>
        </w:rPr>
        <w:t>Voting Commitment</w:t>
      </w:r>
      <w:r>
        <w:rPr>
          <w:rFonts w:ascii="Times New Roman" w:cs="Times New Roman" w:eastAsia="Times New Roman" w:hAnsi="Times New Roman"/>
          <w:sz w:val="21"/>
          <w:szCs w:val="21"/>
          <w:color w:val="auto"/>
        </w:rPr>
        <w:t xml:space="preserve">”) that has not been disclosed to the Corporation prior to or concurrently with the delivery of the stockholder’s request (in the case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these Bylaws) or notice (in the case of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of these Bylaws) or</w:t>
      </w:r>
    </w:p>
    <w:p>
      <w:pPr>
        <w:spacing w:after="0" w:line="197" w:lineRule="exact"/>
        <w:rPr>
          <w:rFonts w:ascii="Times New Roman" w:cs="Times New Roman" w:eastAsia="Times New Roman" w:hAnsi="Times New Roman"/>
          <w:sz w:val="21"/>
          <w:szCs w:val="21"/>
          <w:color w:val="auto"/>
        </w:rPr>
      </w:pPr>
    </w:p>
    <w:p>
      <w:pPr>
        <w:ind w:left="1860" w:firstLine="1248"/>
        <w:spacing w:after="0" w:line="273" w:lineRule="auto"/>
        <w:tabs>
          <w:tab w:leader="none" w:pos="340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Voting Commitment that could limit or interfere with the nominee’s ability to comply, if elected as a director of the Corporation, with the nominee’s fiduciary duties under applicable law;</w:t>
      </w:r>
    </w:p>
    <w:p>
      <w:pPr>
        <w:spacing w:after="0" w:line="187" w:lineRule="exact"/>
        <w:rPr>
          <w:rFonts w:ascii="Times New Roman" w:cs="Times New Roman" w:eastAsia="Times New Roman" w:hAnsi="Times New Roman"/>
          <w:sz w:val="21"/>
          <w:szCs w:val="21"/>
          <w:color w:val="auto"/>
        </w:rPr>
      </w:pPr>
    </w:p>
    <w:p>
      <w:pPr>
        <w:ind w:left="1240" w:firstLine="1247"/>
        <w:spacing w:after="0" w:line="273" w:lineRule="auto"/>
        <w:tabs>
          <w:tab w:leader="none" w:pos="283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elected as a director of the Corporation, intends to serve the entire term until the next meeting at which such candidate would face re-election;</w:t>
      </w:r>
    </w:p>
    <w:p>
      <w:pPr>
        <w:spacing w:after="0" w:line="175" w:lineRule="exact"/>
        <w:rPr>
          <w:rFonts w:ascii="Times New Roman" w:cs="Times New Roman" w:eastAsia="Times New Roman" w:hAnsi="Times New Roman"/>
          <w:sz w:val="21"/>
          <w:szCs w:val="21"/>
          <w:color w:val="auto"/>
        </w:rPr>
      </w:pPr>
    </w:p>
    <w:p>
      <w:pPr>
        <w:jc w:val="both"/>
        <w:ind w:left="1240" w:firstLine="1247"/>
        <w:spacing w:after="0" w:line="258" w:lineRule="auto"/>
        <w:tabs>
          <w:tab w:leader="none" w:pos="280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 and</w:t>
      </w:r>
    </w:p>
    <w:p>
      <w:pPr>
        <w:spacing w:after="0" w:line="204" w:lineRule="exact"/>
        <w:rPr>
          <w:rFonts w:ascii="Times New Roman" w:cs="Times New Roman" w:eastAsia="Times New Roman" w:hAnsi="Times New Roman"/>
          <w:sz w:val="21"/>
          <w:szCs w:val="21"/>
          <w:color w:val="auto"/>
        </w:rPr>
      </w:pPr>
    </w:p>
    <w:p>
      <w:pPr>
        <w:ind w:left="2800" w:hanging="313"/>
        <w:spacing w:after="0"/>
        <w:tabs>
          <w:tab w:leader="none" w:pos="280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provide to the Corporation such other information as it may reasonably request.</w:t>
      </w:r>
    </w:p>
    <w:p>
      <w:pPr>
        <w:spacing w:after="0" w:line="248"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3.3 Compensation</w:t>
      </w:r>
      <w:r>
        <w:rPr>
          <w:rFonts w:ascii="Times New Roman" w:cs="Times New Roman" w:eastAsia="Times New Roman" w:hAnsi="Times New Roman"/>
          <w:sz w:val="21"/>
          <w:szCs w:val="21"/>
          <w:color w:val="auto"/>
        </w:rPr>
        <w:t>. Unless otherwise restricted by the Certificate of Incorporation or these Bylaws, the 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authority to fix the compensation of directors. The directors may be reimbursed their expenses, if any, of attendance at each meeting of the Board and may be paid either a fixed sum for attendance at each meeting of the Board or other compensation as director. No such payment shall preclude any director from serving the Corporation in any other capacity and receiving compensation therefor. Members of committees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4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auto"/>
        </w:rPr>
        <w:t>of the Board may be allowed like compensation and reimbursement of expenses for service on the committee.</w:t>
      </w: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3.4 Proxy Access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ind w:firstLine="1245"/>
        <w:spacing w:after="0" w:line="273" w:lineRule="auto"/>
        <w:tabs>
          <w:tab w:leader="none" w:pos="154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if expressly requested in the relevant Nomination Notice (as defined below), the Corporation shall include in its proxy statement for any annual meeting of stockholders:</w:t>
      </w:r>
    </w:p>
    <w:p>
      <w:pPr>
        <w:spacing w:after="0" w:line="171" w:lineRule="exact"/>
        <w:rPr>
          <w:rFonts w:ascii="Times New Roman" w:cs="Times New Roman" w:eastAsia="Times New Roman" w:hAnsi="Times New Roman"/>
          <w:sz w:val="21"/>
          <w:szCs w:val="21"/>
          <w:color w:val="auto"/>
        </w:rPr>
      </w:pPr>
    </w:p>
    <w:p>
      <w:pPr>
        <w:jc w:val="both"/>
        <w:ind w:left="620" w:firstLine="1246"/>
        <w:spacing w:after="0" w:line="253" w:lineRule="auto"/>
        <w:tabs>
          <w:tab w:leader="none" w:pos="2111"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of any person nominated for election to the Board (the “</w:t>
      </w:r>
      <w:r>
        <w:rPr>
          <w:rFonts w:ascii="Times New Roman" w:cs="Times New Roman" w:eastAsia="Times New Roman" w:hAnsi="Times New Roman"/>
          <w:sz w:val="21"/>
          <w:szCs w:val="21"/>
          <w:b w:val="1"/>
          <w:bCs w:val="1"/>
          <w:i w:val="1"/>
          <w:iCs w:val="1"/>
          <w:color w:val="auto"/>
        </w:rPr>
        <w:t>Nominee</w:t>
      </w:r>
      <w:r>
        <w:rPr>
          <w:rFonts w:ascii="Times New Roman" w:cs="Times New Roman" w:eastAsia="Times New Roman" w:hAnsi="Times New Roman"/>
          <w:sz w:val="21"/>
          <w:szCs w:val="21"/>
          <w:color w:val="auto"/>
        </w:rPr>
        <w:t>”), which shall also be included on the Corporation’s form of proxy and ballot (together with the proxy statement, the “</w:t>
      </w:r>
      <w:r>
        <w:rPr>
          <w:rFonts w:ascii="Times New Roman" w:cs="Times New Roman" w:eastAsia="Times New Roman" w:hAnsi="Times New Roman"/>
          <w:sz w:val="21"/>
          <w:szCs w:val="21"/>
          <w:b w:val="1"/>
          <w:bCs w:val="1"/>
          <w:i w:val="1"/>
          <w:iCs w:val="1"/>
          <w:color w:val="auto"/>
        </w:rPr>
        <w:t>proxy materials</w:t>
      </w:r>
      <w:r>
        <w:rPr>
          <w:rFonts w:ascii="Times New Roman" w:cs="Times New Roman" w:eastAsia="Times New Roman" w:hAnsi="Times New Roman"/>
          <w:sz w:val="21"/>
          <w:szCs w:val="21"/>
          <w:color w:val="auto"/>
        </w:rPr>
        <w:t xml:space="preserve">”), by any Eligible Holder (as defined below) or group of up to 20 Eligible Holders that, as determined by the Board or its designee, acting in good faith, has both (individually and collectively, in the case of a group) satisfied all applicable conditions and complied with all applicable procedures set forth in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(such Eligible Holder or group of Eligible Holders being a “</w:t>
      </w:r>
      <w:r>
        <w:rPr>
          <w:rFonts w:ascii="Times New Roman" w:cs="Times New Roman" w:eastAsia="Times New Roman" w:hAnsi="Times New Roman"/>
          <w:sz w:val="21"/>
          <w:szCs w:val="21"/>
          <w:b w:val="1"/>
          <w:bCs w:val="1"/>
          <w:i w:val="1"/>
          <w:iCs w:val="1"/>
          <w:color w:val="auto"/>
        </w:rPr>
        <w:t>Nominating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620" w:firstLine="1246"/>
        <w:spacing w:after="0" w:line="273" w:lineRule="auto"/>
        <w:tabs>
          <w:tab w:leader="none" w:pos="2171"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 about the Nominee and the Nominating Stockholder required under the rules of the Securities and Exchange Commission or other applicable law to be included in the proxy statement;</w:t>
      </w:r>
    </w:p>
    <w:p>
      <w:pPr>
        <w:spacing w:after="0" w:line="200"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2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written statement included by the Nominating Stockholder in the Nomination Notice for inclusion in the proxy statement in support of the Nominee’s election to the Board (subject, without limitation, to </w:t>
      </w:r>
      <w:r>
        <w:rPr>
          <w:rFonts w:ascii="Times New Roman" w:cs="Times New Roman" w:eastAsia="Times New Roman" w:hAnsi="Times New Roman"/>
          <w:sz w:val="21"/>
          <w:szCs w:val="21"/>
          <w:u w:val="single" w:color="auto"/>
          <w:color w:val="auto"/>
        </w:rPr>
        <w:t>Section 3.4(g)</w:t>
      </w:r>
      <w:r>
        <w:rPr>
          <w:rFonts w:ascii="Times New Roman" w:cs="Times New Roman" w:eastAsia="Times New Roman" w:hAnsi="Times New Roman"/>
          <w:sz w:val="21"/>
          <w:szCs w:val="21"/>
          <w:color w:val="auto"/>
        </w:rPr>
        <w:t>), if such statement does not exceed 500 words; and</w:t>
      </w:r>
    </w:p>
    <w:p>
      <w:pPr>
        <w:spacing w:after="0" w:line="217"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3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information that the Corporation or the Board determines, in their discretion, to include in the proxy statement relating to the nomination of the Nominee, including, without limitation, any statement in opposition to the nomination and any of the information provided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204" w:lineRule="exact"/>
        <w:rPr>
          <w:rFonts w:ascii="Times New Roman" w:cs="Times New Roman" w:eastAsia="Times New Roman" w:hAnsi="Times New Roman"/>
          <w:sz w:val="21"/>
          <w:szCs w:val="21"/>
          <w:color w:val="auto"/>
        </w:rPr>
      </w:pPr>
    </w:p>
    <w:p>
      <w:pPr>
        <w:jc w:val="both"/>
        <w:ind w:firstLine="1245"/>
        <w:spacing w:after="0" w:line="250" w:lineRule="auto"/>
        <w:tabs>
          <w:tab w:leader="none" w:pos="158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maximum number of Nominees nominated by all Nominating Stockholders that will be included in the Corporation’s proxy materials with respect to an annual meeting of stockholders shall not exceed the greater of (x) two and (y) 20% of the total number of directors of the Corporation (rounded down to the nearest whole number) on the last day on which a Nomination Notice may be submitted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Maximum Number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any individual nominated by a Nominating Stockholder for inclusion in the Corporation’s proxy materials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who is subsequently withdrawn or that the Board itself decides to nominate for election at such annual meeting and (ii) any incumbent directors who had been Nominees, or nominees of a stockholder pursuant to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of these Bylaws, with respect to any of the preceding two annual meetings of stockholders and whose election at the upcoming annual meeting is being recommended by the Board, shall be counted as Nominees for purposes of determining when the Maximum Number has been reached. In the event that one or more vacancies for any reason occurs on the Board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67" w:right="339" w:bottom="1440" w:gutter="0" w:footer="0" w:header="0"/>
        </w:sectPr>
      </w:pPr>
    </w:p>
    <w:bookmarkStart w:id="89" w:name="page90"/>
    <w:bookmarkEnd w:id="89"/>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after the deadline set forth in </w:t>
      </w:r>
      <w:r>
        <w:rPr>
          <w:rFonts w:ascii="Times New Roman" w:cs="Times New Roman" w:eastAsia="Times New Roman" w:hAnsi="Times New Roman"/>
          <w:sz w:val="21"/>
          <w:szCs w:val="21"/>
          <w:u w:val="single" w:color="auto"/>
          <w:color w:val="auto"/>
        </w:rPr>
        <w:t>Section 3.4(d)</w:t>
      </w:r>
      <w:r>
        <w:rPr>
          <w:rFonts w:ascii="Times New Roman" w:cs="Times New Roman" w:eastAsia="Times New Roman" w:hAnsi="Times New Roman"/>
          <w:sz w:val="21"/>
          <w:szCs w:val="21"/>
          <w:color w:val="auto"/>
        </w:rPr>
        <w:t xml:space="preserve"> below but before the date of the annual meeting, and the Board resolves to reduce the size of the Board in connection therewith, the Maximum Number shall be calculated based on the number of directors in office as so reduced. If the number of Nominees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for any annual meeting of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Nomination Notice, with the process repeated if the Maximum Number is not reached after each Nominating Stockholder has selected one Nominee. If, after the deadline for submitting a Nomination Notice as set forth in </w:t>
      </w:r>
      <w:r>
        <w:rPr>
          <w:rFonts w:ascii="Times New Roman" w:cs="Times New Roman" w:eastAsia="Times New Roman" w:hAnsi="Times New Roman"/>
          <w:sz w:val="21"/>
          <w:szCs w:val="21"/>
          <w:u w:val="single" w:color="auto"/>
          <w:color w:val="auto"/>
        </w:rPr>
        <w:t>Section 3.4(d)</w:t>
      </w:r>
      <w:r>
        <w:rPr>
          <w:rFonts w:ascii="Times New Roman" w:cs="Times New Roman" w:eastAsia="Times New Roman" w:hAnsi="Times New Roman"/>
          <w:sz w:val="21"/>
          <w:szCs w:val="21"/>
          <w:color w:val="auto"/>
        </w:rPr>
        <w:t>, a Nominating Stockholder becomes ineligible or withdraws its nomination, or a Nominee becomes ineligible, unwilling or unable to serve on the Board, or a Nominee is thereafter nominated for election by the Board, whether before or after the mailing of the definitive proxy statement, then the nomination shall be disregarded, and the Corporation: (i) shall not be required to include in its proxy materials the disregarded Nominee or any successor or replacement nominee proposed by the Nominating Stockholder or by any other Nominating Stockholder; and (ii) may otherwise communicate to its stockholders, including without limitation by amending or supplementing its proxy materials, that the Nominee will not be included as a Nominee in the proxy materials and will not be voted on at the annual meeting.</w:t>
      </w:r>
    </w:p>
    <w:p>
      <w:pPr>
        <w:spacing w:after="0" w:line="232" w:lineRule="exact"/>
        <w:rPr>
          <w:sz w:val="20"/>
          <w:szCs w:val="20"/>
          <w:color w:val="auto"/>
        </w:rPr>
      </w:pPr>
    </w:p>
    <w:p>
      <w:pPr>
        <w:ind w:left="1520" w:hanging="275"/>
        <w:spacing w:after="0"/>
        <w:tabs>
          <w:tab w:leader="none" w:pos="15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1"/>
          <w:szCs w:val="21"/>
          <w:color w:val="auto"/>
        </w:rPr>
      </w:pPr>
    </w:p>
    <w:p>
      <w:pPr>
        <w:jc w:val="both"/>
        <w:ind w:left="620" w:firstLine="1246"/>
        <w:spacing w:after="0" w:line="249" w:lineRule="auto"/>
        <w:tabs>
          <w:tab w:leader="none" w:pos="2115"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b w:val="1"/>
          <w:bCs w:val="1"/>
          <w:i w:val="1"/>
          <w:iCs w:val="1"/>
          <w:color w:val="auto"/>
        </w:rPr>
        <w:t>Eligible Holder</w:t>
      </w:r>
      <w:r>
        <w:rPr>
          <w:rFonts w:ascii="Times New Roman" w:cs="Times New Roman" w:eastAsia="Times New Roman" w:hAnsi="Times New Roman"/>
          <w:sz w:val="21"/>
          <w:szCs w:val="21"/>
          <w:color w:val="auto"/>
        </w:rPr>
        <w:t>” is a person who has owned (as defined below) the Required Ownership Percentage (as defined below) of the Corporation’s outstanding common stock (the “</w:t>
      </w:r>
      <w:r>
        <w:rPr>
          <w:rFonts w:ascii="Times New Roman" w:cs="Times New Roman" w:eastAsia="Times New Roman" w:hAnsi="Times New Roman"/>
          <w:sz w:val="21"/>
          <w:szCs w:val="21"/>
          <w:b w:val="1"/>
          <w:bCs w:val="1"/>
          <w:i w:val="1"/>
          <w:iCs w:val="1"/>
          <w:color w:val="auto"/>
        </w:rPr>
        <w:t>Required Shares</w:t>
      </w:r>
      <w:r>
        <w:rPr>
          <w:rFonts w:ascii="Times New Roman" w:cs="Times New Roman" w:eastAsia="Times New Roman" w:hAnsi="Times New Roman"/>
          <w:sz w:val="21"/>
          <w:szCs w:val="21"/>
          <w:color w:val="auto"/>
        </w:rPr>
        <w:t xml:space="preserve">”) continuously for the Minimum Holding Period (as defined below) as of both the date that the Nomination Notice is delivered to, or mailed to and received by, the Secretary of the Corporation in accordance with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and the record date for determining the stockholders entitled to vote at the annual meeting and must continue to own the Required Shares through the annual meeting date. The “</w:t>
      </w:r>
      <w:r>
        <w:rPr>
          <w:rFonts w:ascii="Times New Roman" w:cs="Times New Roman" w:eastAsia="Times New Roman" w:hAnsi="Times New Roman"/>
          <w:sz w:val="21"/>
          <w:szCs w:val="21"/>
          <w:b w:val="1"/>
          <w:bCs w:val="1"/>
          <w:i w:val="1"/>
          <w:iCs w:val="1"/>
          <w:color w:val="auto"/>
        </w:rPr>
        <w:t>Required Ownership Percentage</w:t>
      </w:r>
      <w:r>
        <w:rPr>
          <w:rFonts w:ascii="Times New Roman" w:cs="Times New Roman" w:eastAsia="Times New Roman" w:hAnsi="Times New Roman"/>
          <w:sz w:val="21"/>
          <w:szCs w:val="21"/>
          <w:color w:val="auto"/>
        </w:rPr>
        <w:t>” is 3% or more of the Corporation’s outstanding common stock, and the “</w:t>
      </w:r>
      <w:r>
        <w:rPr>
          <w:rFonts w:ascii="Times New Roman" w:cs="Times New Roman" w:eastAsia="Times New Roman" w:hAnsi="Times New Roman"/>
          <w:sz w:val="21"/>
          <w:szCs w:val="21"/>
          <w:b w:val="1"/>
          <w:bCs w:val="1"/>
          <w:i w:val="1"/>
          <w:iCs w:val="1"/>
          <w:color w:val="auto"/>
        </w:rPr>
        <w:t>Minimum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Holding Period</w:t>
      </w:r>
      <w:r>
        <w:rPr>
          <w:rFonts w:ascii="Times New Roman" w:cs="Times New Roman" w:eastAsia="Times New Roman" w:hAnsi="Times New Roman"/>
          <w:sz w:val="21"/>
          <w:szCs w:val="21"/>
          <w:color w:val="auto"/>
        </w:rPr>
        <w:t>” is 3 years. For purposes of this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(i) a group of funds under common management and investment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control, (ii) a group of funds under common management and funded primarily by a single employer or (iii) a “group of investment companies,” as such term is defined in Section 12(d)(1)(G)(ii) of the Investment Company Act of 1940, as amended, shall be treated as one Eligible Holder if such Eligible Holder shall provide together with the Nomination Notice documentation reasonably satisfactory to the Corporation in its sole and absolute discretion that demonstrates that the funds meet the criteria of clause (i), (ii) or (iii). For the avoidance of doubt, in the event of a nomination by a group of Eligible Holders, any and all requirements and obligations for an individual Eligible Holder that are set forth in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including the Minimum Holding Period, shall apply to each member of such group;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Required Ownership Percentage shall apply to the ownership of the group in the aggregate. Should any stockholder withdraw from a group of Eligible Holders at any time prior to the annual meeting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67" w:right="339" w:bottom="1440" w:gutter="0" w:footer="0" w:header="0"/>
        </w:sectPr>
      </w:pPr>
    </w:p>
    <w:bookmarkStart w:id="90" w:name="page91"/>
    <w:bookmarkEnd w:id="90"/>
    <w:p>
      <w:pPr>
        <w:ind w:left="620"/>
        <w:spacing w:after="0" w:line="273" w:lineRule="auto"/>
        <w:rPr>
          <w:sz w:val="20"/>
          <w:szCs w:val="20"/>
          <w:color w:val="auto"/>
        </w:rPr>
      </w:pPr>
      <w:r>
        <w:rPr>
          <w:rFonts w:ascii="Times New Roman" w:cs="Times New Roman" w:eastAsia="Times New Roman" w:hAnsi="Times New Roman"/>
          <w:sz w:val="21"/>
          <w:szCs w:val="21"/>
          <w:color w:val="auto"/>
        </w:rPr>
        <w:t>stockholders, the group of Eligible Stockholders shall only be deemed to own the shares held by the remaining members of the group.</w:t>
      </w:r>
    </w:p>
    <w:p>
      <w:pPr>
        <w:spacing w:after="0" w:line="197" w:lineRule="exact"/>
        <w:rPr>
          <w:sz w:val="20"/>
          <w:szCs w:val="20"/>
          <w:color w:val="auto"/>
        </w:rPr>
      </w:pPr>
    </w:p>
    <w:p>
      <w:pPr>
        <w:ind w:left="2180" w:hanging="314"/>
        <w:spacing w:after="0"/>
        <w:tabs>
          <w:tab w:leader="none" w:pos="21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Holder “</w:t>
      </w:r>
      <w:r>
        <w:rPr>
          <w:rFonts w:ascii="Times New Roman" w:cs="Times New Roman" w:eastAsia="Times New Roman" w:hAnsi="Times New Roman"/>
          <w:sz w:val="20"/>
          <w:szCs w:val="20"/>
          <w:b w:val="1"/>
          <w:bCs w:val="1"/>
          <w:i w:val="1"/>
          <w:iCs w:val="1"/>
          <w:color w:val="auto"/>
        </w:rPr>
        <w:t>owns</w:t>
      </w:r>
      <w:r>
        <w:rPr>
          <w:rFonts w:ascii="Times New Roman" w:cs="Times New Roman" w:eastAsia="Times New Roman" w:hAnsi="Times New Roman"/>
          <w:sz w:val="20"/>
          <w:szCs w:val="20"/>
          <w:color w:val="auto"/>
        </w:rPr>
        <w:t>” only those outstanding shares of the Corporation as to which the Eligible Holder</w:t>
      </w:r>
    </w:p>
    <w:p>
      <w:pPr>
        <w:spacing w:after="0" w:line="43"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possesses both:</w:t>
      </w:r>
    </w:p>
    <w:p>
      <w:pPr>
        <w:spacing w:after="0" w:line="226" w:lineRule="exact"/>
        <w:rPr>
          <w:rFonts w:ascii="Times New Roman" w:cs="Times New Roman" w:eastAsia="Times New Roman" w:hAnsi="Times New Roman"/>
          <w:sz w:val="20"/>
          <w:szCs w:val="20"/>
          <w:color w:val="auto"/>
        </w:rPr>
      </w:pPr>
    </w:p>
    <w:p>
      <w:pPr>
        <w:ind w:left="2820" w:hanging="333"/>
        <w:spacing w:after="0"/>
        <w:tabs>
          <w:tab w:leader="none" w:pos="28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 voting and investment rights pertaining to the shares; and</w:t>
      </w:r>
    </w:p>
    <w:p>
      <w:pPr>
        <w:spacing w:after="0" w:line="263" w:lineRule="exact"/>
        <w:rPr>
          <w:rFonts w:ascii="Times New Roman" w:cs="Times New Roman" w:eastAsia="Times New Roman" w:hAnsi="Times New Roman"/>
          <w:sz w:val="21"/>
          <w:szCs w:val="21"/>
          <w:color w:val="auto"/>
        </w:rPr>
      </w:pPr>
    </w:p>
    <w:p>
      <w:pPr>
        <w:ind w:left="2820" w:hanging="333"/>
        <w:spacing w:after="0"/>
        <w:tabs>
          <w:tab w:leader="none" w:pos="28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full economic interest in (including the opportunity for profit and risk of loss on) such shares;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provided that the number of shares calculated in accordance with clauses (A) and (B) shall not include any shares: (1) sold by such Eligible Holder or any of its affiliates in any transaction that has not been settled or closed, (2) borrowed by such Eligible Holder or any of its affiliates for any purpose or purchased by such Eligible Holder or any of its affiliates pursuant to an agreement to resell, or</w:t>
      </w:r>
    </w:p>
    <w:p>
      <w:pPr>
        <w:spacing w:after="0" w:line="1" w:lineRule="exact"/>
        <w:rPr>
          <w:sz w:val="20"/>
          <w:szCs w:val="20"/>
          <w:color w:val="auto"/>
        </w:rPr>
      </w:pPr>
    </w:p>
    <w:p>
      <w:pPr>
        <w:jc w:val="both"/>
        <w:ind w:firstLine="3"/>
        <w:spacing w:after="0" w:line="247" w:lineRule="auto"/>
        <w:tabs>
          <w:tab w:leader="none" w:pos="30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any gain or loss arising from the full economic interest in such shares by such Eligible Holder or any of its affiliates.</w:t>
      </w: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 more than five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 or its designee acting in good faith.</w:t>
      </w:r>
    </w:p>
    <w:p>
      <w:pPr>
        <w:spacing w:after="0" w:line="234" w:lineRule="exact"/>
        <w:rPr>
          <w:sz w:val="20"/>
          <w:szCs w:val="20"/>
          <w:color w:val="auto"/>
        </w:rPr>
      </w:pPr>
    </w:p>
    <w:p>
      <w:pPr>
        <w:jc w:val="both"/>
        <w:ind w:left="620" w:firstLine="1246"/>
        <w:spacing w:after="0" w:line="258" w:lineRule="auto"/>
        <w:tabs>
          <w:tab w:leader="none" w:pos="224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shall be permitted to be in more than one group constituting a Nominating Stockholder, and if any person appears as a member of more than one group, it shall be deemed to be a member of the group that has the largest ownership position as reflected in the Nomination Notice.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367" w:right="339" w:bottom="1440" w:gutter="0" w:footer="0" w:header="0"/>
        </w:sectPr>
      </w:pPr>
    </w:p>
    <w:bookmarkStart w:id="91" w:name="page92"/>
    <w:bookmarkEnd w:id="91"/>
    <w:p>
      <w:pPr>
        <w:jc w:val="both"/>
        <w:ind w:firstLine="1245"/>
        <w:spacing w:after="0" w:line="264" w:lineRule="auto"/>
        <w:tabs>
          <w:tab w:leader="none" w:pos="1575"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nominate a Nominee, the Nominating Stockholder must submit the Nomination Notice no earlier than 150 calendar days and no later than 120 calendar days before the anniversary of the date that the Corporation mailed its proxy statement for the prior year’s annual meeting of stockholders;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subject to the immediately following sentence, if the annual meeting is called for a date that is more than 30 days earlier or more than 60 days after such anniversary date, or if no annual meeting was held in the preceding year, for notice by the Nominating Stockholder to be timely, it must be so received not later than the later of</w:t>
      </w:r>
    </w:p>
    <w:p>
      <w:pPr>
        <w:jc w:val="both"/>
        <w:ind w:firstLine="3"/>
        <w:spacing w:after="0" w:line="247" w:lineRule="auto"/>
        <w:tabs>
          <w:tab w:leader="none" w:pos="30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close of business on the 180th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Nomination Notice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Within the time period specified in this </w:t>
      </w:r>
      <w:r>
        <w:rPr>
          <w:rFonts w:ascii="Times New Roman" w:cs="Times New Roman" w:eastAsia="Times New Roman" w:hAnsi="Times New Roman"/>
          <w:sz w:val="21"/>
          <w:szCs w:val="21"/>
          <w:u w:val="single" w:color="auto"/>
          <w:color w:val="auto"/>
        </w:rPr>
        <w:t>Section 3.4(d)</w:t>
      </w:r>
      <w:r>
        <w:rPr>
          <w:rFonts w:ascii="Times New Roman" w:cs="Times New Roman" w:eastAsia="Times New Roman" w:hAnsi="Times New Roman"/>
          <w:sz w:val="21"/>
          <w:szCs w:val="21"/>
          <w:color w:val="auto"/>
        </w:rPr>
        <w:t xml:space="preserve"> for delivering the Nomination Notice, a Nominating Stockholder must submit to the Secretary of the Corporation at the principal executive offices of the Corporation all of the following information and documents (collectively, the “</w:t>
      </w:r>
      <w:r>
        <w:rPr>
          <w:rFonts w:ascii="Times New Roman" w:cs="Times New Roman" w:eastAsia="Times New Roman" w:hAnsi="Times New Roman"/>
          <w:sz w:val="21"/>
          <w:szCs w:val="21"/>
          <w:b w:val="1"/>
          <w:bCs w:val="1"/>
          <w:i w:val="1"/>
          <w:iCs w:val="1"/>
          <w:color w:val="auto"/>
        </w:rPr>
        <w:t>Nomination Notice</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left="620" w:firstLine="1246"/>
        <w:spacing w:after="0" w:line="262" w:lineRule="auto"/>
        <w:tabs>
          <w:tab w:leader="none" w:pos="2126"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Nomination Notice is delivered to, or mailed to and received by, the Secretary of the Corporation, the Nominating Stockholder owns, and has owned continuously for the Minimum Holding Period, the Required Shares, and the Nominating Stockholder’s agreement to provide, within five business days after (A) the record date for the annual meeting (if, prior to the record date, the Corporation (1) has made a public announcement of such record date or</w:t>
      </w:r>
    </w:p>
    <w:p>
      <w:pPr>
        <w:spacing w:after="0" w:line="5" w:lineRule="exact"/>
        <w:rPr>
          <w:rFonts w:ascii="Times New Roman" w:cs="Times New Roman" w:eastAsia="Times New Roman" w:hAnsi="Times New Roman"/>
          <w:sz w:val="20"/>
          <w:szCs w:val="20"/>
          <w:color w:val="auto"/>
        </w:rPr>
      </w:pPr>
    </w:p>
    <w:p>
      <w:pPr>
        <w:jc w:val="both"/>
        <w:ind w:left="620" w:firstLine="4"/>
        <w:spacing w:after="0" w:line="250" w:lineRule="auto"/>
        <w:tabs>
          <w:tab w:leader="none" w:pos="91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 written notice of the record date (including by electronic mail) to the Nominating Stockholder) or (B) the date on which the Corporation delivered to the Nominating Stockholder written notice (including by electronic mail) of the record date (if such notice is provided after the record date), written statements from the record holder and intermediaries verifying the Nominating Stockholder’s continuous ownership of the Required Shares through the record date;</w:t>
      </w:r>
    </w:p>
    <w:p>
      <w:pPr>
        <w:spacing w:after="0" w:line="211" w:lineRule="exact"/>
        <w:rPr>
          <w:rFonts w:ascii="Times New Roman" w:cs="Times New Roman" w:eastAsia="Times New Roman" w:hAnsi="Times New Roman"/>
          <w:sz w:val="21"/>
          <w:szCs w:val="21"/>
          <w:color w:val="auto"/>
        </w:rPr>
      </w:pPr>
    </w:p>
    <w:p>
      <w:pPr>
        <w:jc w:val="both"/>
        <w:ind w:left="620" w:firstLine="1246"/>
        <w:spacing w:after="0" w:line="265" w:lineRule="auto"/>
        <w:tabs>
          <w:tab w:leader="none" w:pos="2181" w:val="left"/>
        </w:tabs>
        <w:numPr>
          <w:ilvl w:val="3"/>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Schedule 14N (or any successor form) relating to the Nominee, completed and filed with the Securities and Exchange Commission by the Nominating Stockholder as applicable, in accordance with Securities and Exchange Commission rules;</w:t>
      </w:r>
    </w:p>
    <w:p>
      <w:pPr>
        <w:spacing w:after="0" w:line="196" w:lineRule="exact"/>
        <w:rPr>
          <w:rFonts w:ascii="Times New Roman" w:cs="Times New Roman" w:eastAsia="Times New Roman" w:hAnsi="Times New Roman"/>
          <w:sz w:val="21"/>
          <w:szCs w:val="21"/>
          <w:color w:val="auto"/>
        </w:rPr>
      </w:pPr>
    </w:p>
    <w:p>
      <w:pPr>
        <w:ind w:left="2220" w:hanging="354"/>
        <w:spacing w:after="0"/>
        <w:tabs>
          <w:tab w:leader="none" w:pos="2220" w:val="left"/>
        </w:tabs>
        <w:numPr>
          <w:ilvl w:val="3"/>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information required with respect to the nomination of directors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these Bylaws;</w:t>
      </w:r>
    </w:p>
    <w:p>
      <w:pPr>
        <w:spacing w:after="0" w:line="261" w:lineRule="exact"/>
        <w:rPr>
          <w:rFonts w:ascii="Times New Roman" w:cs="Times New Roman" w:eastAsia="Times New Roman" w:hAnsi="Times New Roman"/>
          <w:sz w:val="20"/>
          <w:szCs w:val="20"/>
          <w:color w:val="auto"/>
        </w:rPr>
      </w:pPr>
    </w:p>
    <w:p>
      <w:pPr>
        <w:ind w:left="620" w:firstLine="1246"/>
        <w:spacing w:after="0" w:line="285" w:lineRule="auto"/>
        <w:tabs>
          <w:tab w:leader="none" w:pos="2231" w:val="left"/>
        </w:tabs>
        <w:numPr>
          <w:ilvl w:val="3"/>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36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color w:val="auto"/>
        </w:rPr>
        <w:t>(v) the consent of each Nominee to being named in the proxy statement as a nominee and to serving as a director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elected;</w:t>
      </w:r>
    </w:p>
    <w:p>
      <w:pPr>
        <w:spacing w:after="0" w:line="239" w:lineRule="exact"/>
        <w:rPr>
          <w:sz w:val="20"/>
          <w:szCs w:val="20"/>
          <w:color w:val="auto"/>
        </w:rPr>
      </w:pPr>
    </w:p>
    <w:p>
      <w:pPr>
        <w:ind w:left="1600" w:hanging="354"/>
        <w:spacing w:after="0"/>
        <w:tabs>
          <w:tab w:leader="none" w:pos="16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and warranty by the Nominating Stockholder (including each group member):</w:t>
      </w:r>
    </w:p>
    <w:p>
      <w:pPr>
        <w:spacing w:after="0" w:line="250" w:lineRule="exact"/>
        <w:rPr>
          <w:rFonts w:ascii="Times New Roman" w:cs="Times New Roman" w:eastAsia="Times New Roman" w:hAnsi="Times New Roman"/>
          <w:sz w:val="21"/>
          <w:szCs w:val="21"/>
          <w:color w:val="auto"/>
        </w:rPr>
      </w:pPr>
    </w:p>
    <w:p>
      <w:pPr>
        <w:jc w:val="both"/>
        <w:ind w:left="1240" w:firstLine="627"/>
        <w:spacing w:after="0" w:line="258" w:lineRule="auto"/>
        <w:tabs>
          <w:tab w:leader="none" w:pos="220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Nominating Stockholder acquired the Required Shares in the ordinary course of business and neither the Nominating Stockholder nor the Nominee nor their respective affiliates and associates acquired, or are holding, securities of the Corporation for the purpose, or with the effect, of influencing or changing control of the Corporation;</w:t>
      </w:r>
    </w:p>
    <w:p>
      <w:pPr>
        <w:spacing w:after="0" w:line="203" w:lineRule="exact"/>
        <w:rPr>
          <w:rFonts w:ascii="Times New Roman" w:cs="Times New Roman" w:eastAsia="Times New Roman" w:hAnsi="Times New Roman"/>
          <w:sz w:val="21"/>
          <w:szCs w:val="21"/>
          <w:color w:val="auto"/>
        </w:rPr>
      </w:pPr>
    </w:p>
    <w:p>
      <w:pPr>
        <w:jc w:val="both"/>
        <w:ind w:left="1240" w:firstLine="627"/>
        <w:spacing w:after="0" w:line="258" w:lineRule="auto"/>
        <w:tabs>
          <w:tab w:leader="none" w:pos="219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Nominating Stockholder intends to maintain the Required Ownership Percentage through the date of the annual meeting and as to whether or not the Nominating Stockholder intends to continue to hold the Required Shares for at least one year following the annual meeting;</w:t>
      </w:r>
    </w:p>
    <w:p>
      <w:pPr>
        <w:spacing w:after="0" w:line="217" w:lineRule="exact"/>
        <w:rPr>
          <w:rFonts w:ascii="Times New Roman" w:cs="Times New Roman" w:eastAsia="Times New Roman" w:hAnsi="Times New Roman"/>
          <w:sz w:val="21"/>
          <w:szCs w:val="21"/>
          <w:color w:val="auto"/>
        </w:rPr>
      </w:pPr>
    </w:p>
    <w:p>
      <w:pPr>
        <w:ind w:left="1240" w:firstLine="627"/>
        <w:spacing w:after="0" w:line="273" w:lineRule="auto"/>
        <w:tabs>
          <w:tab w:leader="none" w:pos="219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Nominee’s candidacy or, if elected, Board membership would not violate applicable state or federal law or the rules of any stock exchange on which the Corporation’s securities are traded;</w:t>
      </w:r>
    </w:p>
    <w:p>
      <w:pPr>
        <w:spacing w:after="0" w:line="187" w:lineRule="exact"/>
        <w:rPr>
          <w:rFonts w:ascii="Times New Roman" w:cs="Times New Roman" w:eastAsia="Times New Roman" w:hAnsi="Times New Roman"/>
          <w:sz w:val="21"/>
          <w:szCs w:val="21"/>
          <w:color w:val="auto"/>
        </w:rPr>
      </w:pPr>
    </w:p>
    <w:p>
      <w:pPr>
        <w:ind w:left="1240" w:firstLine="627"/>
        <w:spacing w:after="0" w:line="273" w:lineRule="auto"/>
        <w:tabs>
          <w:tab w:leader="none" w:pos="220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Nominating Stockholder has not nominated and will not nominate for election any individual as a director at the annual meeting other than its Nominee(s);</w:t>
      </w:r>
    </w:p>
    <w:p>
      <w:pPr>
        <w:spacing w:after="0" w:line="200" w:lineRule="exact"/>
        <w:rPr>
          <w:rFonts w:ascii="Times New Roman" w:cs="Times New Roman" w:eastAsia="Times New Roman" w:hAnsi="Times New Roman"/>
          <w:sz w:val="21"/>
          <w:szCs w:val="21"/>
          <w:color w:val="auto"/>
        </w:rPr>
      </w:pPr>
    </w:p>
    <w:p>
      <w:pPr>
        <w:jc w:val="both"/>
        <w:ind w:left="1240" w:firstLine="627"/>
        <w:spacing w:after="0" w:line="253" w:lineRule="auto"/>
        <w:tabs>
          <w:tab w:leader="none" w:pos="2189"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Nominating Stockholder has not and will not engage in a, and will not be a “participant” in another person’s, “solicitation” within the meaning of Rule 14a-1(</w:t>
      </w:r>
      <w:r>
        <w:rPr>
          <w:rFonts w:ascii="Times New Roman" w:cs="Times New Roman" w:eastAsia="Times New Roman" w:hAnsi="Times New Roman"/>
          <w:sz w:val="21"/>
          <w:szCs w:val="21"/>
          <w:i w:val="1"/>
          <w:iCs w:val="1"/>
          <w:color w:val="auto"/>
        </w:rPr>
        <w:t>l</w:t>
      </w:r>
      <w:r>
        <w:rPr>
          <w:rFonts w:ascii="Times New Roman" w:cs="Times New Roman" w:eastAsia="Times New Roman" w:hAnsi="Times New Roman"/>
          <w:sz w:val="21"/>
          <w:szCs w:val="21"/>
          <w:color w:val="auto"/>
        </w:rPr>
        <w:t>) (without reference to the exception in Rule 14a-1(</w:t>
      </w:r>
      <w:r>
        <w:rPr>
          <w:rFonts w:ascii="Times New Roman" w:cs="Times New Roman" w:eastAsia="Times New Roman" w:hAnsi="Times New Roman"/>
          <w:sz w:val="21"/>
          <w:szCs w:val="21"/>
          <w:i w:val="1"/>
          <w:iCs w:val="1"/>
          <w:color w:val="auto"/>
        </w:rPr>
        <w:t>l</w:t>
      </w:r>
      <w:r>
        <w:rPr>
          <w:rFonts w:ascii="Times New Roman" w:cs="Times New Roman" w:eastAsia="Times New Roman" w:hAnsi="Times New Roman"/>
          <w:sz w:val="21"/>
          <w:szCs w:val="21"/>
          <w:color w:val="auto"/>
        </w:rPr>
        <w:t>)(2)(iv)) (or any successor rules) with respect to the annual meeting, other than with respect to the Nominee or any nominee of the Board; and</w:t>
      </w:r>
    </w:p>
    <w:p>
      <w:pPr>
        <w:spacing w:after="0" w:line="223" w:lineRule="exact"/>
        <w:rPr>
          <w:rFonts w:ascii="Times New Roman" w:cs="Times New Roman" w:eastAsia="Times New Roman" w:hAnsi="Times New Roman"/>
          <w:sz w:val="21"/>
          <w:szCs w:val="21"/>
          <w:color w:val="auto"/>
        </w:rPr>
      </w:pPr>
    </w:p>
    <w:p>
      <w:pPr>
        <w:ind w:left="1240" w:firstLine="627"/>
        <w:spacing w:after="0" w:line="273" w:lineRule="auto"/>
        <w:tabs>
          <w:tab w:leader="none" w:pos="217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Nominating Stockholder will not use any proxy card other than the Corporation’s proxy card in soliciting stockholders in connection with the election of a Nominee at the annual meeting;</w:t>
      </w:r>
    </w:p>
    <w:p>
      <w:pPr>
        <w:spacing w:after="0" w:line="187" w:lineRule="exact"/>
        <w:rPr>
          <w:rFonts w:ascii="Times New Roman" w:cs="Times New Roman" w:eastAsia="Times New Roman" w:hAnsi="Times New Roman"/>
          <w:sz w:val="21"/>
          <w:szCs w:val="21"/>
          <w:color w:val="auto"/>
        </w:rPr>
      </w:pPr>
    </w:p>
    <w:p>
      <w:pPr>
        <w:jc w:val="both"/>
        <w:ind w:firstLine="1246"/>
        <w:spacing w:after="0" w:line="265" w:lineRule="auto"/>
        <w:tabs>
          <w:tab w:leader="none" w:pos="165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196" w:lineRule="exact"/>
        <w:rPr>
          <w:rFonts w:ascii="Times New Roman" w:cs="Times New Roman" w:eastAsia="Times New Roman" w:hAnsi="Times New Roman"/>
          <w:sz w:val="21"/>
          <w:szCs w:val="21"/>
          <w:color w:val="auto"/>
        </w:rPr>
      </w:pPr>
    </w:p>
    <w:p>
      <w:pPr>
        <w:ind w:firstLine="1246"/>
        <w:spacing w:after="0" w:line="273" w:lineRule="auto"/>
        <w:tabs>
          <w:tab w:leader="none" w:pos="172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executed agreement, in a form deemed satisfactory by the Board or its designee, acting in good faith, pursuant to which the Nominating Stockholder (including each group member) agrees to:</w:t>
      </w:r>
    </w:p>
    <w:p>
      <w:pPr>
        <w:spacing w:after="0" w:line="200" w:lineRule="exact"/>
        <w:rPr>
          <w:sz w:val="20"/>
          <w:szCs w:val="20"/>
          <w:color w:val="auto"/>
        </w:rPr>
      </w:pPr>
    </w:p>
    <w:p>
      <w:pPr>
        <w:spacing w:after="0" w:line="3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20"/>
          </w:cols>
          <w:pgMar w:left="940" w:top="1367" w:right="339" w:bottom="1440" w:gutter="0" w:footer="0" w:header="0"/>
        </w:sectPr>
      </w:pPr>
    </w:p>
    <w:bookmarkStart w:id="93" w:name="page94"/>
    <w:bookmarkEnd w:id="93"/>
    <w:p>
      <w:pPr>
        <w:spacing w:after="0" w:line="173" w:lineRule="exact"/>
        <w:rPr>
          <w:sz w:val="20"/>
          <w:szCs w:val="20"/>
          <w:color w:val="auto"/>
        </w:rPr>
      </w:pPr>
    </w:p>
    <w:p>
      <w:pPr>
        <w:ind w:left="1240" w:firstLine="627"/>
        <w:spacing w:after="0" w:line="273" w:lineRule="auto"/>
        <w:tabs>
          <w:tab w:leader="none" w:pos="220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all applicable laws, rules and regulations in connection with the nomination, solicitation and election;</w:t>
      </w:r>
    </w:p>
    <w:p>
      <w:pPr>
        <w:spacing w:after="0" w:line="200" w:lineRule="exact"/>
        <w:rPr>
          <w:rFonts w:ascii="Times New Roman" w:cs="Times New Roman" w:eastAsia="Times New Roman" w:hAnsi="Times New Roman"/>
          <w:sz w:val="21"/>
          <w:szCs w:val="21"/>
          <w:color w:val="auto"/>
        </w:rPr>
      </w:pPr>
    </w:p>
    <w:p>
      <w:pPr>
        <w:jc w:val="both"/>
        <w:ind w:left="1240" w:firstLine="627"/>
        <w:spacing w:after="0" w:line="253" w:lineRule="auto"/>
        <w:tabs>
          <w:tab w:leader="none" w:pos="220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any written solicitation materials with the Corporation’s stockholders relating to one or more of the Corporation’s directors or director nominees or any Nominee with the Securities and Exchange Commission, regardless of whether any such filing is required under rule or regulation or whether any exemption from filing is available for such materials under any rule or regulation;</w:t>
      </w:r>
    </w:p>
    <w:p>
      <w:pPr>
        <w:spacing w:after="0" w:line="223" w:lineRule="exact"/>
        <w:rPr>
          <w:rFonts w:ascii="Times New Roman" w:cs="Times New Roman" w:eastAsia="Times New Roman" w:hAnsi="Times New Roman"/>
          <w:sz w:val="21"/>
          <w:szCs w:val="21"/>
          <w:color w:val="auto"/>
        </w:rPr>
      </w:pPr>
    </w:p>
    <w:p>
      <w:pPr>
        <w:jc w:val="both"/>
        <w:ind w:left="1240" w:firstLine="627"/>
        <w:spacing w:after="0" w:line="253" w:lineRule="auto"/>
        <w:tabs>
          <w:tab w:leader="none" w:pos="221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 all liability stemming from an action, suit or proceeding concerning any actual or alleged legal or regulatory violation arising out of any communication by the Nominating Stockholder or the Nominee with the Corporation, its stockholders or any other person in connection with the nomination or election of directors, including, without limitation, the Nomination Notice;</w:t>
      </w:r>
    </w:p>
    <w:p>
      <w:pPr>
        <w:spacing w:after="0" w:line="223" w:lineRule="exact"/>
        <w:rPr>
          <w:rFonts w:ascii="Times New Roman" w:cs="Times New Roman" w:eastAsia="Times New Roman" w:hAnsi="Times New Roman"/>
          <w:sz w:val="21"/>
          <w:szCs w:val="21"/>
          <w:color w:val="auto"/>
        </w:rPr>
      </w:pPr>
    </w:p>
    <w:p>
      <w:pPr>
        <w:jc w:val="both"/>
        <w:ind w:left="1240" w:firstLine="627"/>
        <w:spacing w:after="0" w:line="250" w:lineRule="auto"/>
        <w:tabs>
          <w:tab w:leader="none" w:pos="221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indemnify and hold harmless (jointly with all other group members, in the case of a group member) the Corporation and each of its directors, officers, employees, agents, affiliates or other persons acting on behalf of the Corporation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employees, agents, affiliates or other persons acting on behalf of the Corporation arising out of or relating to a failure or alleged failure of the Nominating Stockholder or the Nominee to comply with, or any breach or alleged breach of, his, her or its, as applicable, obligations, agreements or representations under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and</w:t>
      </w:r>
    </w:p>
    <w:p>
      <w:pPr>
        <w:spacing w:after="0" w:line="212" w:lineRule="exact"/>
        <w:rPr>
          <w:rFonts w:ascii="Times New Roman" w:cs="Times New Roman" w:eastAsia="Times New Roman" w:hAnsi="Times New Roman"/>
          <w:sz w:val="21"/>
          <w:szCs w:val="21"/>
          <w:color w:val="auto"/>
        </w:rPr>
      </w:pPr>
    </w:p>
    <w:p>
      <w:pPr>
        <w:jc w:val="both"/>
        <w:ind w:left="1240" w:firstLine="627"/>
        <w:spacing w:after="0" w:line="265" w:lineRule="auto"/>
        <w:tabs>
          <w:tab w:leader="none" w:pos="219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w:t>
      </w:r>
    </w:p>
    <w:p>
      <w:pPr>
        <w:spacing w:after="0" w:line="196" w:lineRule="exact"/>
        <w:rPr>
          <w:rFonts w:ascii="Times New Roman" w:cs="Times New Roman" w:eastAsia="Times New Roman" w:hAnsi="Times New Roman"/>
          <w:sz w:val="21"/>
          <w:szCs w:val="21"/>
          <w:color w:val="auto"/>
        </w:rPr>
      </w:pPr>
    </w:p>
    <w:p>
      <w:pPr>
        <w:ind w:left="1620" w:hanging="374"/>
        <w:spacing w:after="0"/>
        <w:tabs>
          <w:tab w:leader="none" w:pos="162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questionnaire, representation and agreement required by Section 3.2(i), completed and signed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Nominee:</w:t>
      </w:r>
    </w:p>
    <w:p>
      <w:pPr>
        <w:spacing w:after="0" w:line="239" w:lineRule="exact"/>
        <w:rPr>
          <w:sz w:val="20"/>
          <w:szCs w:val="20"/>
          <w:color w:val="auto"/>
        </w:rPr>
      </w:pPr>
    </w:p>
    <w:p>
      <w:pPr>
        <w:ind w:left="1240" w:firstLine="627"/>
        <w:spacing w:after="0" w:line="273" w:lineRule="auto"/>
        <w:tabs>
          <w:tab w:leader="none" w:pos="2237"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to the Corporation such other information, including completion of the Corporation’s director questionnaire, as it may reasonably request;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20"/>
          </w:cols>
          <w:pgMar w:left="940" w:top="1440" w:right="339" w:bottom="1440" w:gutter="0" w:footer="0" w:header="0"/>
        </w:sectPr>
      </w:pPr>
    </w:p>
    <w:bookmarkStart w:id="94" w:name="page95"/>
    <w:bookmarkEnd w:id="94"/>
    <w:p>
      <w:pPr>
        <w:ind w:left="2820" w:hanging="333"/>
        <w:spacing w:after="0"/>
        <w:tabs>
          <w:tab w:leader="none" w:pos="282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act as a representative of all of the stockholders of the Corporation while serving as a director;</w:t>
      </w:r>
    </w:p>
    <w:p>
      <w:pPr>
        <w:spacing w:after="0" w:line="250" w:lineRule="exact"/>
        <w:rPr>
          <w:rFonts w:ascii="Times New Roman" w:cs="Times New Roman" w:eastAsia="Times New Roman" w:hAnsi="Times New Roman"/>
          <w:sz w:val="21"/>
          <w:szCs w:val="21"/>
          <w:color w:val="auto"/>
        </w:rPr>
      </w:pPr>
    </w:p>
    <w:p>
      <w:pPr>
        <w:jc w:val="both"/>
        <w:ind w:left="1860" w:firstLine="627"/>
        <w:spacing w:after="0" w:line="265" w:lineRule="auto"/>
        <w:tabs>
          <w:tab w:leader="none" w:pos="281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Nominee has read and agrees, if elected, to serve as a member of the Board, to adhere to the Corporation’s Corporate Governance Guidelines and Code of Business Conduct and Ethics and any other company policies and guidelines applicable to directors;</w:t>
      </w:r>
    </w:p>
    <w:p>
      <w:pPr>
        <w:spacing w:after="0" w:line="196" w:lineRule="exact"/>
        <w:rPr>
          <w:rFonts w:ascii="Times New Roman" w:cs="Times New Roman" w:eastAsia="Times New Roman" w:hAnsi="Times New Roman"/>
          <w:sz w:val="21"/>
          <w:szCs w:val="21"/>
          <w:color w:val="auto"/>
        </w:rPr>
      </w:pPr>
    </w:p>
    <w:p>
      <w:pPr>
        <w:jc w:val="both"/>
        <w:ind w:left="1860" w:firstLine="627"/>
        <w:spacing w:after="0" w:line="251" w:lineRule="auto"/>
        <w:tabs>
          <w:tab w:leader="none" w:pos="285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Nominee is not and will not become a party to (1) any compensatory, payment or other financial agreement, arrangement or understanding with any person or entity in connection with nomination, service or action as a director of the Corporation that has not been disclosed to the Corporation prior to or concurrently with the Nominating Stockholder’s submission of the Nomination Notice, (2) any agreement, arrangement or understanding with any person or entity as to how the Nominee would vote or act on any issue or question as a director (a “</w:t>
      </w:r>
      <w:r>
        <w:rPr>
          <w:rFonts w:ascii="Times New Roman" w:cs="Times New Roman" w:eastAsia="Times New Roman" w:hAnsi="Times New Roman"/>
          <w:sz w:val="21"/>
          <w:szCs w:val="21"/>
          <w:b w:val="1"/>
          <w:bCs w:val="1"/>
          <w:i w:val="1"/>
          <w:iCs w:val="1"/>
          <w:color w:val="auto"/>
        </w:rPr>
        <w:t>Voting Commitment</w:t>
      </w:r>
      <w:r>
        <w:rPr>
          <w:rFonts w:ascii="Times New Roman" w:cs="Times New Roman" w:eastAsia="Times New Roman" w:hAnsi="Times New Roman"/>
          <w:sz w:val="21"/>
          <w:szCs w:val="21"/>
          <w:color w:val="auto"/>
        </w:rPr>
        <w:t>”) that has not been disclosed to the Corporation prior to or concurrently with the Nominating Stockholder’s submission of the Nomination Notice or (3) any Voting Commitment that could limit or interfere with the Nominee’s ability to comply, if elected as a director of the Corporation, with the Nominee’s fiduciary duties under applicable law; and</w:t>
      </w:r>
    </w:p>
    <w:p>
      <w:pPr>
        <w:spacing w:after="0" w:line="210" w:lineRule="exact"/>
        <w:rPr>
          <w:rFonts w:ascii="Times New Roman" w:cs="Times New Roman" w:eastAsia="Times New Roman" w:hAnsi="Times New Roman"/>
          <w:sz w:val="21"/>
          <w:szCs w:val="21"/>
          <w:color w:val="auto"/>
        </w:rPr>
      </w:pPr>
    </w:p>
    <w:p>
      <w:pPr>
        <w:jc w:val="both"/>
        <w:ind w:left="1860" w:firstLine="627"/>
        <w:spacing w:after="0" w:line="258" w:lineRule="auto"/>
        <w:tabs>
          <w:tab w:leader="none" w:pos="28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information and documents required by this </w:t>
      </w:r>
      <w:r>
        <w:rPr>
          <w:rFonts w:ascii="Times New Roman" w:cs="Times New Roman" w:eastAsia="Times New Roman" w:hAnsi="Times New Roman"/>
          <w:sz w:val="21"/>
          <w:szCs w:val="21"/>
          <w:u w:val="single" w:color="auto"/>
          <w:color w:val="auto"/>
        </w:rPr>
        <w:t>Section 3.4(d)</w:t>
      </w:r>
      <w:r>
        <w:rPr>
          <w:rFonts w:ascii="Times New Roman" w:cs="Times New Roman" w:eastAsia="Times New Roman" w:hAnsi="Times New Roman"/>
          <w:sz w:val="21"/>
          <w:szCs w:val="21"/>
          <w:color w:val="auto"/>
        </w:rPr>
        <w:t xml:space="preserve"> shall be: (1) provided with respect to and executed by each group member, in the case of information applicable to group members; and (2)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w:t>
      </w:r>
      <w:r>
        <w:rPr>
          <w:rFonts w:ascii="Times New Roman" w:cs="Times New Roman" w:eastAsia="Times New Roman" w:hAnsi="Times New Roman"/>
          <w:sz w:val="21"/>
          <w:szCs w:val="21"/>
          <w:u w:val="single" w:color="auto"/>
          <w:color w:val="auto"/>
        </w:rPr>
        <w:t>Section 3.4(d)</w:t>
      </w:r>
      <w:r>
        <w:rPr>
          <w:rFonts w:ascii="Times New Roman" w:cs="Times New Roman" w:eastAsia="Times New Roman" w:hAnsi="Times New Roman"/>
          <w:sz w:val="21"/>
          <w:szCs w:val="21"/>
          <w:color w:val="auto"/>
        </w:rPr>
        <w:t xml:space="preserve"> (other than such information and documents contemplated to be provided after the date the Nomination Notice is provided) have been delivered to or, if sent by mail, received by the Secretary of the Corporation.</w:t>
      </w:r>
    </w:p>
    <w:p>
      <w:pPr>
        <w:spacing w:after="0" w:line="212" w:lineRule="exact"/>
        <w:rPr>
          <w:sz w:val="20"/>
          <w:szCs w:val="20"/>
          <w:color w:val="auto"/>
        </w:rPr>
      </w:pPr>
    </w:p>
    <w:p>
      <w:pPr>
        <w:jc w:val="both"/>
        <w:ind w:firstLine="1245"/>
        <w:spacing w:after="0" w:line="254" w:lineRule="auto"/>
        <w:tabs>
          <w:tab w:leader="none" w:pos="153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information or communication provided by the Nominating Stockholder or any Nominee(s) to the Corporation or its stockholders ceases to be true and correct in all material respects or omits a material fact necessary to make the statements made not misleading, each Nominating Stockholder or Nominee, as the case may be, shall promptly (and in any event within 48 hours of discovering such misstatement or omission) notify the Secretary of the Corporation of (i) any defect in such previously provided information and (ii) the information that is required to correct any such defect. In the event that the Nominating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367" w:right="339" w:bottom="1440" w:gutter="0" w:footer="0" w:header="0"/>
        </w:sectPr>
      </w:pPr>
    </w:p>
    <w:bookmarkStart w:id="95" w:name="page96"/>
    <w:bookmarkEnd w:id="95"/>
    <w:p>
      <w:pPr>
        <w:spacing w:after="0" w:line="273" w:lineRule="auto"/>
        <w:rPr>
          <w:sz w:val="20"/>
          <w:szCs w:val="20"/>
          <w:color w:val="auto"/>
        </w:rPr>
      </w:pPr>
      <w:r>
        <w:rPr>
          <w:rFonts w:ascii="Times New Roman" w:cs="Times New Roman" w:eastAsia="Times New Roman" w:hAnsi="Times New Roman"/>
          <w:sz w:val="21"/>
          <w:szCs w:val="21"/>
          <w:color w:val="auto"/>
        </w:rPr>
        <w:t xml:space="preserve">Stockholder (including any group member) has failed to continue to satisfy the eligibility requirements described in </w:t>
      </w:r>
      <w:r>
        <w:rPr>
          <w:rFonts w:ascii="Times New Roman" w:cs="Times New Roman" w:eastAsia="Times New Roman" w:hAnsi="Times New Roman"/>
          <w:sz w:val="21"/>
          <w:szCs w:val="21"/>
          <w:u w:val="single" w:color="auto"/>
          <w:color w:val="auto"/>
        </w:rPr>
        <w:t>Section 3.4(c)</w:t>
      </w:r>
      <w:r>
        <w:rPr>
          <w:rFonts w:ascii="Times New Roman" w:cs="Times New Roman" w:eastAsia="Times New Roman" w:hAnsi="Times New Roman"/>
          <w:sz w:val="21"/>
          <w:szCs w:val="21"/>
          <w:color w:val="auto"/>
        </w:rPr>
        <w:t>, such Nominating Stockholder shall promptly notify the Secretary of the Corporation.</w:t>
      </w:r>
    </w:p>
    <w:p>
      <w:pPr>
        <w:spacing w:after="0" w:line="201" w:lineRule="exact"/>
        <w:rPr>
          <w:sz w:val="20"/>
          <w:szCs w:val="20"/>
          <w:color w:val="auto"/>
        </w:rPr>
      </w:pPr>
    </w:p>
    <w:p>
      <w:pPr>
        <w:jc w:val="both"/>
        <w:ind w:firstLine="1245"/>
        <w:spacing w:after="0" w:line="251" w:lineRule="auto"/>
        <w:tabs>
          <w:tab w:leader="none" w:pos="152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spacing w:after="0" w:line="224" w:lineRule="exact"/>
        <w:rPr>
          <w:rFonts w:ascii="Times New Roman" w:cs="Times New Roman" w:eastAsia="Times New Roman" w:hAnsi="Times New Roman"/>
          <w:sz w:val="21"/>
          <w:szCs w:val="21"/>
          <w:color w:val="auto"/>
        </w:rPr>
      </w:pPr>
    </w:p>
    <w:p>
      <w:pPr>
        <w:ind w:left="620" w:firstLine="1246"/>
        <w:spacing w:after="0" w:line="273" w:lineRule="auto"/>
        <w:tabs>
          <w:tab w:leader="none" w:pos="214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Corporation receives a notice pursuant to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of these Bylaws that a stockholder intends to nominate a candidate for director at the annual meeting;</w:t>
      </w:r>
    </w:p>
    <w:p>
      <w:pPr>
        <w:spacing w:after="0" w:line="187"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16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Nominating Stockholder who has nominated such Nominee has engaged in or is currently engaged in a, or has been or is a “participant” in another person’s, “solicitation” within the meaning of Rule 14a-1(</w:t>
      </w:r>
      <w:r>
        <w:rPr>
          <w:rFonts w:ascii="Times New Roman" w:cs="Times New Roman" w:eastAsia="Times New Roman" w:hAnsi="Times New Roman"/>
          <w:sz w:val="21"/>
          <w:szCs w:val="21"/>
          <w:i w:val="1"/>
          <w:iCs w:val="1"/>
          <w:color w:val="auto"/>
        </w:rPr>
        <w:t>l</w:t>
      </w:r>
      <w:r>
        <w:rPr>
          <w:rFonts w:ascii="Times New Roman" w:cs="Times New Roman" w:eastAsia="Times New Roman" w:hAnsi="Times New Roman"/>
          <w:sz w:val="21"/>
          <w:szCs w:val="21"/>
          <w:color w:val="auto"/>
        </w:rPr>
        <w:t>) under the Exchange Act in support of the election of any individual as a director at the annual meeting other than its Nominee(s) or a nominee of the Board;</w:t>
      </w:r>
    </w:p>
    <w:p>
      <w:pPr>
        <w:spacing w:after="0" w:line="203" w:lineRule="exact"/>
        <w:rPr>
          <w:rFonts w:ascii="Times New Roman" w:cs="Times New Roman" w:eastAsia="Times New Roman" w:hAnsi="Times New Roman"/>
          <w:sz w:val="21"/>
          <w:szCs w:val="21"/>
          <w:color w:val="auto"/>
        </w:rPr>
      </w:pPr>
    </w:p>
    <w:p>
      <w:pPr>
        <w:jc w:val="both"/>
        <w:ind w:left="620" w:firstLine="1246"/>
        <w:spacing w:after="0" w:line="265" w:lineRule="auto"/>
        <w:tabs>
          <w:tab w:leader="none" w:pos="229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the Nominating Stockholder withdraws its nomination;</w:t>
      </w:r>
    </w:p>
    <w:p>
      <w:pPr>
        <w:spacing w:after="0" w:line="196"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2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acting in good faith, determines that such Nominee’s nomination or election to the Board would result in the Corporation violating or failing to be in compliance with these Bylaws or the Corporation’s Certificate of Incorporation or any applicable law, rule or regulation to which the Corporation is subject, including any rules or regulations of any stock exchange on which the Corporation’s securities are traded;</w:t>
      </w:r>
    </w:p>
    <w:p>
      <w:pPr>
        <w:spacing w:after="0" w:line="203" w:lineRule="exact"/>
        <w:rPr>
          <w:rFonts w:ascii="Times New Roman" w:cs="Times New Roman" w:eastAsia="Times New Roman" w:hAnsi="Times New Roman"/>
          <w:sz w:val="21"/>
          <w:szCs w:val="21"/>
          <w:color w:val="auto"/>
        </w:rPr>
      </w:pPr>
    </w:p>
    <w:p>
      <w:pPr>
        <w:jc w:val="both"/>
        <w:ind w:left="620" w:firstLine="1246"/>
        <w:spacing w:after="0" w:line="253" w:lineRule="auto"/>
        <w:tabs>
          <w:tab w:leader="none" w:pos="215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Nominee was nominated for election to the Board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at one of the Corporation’s two preceding annual meetings of stockholders and either withdrew or became ineligible or unavailable for election at such annual meeting or received a vote of less than 25% of the shares of common stock entitled to vote for such Nominee at either such annual meeting;</w:t>
      </w:r>
    </w:p>
    <w:p>
      <w:pPr>
        <w:spacing w:after="0" w:line="223" w:lineRule="exact"/>
        <w:rPr>
          <w:rFonts w:ascii="Times New Roman" w:cs="Times New Roman" w:eastAsia="Times New Roman" w:hAnsi="Times New Roman"/>
          <w:sz w:val="21"/>
          <w:szCs w:val="21"/>
          <w:color w:val="auto"/>
        </w:rPr>
      </w:pPr>
    </w:p>
    <w:p>
      <w:pPr>
        <w:ind w:left="620" w:firstLine="1246"/>
        <w:spacing w:after="0" w:line="273" w:lineRule="auto"/>
        <w:tabs>
          <w:tab w:leader="none" w:pos="224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Nominee has been, within the past three years, an officer or director of a competitor, as defined for purposes of Section 8 of the Clayton Antitrust Act of 1914, as amended;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367" w:right="339" w:bottom="1440" w:gutter="0" w:footer="0" w:header="0"/>
        </w:sectPr>
      </w:pPr>
    </w:p>
    <w:bookmarkStart w:id="96" w:name="page97"/>
    <w:bookmarkEnd w:id="96"/>
    <w:p>
      <w:pPr>
        <w:jc w:val="both"/>
        <w:ind w:left="620" w:firstLine="1246"/>
        <w:spacing w:after="0" w:line="252" w:lineRule="auto"/>
        <w:tabs>
          <w:tab w:leader="none" w:pos="227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Corporation is notified, or the Board or its designee acting in good faith determines, that a Nominating Stockholder has failed to continue to satisfy the eligibility requirements described in </w:t>
      </w:r>
      <w:r>
        <w:rPr>
          <w:rFonts w:ascii="Times New Roman" w:cs="Times New Roman" w:eastAsia="Times New Roman" w:hAnsi="Times New Roman"/>
          <w:sz w:val="21"/>
          <w:szCs w:val="21"/>
          <w:u w:val="single" w:color="auto"/>
          <w:color w:val="auto"/>
        </w:rPr>
        <w:t>Section 3.4(c)</w:t>
      </w:r>
      <w:r>
        <w:rPr>
          <w:rFonts w:ascii="Times New Roman" w:cs="Times New Roman" w:eastAsia="Times New Roman" w:hAnsi="Times New Roman"/>
          <w:sz w:val="21"/>
          <w:szCs w:val="21"/>
          <w:color w:val="auto"/>
        </w:rPr>
        <w:t xml:space="preserve">, any of the representations and warranties made in the Nomination Notice ceases to be true and accurate in all material respects (or omits a material fact necessary to make the statement not misleading), the Nominee becomes unwilling or unable to serve on the Board or any violation or breach occurs of the obligations, agreements, representations or warranties of the Nominating Stockholder or the Nominee under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212" w:lineRule="exact"/>
        <w:rPr>
          <w:rFonts w:ascii="Times New Roman" w:cs="Times New Roman" w:eastAsia="Times New Roman" w:hAnsi="Times New Roman"/>
          <w:sz w:val="21"/>
          <w:szCs w:val="21"/>
          <w:color w:val="auto"/>
        </w:rPr>
      </w:pPr>
    </w:p>
    <w:p>
      <w:pPr>
        <w:jc w:val="both"/>
        <w:ind w:left="620" w:firstLine="1246"/>
        <w:spacing w:after="0" w:line="252" w:lineRule="auto"/>
        <w:tabs>
          <w:tab w:leader="none" w:pos="234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Nominee (A) is not independent under the listing standards of each principal U.S. exchange upon which the common stock of the Corporation is listed, any applicable rules of the Securities and Exchange Commission and any publicly disclosed standards used by the Board in determining and disclosing independence of the Corporation’s directors, in each case as determined by the Board in its sole discretion, or (B) does not qualify as independent under the audit committee independence requirements set forth in the rules of the principal U.S. exchange on which shares of the Corporation are listed or as a “non-employee director” under Exchange Act Rule 16b-3;</w:t>
      </w:r>
    </w:p>
    <w:p>
      <w:pPr>
        <w:spacing w:after="0" w:line="224" w:lineRule="exact"/>
        <w:rPr>
          <w:rFonts w:ascii="Times New Roman" w:cs="Times New Roman" w:eastAsia="Times New Roman" w:hAnsi="Times New Roman"/>
          <w:sz w:val="21"/>
          <w:szCs w:val="21"/>
          <w:color w:val="auto"/>
        </w:rPr>
      </w:pPr>
    </w:p>
    <w:p>
      <w:pPr>
        <w:ind w:left="620" w:firstLine="1246"/>
        <w:spacing w:after="0" w:line="273" w:lineRule="auto"/>
        <w:tabs>
          <w:tab w:leader="none" w:pos="222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Nominee is a named subject of a pending criminal proceeding (excluding traffic violations and other minor misdemeanors) or has been convicted in such a criminal proceeding within the past 10 years; and</w:t>
      </w:r>
    </w:p>
    <w:p>
      <w:pPr>
        <w:spacing w:after="0" w:line="187" w:lineRule="exact"/>
        <w:rPr>
          <w:rFonts w:ascii="Times New Roman" w:cs="Times New Roman" w:eastAsia="Times New Roman" w:hAnsi="Times New Roman"/>
          <w:sz w:val="21"/>
          <w:szCs w:val="21"/>
          <w:color w:val="auto"/>
        </w:rPr>
      </w:pPr>
    </w:p>
    <w:p>
      <w:pPr>
        <w:ind w:left="620" w:firstLine="1246"/>
        <w:spacing w:after="0" w:line="273" w:lineRule="auto"/>
        <w:tabs>
          <w:tab w:leader="none" w:pos="218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Nominee is subject to any order of the type specified in Rule 506(d) of Regulation D promulgated under the Securities Act of 1933, as amended.</w:t>
      </w:r>
    </w:p>
    <w:p>
      <w:pPr>
        <w:spacing w:after="0" w:line="200" w:lineRule="exact"/>
        <w:rPr>
          <w:rFonts w:ascii="Times New Roman" w:cs="Times New Roman" w:eastAsia="Times New Roman" w:hAnsi="Times New Roman"/>
          <w:sz w:val="21"/>
          <w:szCs w:val="21"/>
          <w:color w:val="auto"/>
        </w:rPr>
      </w:pPr>
    </w:p>
    <w:p>
      <w:pPr>
        <w:jc w:val="both"/>
        <w:ind w:firstLine="1245"/>
        <w:spacing w:after="0" w:line="249" w:lineRule="auto"/>
        <w:tabs>
          <w:tab w:leader="none" w:pos="155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the Corporation may omit from its proxy statement, or may supplement or correct, any information, including all or any portion of the statement in support of the Nominee included in the Nomination Notice, if the Board or its designee in good faith determines that (i) such information is not true in all material respects or omits a material statement necessary to make the statements made not misleading, (ii)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(iii) the inclusion of such information in the proxy statement would otherwise violate the SEC proxy rules or any other applicable law, rule or regulation or (iv) the inclusion of such information in the proxy statement would impose a material risk of liability upon the Corporation.</w:t>
      </w:r>
    </w:p>
    <w:p>
      <w:pPr>
        <w:spacing w:after="0" w:line="228" w:lineRule="exact"/>
        <w:rPr>
          <w:rFonts w:ascii="Times New Roman" w:cs="Times New Roman" w:eastAsia="Times New Roman" w:hAnsi="Times New Roman"/>
          <w:sz w:val="21"/>
          <w:szCs w:val="21"/>
          <w:color w:val="auto"/>
        </w:rPr>
      </w:pPr>
    </w:p>
    <w:p>
      <w:pPr>
        <w:ind w:left="1540" w:hanging="295"/>
        <w:spacing w:after="0"/>
        <w:tabs>
          <w:tab w:leader="none" w:pos="15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may solicit against, and include in the proxy statement its own statement relating to, any Nominee.</w:t>
      </w:r>
    </w:p>
    <w:p>
      <w:pPr>
        <w:spacing w:after="0" w:line="261" w:lineRule="exact"/>
        <w:rPr>
          <w:rFonts w:ascii="Times New Roman" w:cs="Times New Roman" w:eastAsia="Times New Roman" w:hAnsi="Times New Roman"/>
          <w:sz w:val="20"/>
          <w:szCs w:val="20"/>
          <w:color w:val="auto"/>
        </w:rPr>
      </w:pPr>
    </w:p>
    <w:p>
      <w:pPr>
        <w:ind w:left="1500" w:hanging="255"/>
        <w:spacing w:after="0"/>
        <w:tabs>
          <w:tab w:leader="none" w:pos="15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shall be the exclusive method for stockholders to include nominees for director in the Corporation’s</w:t>
      </w:r>
    </w:p>
    <w:p>
      <w:pPr>
        <w:spacing w:after="0" w:line="3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67" w:right="339" w:bottom="1440" w:gutter="0" w:footer="0" w:header="0"/>
        </w:sectPr>
      </w:pPr>
    </w:p>
    <w:bookmarkStart w:id="97" w:name="page98"/>
    <w:bookmarkEnd w:id="97"/>
    <w:p>
      <w:pPr>
        <w:jc w:val="both"/>
        <w:ind w:firstLine="1242"/>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Section 3.5 White Proxy Card. </w:t>
      </w:r>
      <w:r>
        <w:rPr>
          <w:rFonts w:ascii="Times New Roman" w:cs="Times New Roman" w:eastAsia="Times New Roman" w:hAnsi="Times New Roman"/>
          <w:sz w:val="21"/>
          <w:szCs w:val="21"/>
          <w:color w:val="auto"/>
        </w:rPr>
        <w:t>Any stockholder directly or indirectly soliciting proxies from other stockholders must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use a proxy card color other than white, which shall be reserved for the exclusive use by the Board.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BOARD MEETINGS</w:t>
      </w:r>
    </w:p>
    <w:p>
      <w:pPr>
        <w:spacing w:after="0" w:line="224"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4.1 Annual Meetings</w:t>
      </w:r>
      <w:r>
        <w:rPr>
          <w:rFonts w:ascii="Times New Roman" w:cs="Times New Roman" w:eastAsia="Times New Roman" w:hAnsi="Times New Roman"/>
          <w:sz w:val="21"/>
          <w:szCs w:val="21"/>
          <w:color w:val="auto"/>
        </w:rPr>
        <w:t>. The Board shall meet as soon as practicable after the adjournment of each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ind w:firstLine="1242"/>
        <w:spacing w:after="0" w:line="275" w:lineRule="auto"/>
        <w:rPr>
          <w:sz w:val="20"/>
          <w:szCs w:val="20"/>
          <w:color w:val="auto"/>
        </w:rPr>
      </w:pPr>
      <w:r>
        <w:rPr>
          <w:rFonts w:ascii="Times New Roman" w:cs="Times New Roman" w:eastAsia="Times New Roman" w:hAnsi="Times New Roman"/>
          <w:sz w:val="21"/>
          <w:szCs w:val="21"/>
          <w:b w:val="1"/>
          <w:bCs w:val="1"/>
          <w:color w:val="auto"/>
        </w:rPr>
        <w:t>Section 4.2 Regular Meetings</w:t>
      </w:r>
      <w:r>
        <w:rPr>
          <w:rFonts w:ascii="Times New Roman" w:cs="Times New Roman" w:eastAsia="Times New Roman" w:hAnsi="Times New Roman"/>
          <w:sz w:val="21"/>
          <w:szCs w:val="21"/>
          <w:color w:val="auto"/>
        </w:rPr>
        <w:t>. Regularly scheduled, periodic meetings of the Board may be held without notice 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times, dates and places as shall from time to time be determined by the Board.</w:t>
      </w:r>
    </w:p>
    <w:p>
      <w:pPr>
        <w:spacing w:after="0" w:line="184" w:lineRule="exact"/>
        <w:rPr>
          <w:sz w:val="20"/>
          <w:szCs w:val="20"/>
          <w:color w:val="auto"/>
        </w:rPr>
      </w:pPr>
    </w:p>
    <w:p>
      <w:pPr>
        <w:jc w:val="both"/>
        <w:ind w:firstLine="1242"/>
        <w:spacing w:after="0" w:line="249" w:lineRule="auto"/>
        <w:rPr>
          <w:sz w:val="20"/>
          <w:szCs w:val="20"/>
          <w:color w:val="auto"/>
        </w:rPr>
      </w:pPr>
      <w:r>
        <w:rPr>
          <w:rFonts w:ascii="Times New Roman" w:cs="Times New Roman" w:eastAsia="Times New Roman" w:hAnsi="Times New Roman"/>
          <w:sz w:val="21"/>
          <w:szCs w:val="21"/>
          <w:b w:val="1"/>
          <w:bCs w:val="1"/>
          <w:color w:val="auto"/>
        </w:rPr>
        <w:t>Section 4.3 Special Meetings</w:t>
      </w:r>
      <w:r>
        <w:rPr>
          <w:rFonts w:ascii="Times New Roman" w:cs="Times New Roman" w:eastAsia="Times New Roman" w:hAnsi="Times New Roman"/>
          <w:sz w:val="21"/>
          <w:szCs w:val="21"/>
          <w:color w:val="auto"/>
        </w:rPr>
        <w:t>. Special meetings of the Board (a) may be called by the Chairman of the Board or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Executive Officer and (b) shall be called by the Chairman of the Board, Chief Executive Officer or Secretary on the written request of at least a majority of directors then in office, or the sole director, as the case may be, and shall be held at such time, date and place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4.4 Quorum; Required Vote</w:t>
      </w:r>
      <w:r>
        <w:rPr>
          <w:rFonts w:ascii="Times New Roman" w:cs="Times New Roman" w:eastAsia="Times New Roman" w:hAnsi="Times New Roman"/>
          <w:sz w:val="21"/>
          <w:szCs w:val="21"/>
          <w:color w:val="auto"/>
        </w:rPr>
        <w:t>. A majority of the Whole Board shall constitute a quorum for the transaction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365" w:right="339" w:bottom="1440" w:gutter="0" w:footer="0" w:header="0"/>
        </w:sectPr>
      </w:pPr>
    </w:p>
    <w:bookmarkStart w:id="98" w:name="page99"/>
    <w:bookmarkEnd w:id="98"/>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4.5 Consent In Lieu of Meeting</w:t>
      </w:r>
      <w:r>
        <w:rPr>
          <w:rFonts w:ascii="Times New Roman" w:cs="Times New Roman" w:eastAsia="Times New Roman" w:hAnsi="Times New Roman"/>
          <w:sz w:val="21"/>
          <w:szCs w:val="21"/>
          <w:color w:val="auto"/>
        </w:rPr>
        <w:t>. Unless otherwise restricted by the Certificate of Incorporation or these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212"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4.6 Organization</w:t>
      </w:r>
      <w:r>
        <w:rPr>
          <w:rFonts w:ascii="Times New Roman" w:cs="Times New Roman" w:eastAsia="Times New Roman" w:hAnsi="Times New Roman"/>
          <w:sz w:val="21"/>
          <w:szCs w:val="21"/>
          <w:color w:val="auto"/>
        </w:rPr>
        <w:t>. The Board shall elect a Chairman of the Board from among the directors. The chairman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COMMITTEES OF DIRECTORS</w:t>
      </w:r>
    </w:p>
    <w:p>
      <w:pPr>
        <w:spacing w:after="0" w:line="237" w:lineRule="exact"/>
        <w:rPr>
          <w:sz w:val="20"/>
          <w:szCs w:val="20"/>
          <w:color w:val="auto"/>
        </w:rPr>
      </w:pPr>
    </w:p>
    <w:p>
      <w:pPr>
        <w:jc w:val="both"/>
        <w:ind w:firstLine="1242"/>
        <w:spacing w:after="0" w:line="254" w:lineRule="auto"/>
        <w:rPr>
          <w:sz w:val="20"/>
          <w:szCs w:val="20"/>
          <w:color w:val="auto"/>
        </w:rPr>
      </w:pPr>
      <w:r>
        <w:rPr>
          <w:rFonts w:ascii="Times New Roman" w:cs="Times New Roman" w:eastAsia="Times New Roman" w:hAnsi="Times New Roman"/>
          <w:sz w:val="21"/>
          <w:szCs w:val="21"/>
          <w:b w:val="1"/>
          <w:bCs w:val="1"/>
          <w:color w:val="auto"/>
        </w:rPr>
        <w:t>Section 5.1 Establishment</w:t>
      </w:r>
      <w:r>
        <w:rPr>
          <w:rFonts w:ascii="Times New Roman" w:cs="Times New Roman" w:eastAsia="Times New Roman" w:hAnsi="Times New Roman"/>
          <w:sz w:val="21"/>
          <w:szCs w:val="21"/>
          <w:color w:val="auto"/>
        </w:rPr>
        <w:t>. The Board may by resolution passed by a majority of the Whole Board designate one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220" w:lineRule="exact"/>
        <w:rPr>
          <w:sz w:val="20"/>
          <w:szCs w:val="20"/>
          <w:color w:val="auto"/>
        </w:rPr>
      </w:pPr>
    </w:p>
    <w:p>
      <w:pPr>
        <w:jc w:val="both"/>
        <w:ind w:firstLine="1242"/>
        <w:spacing w:after="0" w:line="254" w:lineRule="auto"/>
        <w:rPr>
          <w:sz w:val="20"/>
          <w:szCs w:val="20"/>
          <w:color w:val="auto"/>
        </w:rPr>
      </w:pPr>
      <w:r>
        <w:rPr>
          <w:rFonts w:ascii="Times New Roman" w:cs="Times New Roman" w:eastAsia="Times New Roman" w:hAnsi="Times New Roman"/>
          <w:sz w:val="21"/>
          <w:szCs w:val="21"/>
          <w:b w:val="1"/>
          <w:bCs w:val="1"/>
          <w:color w:val="auto"/>
        </w:rPr>
        <w:t>Section 5.2 Available Powers</w:t>
      </w:r>
      <w:r>
        <w:rPr>
          <w:rFonts w:ascii="Times New Roman" w:cs="Times New Roman" w:eastAsia="Times New Roman" w:hAnsi="Times New Roman"/>
          <w:sz w:val="21"/>
          <w:szCs w:val="21"/>
          <w:color w:val="auto"/>
        </w:rPr>
        <w:t>. Any committee established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to the extent permitted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207"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21"/>
          <w:szCs w:val="21"/>
          <w:b w:val="1"/>
          <w:bCs w:val="1"/>
          <w:color w:val="auto"/>
        </w:rPr>
        <w:t>Section 5.3 Alternate Members</w:t>
      </w:r>
      <w:r>
        <w:rPr>
          <w:rFonts w:ascii="Times New Roman" w:cs="Times New Roman" w:eastAsia="Times New Roman" w:hAnsi="Times New Roman"/>
          <w:sz w:val="21"/>
          <w:szCs w:val="21"/>
          <w:color w:val="auto"/>
        </w:rPr>
        <w:t>. The Board may designate one or more directors as alternate members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who may replace any absent or disqualified member at any meeting of such committee.</w:t>
      </w:r>
    </w:p>
    <w:p>
      <w:pPr>
        <w:spacing w:after="0" w:line="173"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5.4 Procedures</w:t>
      </w:r>
      <w:r>
        <w:rPr>
          <w:rFonts w:ascii="Times New Roman" w:cs="Times New Roman" w:eastAsia="Times New Roman" w:hAnsi="Times New Roman"/>
          <w:sz w:val="21"/>
          <w:szCs w:val="21"/>
          <w:color w:val="auto"/>
        </w:rPr>
        <w:t>. Unless the Board otherwise provides, the time, date, place, if any, and notice of meetings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365" w:right="339" w:bottom="1440" w:gutter="0" w:footer="0" w:header="0"/>
        </w:sectPr>
      </w:pPr>
    </w:p>
    <w:bookmarkStart w:id="99" w:name="page100"/>
    <w:bookmarkEnd w:id="99"/>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of these Bylaws.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OFFICERS</w:t>
      </w:r>
    </w:p>
    <w:p>
      <w:pPr>
        <w:spacing w:after="0" w:line="224" w:lineRule="exact"/>
        <w:rPr>
          <w:sz w:val="20"/>
          <w:szCs w:val="20"/>
          <w:color w:val="auto"/>
        </w:rPr>
      </w:pPr>
    </w:p>
    <w:p>
      <w:pPr>
        <w:jc w:val="both"/>
        <w:ind w:firstLine="1242"/>
        <w:spacing w:after="0" w:line="251" w:lineRule="auto"/>
        <w:rPr>
          <w:sz w:val="20"/>
          <w:szCs w:val="20"/>
          <w:color w:val="auto"/>
        </w:rPr>
      </w:pPr>
      <w:r>
        <w:rPr>
          <w:rFonts w:ascii="Times New Roman" w:cs="Times New Roman" w:eastAsia="Times New Roman" w:hAnsi="Times New Roman"/>
          <w:sz w:val="21"/>
          <w:szCs w:val="21"/>
          <w:b w:val="1"/>
          <w:bCs w:val="1"/>
          <w:color w:val="auto"/>
        </w:rPr>
        <w:t>Section 6.1 Officers</w:t>
      </w:r>
      <w:r>
        <w:rPr>
          <w:rFonts w:ascii="Times New Roman" w:cs="Times New Roman" w:eastAsia="Times New Roman" w:hAnsi="Times New Roman"/>
          <w:sz w:val="21"/>
          <w:szCs w:val="21"/>
          <w:color w:val="auto"/>
        </w:rPr>
        <w:t>. The officers of the Corporation elected by the Board may include a Chief Executive Officer,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President, a Treasurer, a 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213" w:lineRule="exact"/>
        <w:rPr>
          <w:sz w:val="20"/>
          <w:szCs w:val="20"/>
          <w:color w:val="auto"/>
        </w:rPr>
      </w:pPr>
    </w:p>
    <w:p>
      <w:pPr>
        <w:jc w:val="both"/>
        <w:ind w:firstLine="1245"/>
        <w:spacing w:after="0" w:line="254" w:lineRule="auto"/>
        <w:tabs>
          <w:tab w:leader="none" w:pos="15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Chief Executive Officer</w:t>
      </w:r>
      <w:r>
        <w:rPr>
          <w:rFonts w:ascii="Times New Roman" w:cs="Times New Roman" w:eastAsia="Times New Roman" w:hAnsi="Times New Roman"/>
          <w:sz w:val="21"/>
          <w:szCs w:val="21"/>
          <w:color w:val="auto"/>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when present at all meetings of the stockholders and (if he or she shall be a director) of the Board.</w:t>
      </w:r>
    </w:p>
    <w:p>
      <w:pPr>
        <w:spacing w:after="0" w:line="209" w:lineRule="exact"/>
        <w:rPr>
          <w:rFonts w:ascii="Times New Roman" w:cs="Times New Roman" w:eastAsia="Times New Roman" w:hAnsi="Times New Roman"/>
          <w:sz w:val="21"/>
          <w:szCs w:val="21"/>
          <w:color w:val="auto"/>
        </w:rPr>
      </w:pPr>
    </w:p>
    <w:p>
      <w:pPr>
        <w:jc w:val="both"/>
        <w:ind w:firstLine="1245"/>
        <w:spacing w:after="0" w:line="258" w:lineRule="auto"/>
        <w:tabs>
          <w:tab w:leader="none" w:pos="15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The President, if any, shall be subject to the direction and control of the Chief Executive Officer and the Board and shall have such powers and duties as the board of directors, or the Chief Executive Officer may assign to the President. In the absence (or inability or refusal to act) of the Chief Executive Officer, the President shall preside when present at all meetings of the stockholders and (if he or she shall be a director) of the Board.</w:t>
      </w:r>
    </w:p>
    <w:p>
      <w:pPr>
        <w:spacing w:after="0" w:line="203" w:lineRule="exact"/>
        <w:rPr>
          <w:rFonts w:ascii="Times New Roman" w:cs="Times New Roman" w:eastAsia="Times New Roman" w:hAnsi="Times New Roman"/>
          <w:sz w:val="21"/>
          <w:szCs w:val="21"/>
          <w:color w:val="auto"/>
        </w:rPr>
      </w:pPr>
    </w:p>
    <w:p>
      <w:pPr>
        <w:jc w:val="both"/>
        <w:ind w:firstLine="1245"/>
        <w:spacing w:after="0" w:line="258" w:lineRule="auto"/>
        <w:tabs>
          <w:tab w:leader="none" w:pos="15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Vice Presidents</w:t>
      </w:r>
      <w:r>
        <w:rPr>
          <w:rFonts w:ascii="Times New Roman" w:cs="Times New Roman" w:eastAsia="Times New Roman" w:hAnsi="Times New Roman"/>
          <w:sz w:val="21"/>
          <w:szCs w:val="21"/>
          <w:color w:val="auto"/>
        </w:rPr>
        <w:t>. In the absence (or inability or refusal to act) of the President, the Vice President (or in the event there be more than one Vice President, the Vice Presidents in the order designated by the Board) shall perform the duties and have the powers of the President.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367" w:right="339" w:bottom="1440" w:gutter="0" w:footer="0" w:header="0"/>
        </w:sectPr>
      </w:pPr>
    </w:p>
    <w:bookmarkStart w:id="100" w:name="page101"/>
    <w:bookmarkEnd w:id="100"/>
    <w:p>
      <w:pPr>
        <w:spacing w:after="0" w:line="273" w:lineRule="auto"/>
        <w:rPr>
          <w:sz w:val="20"/>
          <w:szCs w:val="20"/>
          <w:color w:val="auto"/>
        </w:rPr>
      </w:pPr>
      <w:r>
        <w:rPr>
          <w:rFonts w:ascii="Times New Roman" w:cs="Times New Roman" w:eastAsia="Times New Roman" w:hAnsi="Times New Roman"/>
          <w:sz w:val="21"/>
          <w:szCs w:val="21"/>
          <w:color w:val="auto"/>
        </w:rPr>
        <w:t>Any one or more of the Vice Presidents may be given an additional designation of rank or function. Specifically, Vice Presidents may include Executive Vice Presidents and Senior Vice Presidents.</w:t>
      </w:r>
    </w:p>
    <w:p>
      <w:pPr>
        <w:spacing w:after="0" w:line="201" w:lineRule="exact"/>
        <w:rPr>
          <w:sz w:val="20"/>
          <w:szCs w:val="20"/>
          <w:color w:val="auto"/>
        </w:rPr>
      </w:pPr>
    </w:p>
    <w:p>
      <w:pPr>
        <w:ind w:left="1540" w:hanging="295"/>
        <w:spacing w:after="0"/>
        <w:tabs>
          <w:tab w:leader="none" w:pos="154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w:t>
      </w:r>
    </w:p>
    <w:p>
      <w:pPr>
        <w:spacing w:after="0" w:line="250" w:lineRule="exact"/>
        <w:rPr>
          <w:rFonts w:ascii="Times New Roman" w:cs="Times New Roman" w:eastAsia="Times New Roman" w:hAnsi="Times New Roman"/>
          <w:sz w:val="21"/>
          <w:szCs w:val="21"/>
          <w:color w:val="auto"/>
        </w:rPr>
      </w:pPr>
    </w:p>
    <w:p>
      <w:pPr>
        <w:jc w:val="both"/>
        <w:ind w:left="620" w:firstLine="1246"/>
        <w:spacing w:after="0" w:line="250" w:lineRule="auto"/>
        <w:tabs>
          <w:tab w:leader="none" w:pos="2132"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225" w:lineRule="exact"/>
        <w:rPr>
          <w:rFonts w:ascii="Times New Roman" w:cs="Times New Roman" w:eastAsia="Times New Roman" w:hAnsi="Times New Roman"/>
          <w:sz w:val="21"/>
          <w:szCs w:val="21"/>
          <w:color w:val="auto"/>
        </w:rPr>
      </w:pPr>
    </w:p>
    <w:p>
      <w:pPr>
        <w:jc w:val="both"/>
        <w:ind w:left="620" w:firstLine="1246"/>
        <w:spacing w:after="0" w:line="253" w:lineRule="auto"/>
        <w:tabs>
          <w:tab w:leader="none" w:pos="218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223" w:lineRule="exact"/>
        <w:rPr>
          <w:rFonts w:ascii="Times New Roman" w:cs="Times New Roman" w:eastAsia="Times New Roman" w:hAnsi="Times New Roman"/>
          <w:sz w:val="21"/>
          <w:szCs w:val="21"/>
          <w:color w:val="auto"/>
        </w:rPr>
      </w:pPr>
    </w:p>
    <w:p>
      <w:pPr>
        <w:jc w:val="both"/>
        <w:ind w:firstLine="1245"/>
        <w:spacing w:after="0" w:line="258" w:lineRule="auto"/>
        <w:tabs>
          <w:tab w:leader="none" w:pos="153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Assistant Secretaries</w:t>
      </w:r>
      <w:r>
        <w:rPr>
          <w:rFonts w:ascii="Times New Roman" w:cs="Times New Roman" w:eastAsia="Times New Roman" w:hAnsi="Times New Roman"/>
          <w:sz w:val="21"/>
          <w:szCs w:val="21"/>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204" w:lineRule="exact"/>
        <w:rPr>
          <w:rFonts w:ascii="Times New Roman" w:cs="Times New Roman" w:eastAsia="Times New Roman" w:hAnsi="Times New Roman"/>
          <w:sz w:val="21"/>
          <w:szCs w:val="21"/>
          <w:color w:val="auto"/>
        </w:rPr>
      </w:pPr>
    </w:p>
    <w:p>
      <w:pPr>
        <w:jc w:val="both"/>
        <w:ind w:firstLine="1245"/>
        <w:spacing w:after="0" w:line="258" w:lineRule="auto"/>
        <w:tabs>
          <w:tab w:leader="none" w:pos="15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 The Treasurer shall perform all duties commonly incident to that office (including, without limitation, the care and custody of the funds and securities of the Corporation which from time to time may come into the Treasurer’s hands and the deposit of the funds of the Corporation in such banks or trust companies as the Board, the Chief Executive Officer or the President may authorize).</w:t>
      </w:r>
    </w:p>
    <w:p>
      <w:pPr>
        <w:spacing w:after="0" w:line="203" w:lineRule="exact"/>
        <w:rPr>
          <w:rFonts w:ascii="Times New Roman" w:cs="Times New Roman" w:eastAsia="Times New Roman" w:hAnsi="Times New Roman"/>
          <w:sz w:val="21"/>
          <w:szCs w:val="21"/>
          <w:color w:val="auto"/>
        </w:rPr>
      </w:pPr>
    </w:p>
    <w:p>
      <w:pPr>
        <w:jc w:val="both"/>
        <w:ind w:firstLine="1245"/>
        <w:spacing w:after="0" w:line="265" w:lineRule="auto"/>
        <w:tabs>
          <w:tab w:leader="none" w:pos="153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Assistant Treasurers</w:t>
      </w:r>
      <w:r>
        <w:rPr>
          <w:rFonts w:ascii="Times New Roman" w:cs="Times New Roman" w:eastAsia="Times New Roman" w:hAnsi="Times New Roman"/>
          <w:sz w:val="21"/>
          <w:szCs w:val="21"/>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94"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6.2 Term of Office; Removal; Vacancies</w:t>
      </w:r>
      <w:r>
        <w:rPr>
          <w:rFonts w:ascii="Times New Roman" w:cs="Times New Roman" w:eastAsia="Times New Roman" w:hAnsi="Times New Roman"/>
          <w:sz w:val="21"/>
          <w:szCs w:val="21"/>
          <w:color w:val="auto"/>
        </w:rPr>
        <w:t>. The elected officers of the Corporation shall be elected annually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at its first meeting held after each annual meeting of stockholders. All officers elected by the Board shall hold office until the next annual meeting of the Board and until their successors are duly elected and qualified or until their earlier death, resignation, retirement, disqualification, or removal from office. Any officer may be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367" w:right="339" w:bottom="1440" w:gutter="0" w:footer="0" w:header="0"/>
        </w:sectPr>
      </w:pPr>
    </w:p>
    <w:bookmarkStart w:id="101" w:name="page102"/>
    <w:bookmarkEnd w:id="101"/>
    <w:p>
      <w:pPr>
        <w:jc w:val="both"/>
        <w:spacing w:after="0" w:line="252" w:lineRule="auto"/>
        <w:rPr>
          <w:sz w:val="20"/>
          <w:szCs w:val="20"/>
          <w:color w:val="auto"/>
        </w:rPr>
      </w:pPr>
      <w:r>
        <w:rPr>
          <w:rFonts w:ascii="Times New Roman" w:cs="Times New Roman" w:eastAsia="Times New Roman" w:hAnsi="Times New Roman"/>
          <w:sz w:val="21"/>
          <w:szCs w:val="21"/>
          <w:color w:val="auto"/>
        </w:rPr>
        <w:t>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210"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21"/>
          <w:szCs w:val="21"/>
          <w:b w:val="1"/>
          <w:bCs w:val="1"/>
          <w:color w:val="auto"/>
        </w:rPr>
        <w:t>Section 6.3 Other Officers</w:t>
      </w:r>
      <w:r>
        <w:rPr>
          <w:rFonts w:ascii="Times New Roman" w:cs="Times New Roman" w:eastAsia="Times New Roman" w:hAnsi="Times New Roman"/>
          <w:sz w:val="21"/>
          <w:szCs w:val="21"/>
          <w:color w:val="auto"/>
        </w:rPr>
        <w:t>. The Board may delegate the power to appoint such other officers and agents, and may also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remove such officers and agents or delegate the power to remove same, as it shall from time to time deem necessary or desirable.</w:t>
      </w:r>
    </w:p>
    <w:p>
      <w:pPr>
        <w:spacing w:after="0" w:line="173" w:lineRule="exact"/>
        <w:rPr>
          <w:sz w:val="20"/>
          <w:szCs w:val="20"/>
          <w:color w:val="auto"/>
        </w:rPr>
      </w:pPr>
    </w:p>
    <w:p>
      <w:pPr>
        <w:jc w:val="both"/>
        <w:ind w:firstLine="1242"/>
        <w:spacing w:after="0" w:line="259" w:lineRule="auto"/>
        <w:rPr>
          <w:sz w:val="20"/>
          <w:szCs w:val="20"/>
          <w:color w:val="auto"/>
        </w:rPr>
      </w:pPr>
      <w:r>
        <w:rPr>
          <w:rFonts w:ascii="Times New Roman" w:cs="Times New Roman" w:eastAsia="Times New Roman" w:hAnsi="Times New Roman"/>
          <w:sz w:val="21"/>
          <w:szCs w:val="21"/>
          <w:b w:val="1"/>
          <w:bCs w:val="1"/>
          <w:color w:val="auto"/>
        </w:rPr>
        <w:t>Section 6.4 Multiple Officeholders; Stockholder and Director Officers</w:t>
      </w:r>
      <w:r>
        <w:rPr>
          <w:rFonts w:ascii="Times New Roman" w:cs="Times New Roman" w:eastAsia="Times New Roman" w:hAnsi="Times New Roman"/>
          <w:sz w:val="21"/>
          <w:szCs w:val="21"/>
          <w:color w:val="auto"/>
        </w:rPr>
        <w:t>. Any number of offices may be held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same person, unless the Certificate of Incorporation or these Bylaws otherwise provide. Officers need not be stockholders or residents of the State of Delaware.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SHARES</w:t>
      </w:r>
    </w:p>
    <w:p>
      <w:pPr>
        <w:spacing w:after="0" w:line="224" w:lineRule="exact"/>
        <w:rPr>
          <w:sz w:val="20"/>
          <w:szCs w:val="20"/>
          <w:color w:val="auto"/>
        </w:rPr>
      </w:pPr>
    </w:p>
    <w:p>
      <w:pPr>
        <w:jc w:val="both"/>
        <w:ind w:firstLine="1242"/>
        <w:spacing w:after="0" w:line="251" w:lineRule="auto"/>
        <w:rPr>
          <w:sz w:val="20"/>
          <w:szCs w:val="20"/>
          <w:color w:val="auto"/>
        </w:rPr>
      </w:pPr>
      <w:r>
        <w:rPr>
          <w:rFonts w:ascii="Times New Roman" w:cs="Times New Roman" w:eastAsia="Times New Roman" w:hAnsi="Times New Roman"/>
          <w:sz w:val="21"/>
          <w:szCs w:val="21"/>
          <w:b w:val="1"/>
          <w:bCs w:val="1"/>
          <w:color w:val="auto"/>
        </w:rPr>
        <w:t>Section 7.1 Certificated and Uncertificated Shares</w:t>
      </w:r>
      <w:r>
        <w:rPr>
          <w:rFonts w:ascii="Times New Roman" w:cs="Times New Roman" w:eastAsia="Times New Roman" w:hAnsi="Times New Roman"/>
          <w:sz w:val="21"/>
          <w:szCs w:val="21"/>
          <w:color w:val="auto"/>
        </w:rPr>
        <w:t>. The shares of the Corporation shall be represented by certificates,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representing the number of shares registered in certificate form. The Corporation shall not have power to issue a certificate representing shares in bearer form.</w:t>
      </w:r>
    </w:p>
    <w:p>
      <w:pPr>
        <w:spacing w:after="0" w:line="224" w:lineRule="exact"/>
        <w:rPr>
          <w:sz w:val="20"/>
          <w:szCs w:val="20"/>
          <w:color w:val="auto"/>
        </w:rPr>
      </w:pPr>
    </w:p>
    <w:p>
      <w:pPr>
        <w:jc w:val="both"/>
        <w:ind w:firstLine="1242"/>
        <w:spacing w:after="0" w:line="249" w:lineRule="auto"/>
        <w:rPr>
          <w:sz w:val="20"/>
          <w:szCs w:val="20"/>
          <w:color w:val="auto"/>
        </w:rPr>
      </w:pPr>
      <w:r>
        <w:rPr>
          <w:rFonts w:ascii="Times New Roman" w:cs="Times New Roman" w:eastAsia="Times New Roman" w:hAnsi="Times New Roman"/>
          <w:sz w:val="21"/>
          <w:szCs w:val="21"/>
          <w:b w:val="1"/>
          <w:bCs w:val="1"/>
          <w:color w:val="auto"/>
        </w:rPr>
        <w:t>Section 7.2 Multiple Classes of Stock</w:t>
      </w:r>
      <w:r>
        <w:rPr>
          <w:rFonts w:ascii="Times New Roman" w:cs="Times New Roman" w:eastAsia="Times New Roman" w:hAnsi="Times New Roman"/>
          <w:sz w:val="21"/>
          <w:szCs w:val="21"/>
          <w:color w:val="auto"/>
        </w:rPr>
        <w:t>. If the Corporation shall be authorized to issue more than one class of stock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than one series of any class, the Corporation shall (a) 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367" w:right="339" w:bottom="1440" w:gutter="0" w:footer="0" w:header="0"/>
        </w:sectPr>
      </w:pPr>
    </w:p>
    <w:bookmarkStart w:id="102" w:name="page103"/>
    <w:bookmarkEnd w:id="102"/>
    <w:p>
      <w:pPr>
        <w:jc w:val="both"/>
        <w:spacing w:after="0" w:line="273" w:lineRule="auto"/>
        <w:rPr>
          <w:sz w:val="20"/>
          <w:szCs w:val="20"/>
          <w:color w:val="auto"/>
        </w:rPr>
      </w:pPr>
      <w:r>
        <w:rPr>
          <w:rFonts w:ascii="Times New Roman" w:cs="Times New Roman" w:eastAsia="Times New Roman" w:hAnsi="Times New Roman"/>
          <w:sz w:val="21"/>
          <w:szCs w:val="21"/>
          <w:color w:val="auto"/>
        </w:rPr>
        <w:t>other special rights of each class of stock or series thereof and the qualifications, limitations or restrictions of such preferences or rights.</w:t>
      </w:r>
    </w:p>
    <w:p>
      <w:pPr>
        <w:spacing w:after="0" w:line="199"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7.3 Signatures</w:t>
      </w:r>
      <w:r>
        <w:rPr>
          <w:rFonts w:ascii="Times New Roman" w:cs="Times New Roman" w:eastAsia="Times New Roman" w:hAnsi="Times New Roman"/>
          <w:sz w:val="21"/>
          <w:szCs w:val="21"/>
          <w:color w:val="auto"/>
        </w:rPr>
        <w:t>. Each certificate representing capital stock of the Corporation shall be signed by or in the name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Corporation by (a) the Chief Executive Officer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2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7.4 Consideration and Payment for Shares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58" w:lineRule="auto"/>
        <w:tabs>
          <w:tab w:leader="none" w:pos="153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benefit to the Corporation including cash, promissory notes, services performed, contracts for services to be performed or other securities.</w:t>
      </w:r>
    </w:p>
    <w:p>
      <w:pPr>
        <w:spacing w:after="0" w:line="203" w:lineRule="exact"/>
        <w:rPr>
          <w:rFonts w:ascii="Times New Roman" w:cs="Times New Roman" w:eastAsia="Times New Roman" w:hAnsi="Times New Roman"/>
          <w:sz w:val="21"/>
          <w:szCs w:val="21"/>
          <w:color w:val="auto"/>
        </w:rPr>
      </w:pPr>
    </w:p>
    <w:p>
      <w:pPr>
        <w:jc w:val="both"/>
        <w:ind w:firstLine="1245"/>
        <w:spacing w:after="0" w:line="254" w:lineRule="auto"/>
        <w:tabs>
          <w:tab w:leader="none" w:pos="154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7.5 Lost, Destroyed or Wrongfully Taken Certificates</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firstLine="1245"/>
        <w:spacing w:after="0" w:line="251" w:lineRule="auto"/>
        <w:tabs>
          <w:tab w:leader="none" w:pos="154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211" w:lineRule="exact"/>
        <w:rPr>
          <w:rFonts w:ascii="Times New Roman" w:cs="Times New Roman" w:eastAsia="Times New Roman" w:hAnsi="Times New Roman"/>
          <w:sz w:val="21"/>
          <w:szCs w:val="21"/>
          <w:color w:val="auto"/>
        </w:rPr>
      </w:pPr>
    </w:p>
    <w:p>
      <w:pPr>
        <w:jc w:val="both"/>
        <w:ind w:firstLine="1245"/>
        <w:spacing w:after="0" w:line="265" w:lineRule="auto"/>
        <w:tabs>
          <w:tab w:leader="none" w:pos="155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367" w:right="339" w:bottom="1440" w:gutter="0" w:footer="0" w:header="0"/>
        </w:sectPr>
      </w:pPr>
    </w:p>
    <w:bookmarkStart w:id="103" w:name="page104"/>
    <w:bookmarkEnd w:id="103"/>
    <w:p>
      <w:pPr>
        <w:jc w:val="both"/>
        <w:spacing w:after="0" w:line="258" w:lineRule="auto"/>
        <w:rPr>
          <w:sz w:val="20"/>
          <w:szCs w:val="20"/>
          <w:color w:val="auto"/>
        </w:rPr>
      </w:pPr>
      <w:r>
        <w:rPr>
          <w:rFonts w:ascii="Times New Roman" w:cs="Times New Roman" w:eastAsia="Times New Roman" w:hAnsi="Times New Roman"/>
          <w:sz w:val="21"/>
          <w:szCs w:val="21"/>
          <w:color w:val="auto"/>
        </w:rPr>
        <w:t>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b w:val="1"/>
          <w:bCs w:val="1"/>
          <w:color w:val="auto"/>
        </w:rPr>
        <w:t>Section 7.6 Transfer of Stock</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245"/>
        <w:spacing w:after="0" w:line="258" w:lineRule="auto"/>
        <w:tabs>
          <w:tab w:leader="none" w:pos="154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w:t>
      </w:r>
    </w:p>
    <w:p>
      <w:pPr>
        <w:spacing w:after="0" w:line="217" w:lineRule="exact"/>
        <w:rPr>
          <w:rFonts w:ascii="Times New Roman" w:cs="Times New Roman" w:eastAsia="Times New Roman" w:hAnsi="Times New Roman"/>
          <w:sz w:val="21"/>
          <w:szCs w:val="21"/>
          <w:color w:val="auto"/>
        </w:rPr>
      </w:pPr>
    </w:p>
    <w:p>
      <w:pPr>
        <w:ind w:left="2120" w:hanging="254"/>
        <w:spacing w:after="0"/>
        <w:tabs>
          <w:tab w:leader="none" w:pos="212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certificated shares, the certificate representing such shares has been surrendered;</w:t>
      </w:r>
    </w:p>
    <w:p>
      <w:pPr>
        <w:spacing w:after="0" w:line="250"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17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with respect to certificated shares, the indorsement is made by the person specified by the certificate as entitled to such shares; (B) 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w:t>
      </w:r>
    </w:p>
    <w:p>
      <w:pPr>
        <w:spacing w:after="0" w:line="203" w:lineRule="exact"/>
        <w:rPr>
          <w:rFonts w:ascii="Times New Roman" w:cs="Times New Roman" w:eastAsia="Times New Roman" w:hAnsi="Times New Roman"/>
          <w:sz w:val="21"/>
          <w:szCs w:val="21"/>
          <w:color w:val="auto"/>
        </w:rPr>
      </w:pPr>
    </w:p>
    <w:p>
      <w:pPr>
        <w:jc w:val="both"/>
        <w:ind w:left="620" w:firstLine="1246"/>
        <w:spacing w:after="0" w:line="258" w:lineRule="auto"/>
        <w:tabs>
          <w:tab w:leader="none" w:pos="223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has received a guarantee of signature of the person signing such indorsement or instruction or such other reasonable assurance that the indorsement or instruction is genuine and authorized as the Corporation may request;</w:t>
      </w:r>
    </w:p>
    <w:p>
      <w:pPr>
        <w:spacing w:after="0" w:line="217" w:lineRule="exact"/>
        <w:rPr>
          <w:rFonts w:ascii="Times New Roman" w:cs="Times New Roman" w:eastAsia="Times New Roman" w:hAnsi="Times New Roman"/>
          <w:sz w:val="21"/>
          <w:szCs w:val="21"/>
          <w:color w:val="auto"/>
        </w:rPr>
      </w:pPr>
    </w:p>
    <w:p>
      <w:pPr>
        <w:ind w:left="620" w:firstLine="1246"/>
        <w:spacing w:after="0" w:line="273" w:lineRule="auto"/>
        <w:tabs>
          <w:tab w:leader="none" w:pos="223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transfer does not violate any restriction on transfer imposed by the Corporation that is enforceable in accordance with </w:t>
      </w:r>
      <w:r>
        <w:rPr>
          <w:rFonts w:ascii="Times New Roman" w:cs="Times New Roman" w:eastAsia="Times New Roman" w:hAnsi="Times New Roman"/>
          <w:sz w:val="21"/>
          <w:szCs w:val="21"/>
          <w:u w:val="single" w:color="auto"/>
          <w:color w:val="auto"/>
        </w:rPr>
        <w:t>Section 7.8(a)</w:t>
      </w:r>
      <w:r>
        <w:rPr>
          <w:rFonts w:ascii="Times New Roman" w:cs="Times New Roman" w:eastAsia="Times New Roman" w:hAnsi="Times New Roman"/>
          <w:sz w:val="21"/>
          <w:szCs w:val="21"/>
          <w:color w:val="auto"/>
        </w:rPr>
        <w:t>; and</w:t>
      </w:r>
    </w:p>
    <w:p>
      <w:pPr>
        <w:spacing w:after="0" w:line="187" w:lineRule="exact"/>
        <w:rPr>
          <w:rFonts w:ascii="Times New Roman" w:cs="Times New Roman" w:eastAsia="Times New Roman" w:hAnsi="Times New Roman"/>
          <w:sz w:val="21"/>
          <w:szCs w:val="21"/>
          <w:color w:val="auto"/>
        </w:rPr>
      </w:pPr>
    </w:p>
    <w:p>
      <w:pPr>
        <w:ind w:left="2160" w:hanging="294"/>
        <w:spacing w:after="0"/>
        <w:tabs>
          <w:tab w:leader="none" w:pos="216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conditions for such transfer as shall be provided for under applicable law have been satisfied.</w:t>
      </w:r>
    </w:p>
    <w:p>
      <w:pPr>
        <w:spacing w:after="0" w:line="263" w:lineRule="exact"/>
        <w:rPr>
          <w:rFonts w:ascii="Times New Roman" w:cs="Times New Roman" w:eastAsia="Times New Roman" w:hAnsi="Times New Roman"/>
          <w:sz w:val="21"/>
          <w:szCs w:val="21"/>
          <w:color w:val="auto"/>
        </w:rPr>
      </w:pPr>
    </w:p>
    <w:p>
      <w:pPr>
        <w:jc w:val="both"/>
        <w:ind w:firstLine="1245"/>
        <w:spacing w:after="0" w:line="253" w:lineRule="auto"/>
        <w:tabs>
          <w:tab w:leader="none" w:pos="155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222"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7.7 Registered Stockholders</w:t>
      </w:r>
      <w:r>
        <w:rPr>
          <w:rFonts w:ascii="Times New Roman" w:cs="Times New Roman" w:eastAsia="Times New Roman" w:hAnsi="Times New Roman"/>
          <w:sz w:val="21"/>
          <w:szCs w:val="21"/>
          <w:color w:val="auto"/>
        </w:rPr>
        <w:t>. Before due presentment for registration of transfer of a certificate representing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367" w:right="339" w:bottom="1440" w:gutter="0" w:footer="0" w:header="0"/>
        </w:sectPr>
      </w:pPr>
    </w:p>
    <w:bookmarkStart w:id="104" w:name="page105"/>
    <w:bookmarkEnd w:id="104"/>
    <w:p>
      <w:pPr>
        <w:spacing w:after="0" w:line="273" w:lineRule="auto"/>
        <w:rPr>
          <w:sz w:val="20"/>
          <w:szCs w:val="20"/>
          <w:color w:val="auto"/>
        </w:rPr>
      </w:pPr>
      <w:r>
        <w:rPr>
          <w:rFonts w:ascii="Times New Roman" w:cs="Times New Roman" w:eastAsia="Times New Roman" w:hAnsi="Times New Roman"/>
          <w:sz w:val="21"/>
          <w:szCs w:val="21"/>
          <w:color w:val="auto"/>
        </w:rPr>
        <w:t>ownership of such shares and satisfying such other conditions as are provided under applicable law, may also so inspect the books and records of the Corporation.</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7.8 Effect of the Corporation’s Restriction on Transfer</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245"/>
        <w:spacing w:after="0" w:line="252" w:lineRule="auto"/>
        <w:tabs>
          <w:tab w:leader="none" w:pos="152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212" w:lineRule="exact"/>
        <w:rPr>
          <w:rFonts w:ascii="Times New Roman" w:cs="Times New Roman" w:eastAsia="Times New Roman" w:hAnsi="Times New Roman"/>
          <w:sz w:val="21"/>
          <w:szCs w:val="21"/>
          <w:color w:val="auto"/>
        </w:rPr>
      </w:pPr>
    </w:p>
    <w:p>
      <w:pPr>
        <w:jc w:val="both"/>
        <w:ind w:firstLine="1245"/>
        <w:spacing w:after="0" w:line="254" w:lineRule="auto"/>
        <w:tabs>
          <w:tab w:leader="none" w:pos="155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spacing w:after="0" w:line="208"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7.9 Regulations</w:t>
      </w:r>
      <w:r>
        <w:rPr>
          <w:rFonts w:ascii="Times New Roman" w:cs="Times New Roman" w:eastAsia="Times New Roman" w:hAnsi="Times New Roman"/>
          <w:sz w:val="21"/>
          <w:szCs w:val="21"/>
          <w:color w:val="auto"/>
        </w:rPr>
        <w:t>. The Board shall have power and authority to make such additional rules and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w:t>
      </w:r>
    </w:p>
    <w:p>
      <w:pPr>
        <w:spacing w:after="0" w:line="236" w:lineRule="exact"/>
        <w:rPr>
          <w:sz w:val="20"/>
          <w:szCs w:val="20"/>
          <w:color w:val="auto"/>
        </w:rPr>
      </w:pPr>
    </w:p>
    <w:p>
      <w:pPr>
        <w:jc w:val="both"/>
        <w:ind w:firstLine="1242"/>
        <w:spacing w:after="0" w:line="250" w:lineRule="auto"/>
        <w:rPr>
          <w:sz w:val="20"/>
          <w:szCs w:val="20"/>
          <w:color w:val="auto"/>
        </w:rPr>
      </w:pPr>
      <w:r>
        <w:rPr>
          <w:rFonts w:ascii="Times New Roman" w:cs="Times New Roman" w:eastAsia="Times New Roman" w:hAnsi="Times New Roman"/>
          <w:sz w:val="21"/>
          <w:szCs w:val="21"/>
          <w:b w:val="1"/>
          <w:bCs w:val="1"/>
          <w:color w:val="auto"/>
        </w:rPr>
        <w:t>Section 8.1 Right to Indemnification</w:t>
      </w:r>
      <w:r>
        <w:rPr>
          <w:rFonts w:ascii="Times New Roman" w:cs="Times New Roman" w:eastAsia="Times New Roman" w:hAnsi="Times New Roman"/>
          <w:sz w:val="21"/>
          <w:szCs w:val="21"/>
          <w:color w:val="auto"/>
        </w:rPr>
        <w:t>. Each person who was or is made a party or is threatened to be made a party to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otherwise involved in any threatened, pending or completed action, suit or proceeding, whether civil, criminal, administrative or investigative (hereinafter a “</w:t>
      </w:r>
      <w:r>
        <w:rPr>
          <w:rFonts w:ascii="Times New Roman" w:cs="Times New Roman" w:eastAsia="Times New Roman" w:hAnsi="Times New Roman"/>
          <w:sz w:val="21"/>
          <w:szCs w:val="21"/>
          <w:b w:val="1"/>
          <w:bCs w:val="1"/>
          <w:i w:val="1"/>
          <w:iCs w:val="1"/>
          <w:color w:val="auto"/>
        </w:rPr>
        <w:t>proceeding</w:t>
      </w:r>
      <w:r>
        <w:rPr>
          <w:rFonts w:ascii="Times New Roman" w:cs="Times New Roman" w:eastAsia="Times New Roman" w:hAnsi="Times New Roman"/>
          <w:sz w:val="21"/>
          <w:szCs w:val="21"/>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whether the basis of such proceeding is alleged action in an official capacity as a director, officer, employee or agent, or in any other capacity while serving as a director, officer, employee or agent, shall be indemnified and held harmless by the Corporation to the fullest extent permitted by applicable law, as the same exists or may hereafter be amended, against all expenses, liability and loss (including, without limitation, attorneys’ fees, judgments, fines, ERISA excise taxes and penalties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367" w:right="339" w:bottom="1440" w:gutter="0" w:footer="0" w:header="0"/>
        </w:sectPr>
      </w:pPr>
    </w:p>
    <w:bookmarkStart w:id="105" w:name="page106"/>
    <w:bookmarkEnd w:id="105"/>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amounts paid in settlement) reasonably incurred or suffered by such Covered Person in connection with such proceeding; provided, however, that, except as provided in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with respect to proceedings to enforce rights to indemnification and advancement of expenses, the Corporation shall indemnify a Covered Person in connection with a proceeding (or part thereof) initiated by such Covered Person only if such proceeding (or part thereof) was authorized by the Board.</w:t>
      </w:r>
    </w:p>
    <w:p>
      <w:pPr>
        <w:spacing w:after="0" w:line="201" w:lineRule="exact"/>
        <w:rPr>
          <w:sz w:val="20"/>
          <w:szCs w:val="20"/>
          <w:color w:val="auto"/>
        </w:rPr>
      </w:pPr>
    </w:p>
    <w:p>
      <w:pPr>
        <w:jc w:val="both"/>
        <w:ind w:firstLine="1242"/>
        <w:spacing w:after="0" w:line="263" w:lineRule="auto"/>
        <w:rPr>
          <w:sz w:val="20"/>
          <w:szCs w:val="20"/>
          <w:color w:val="auto"/>
        </w:rPr>
      </w:pPr>
      <w:r>
        <w:rPr>
          <w:rFonts w:ascii="Times New Roman" w:cs="Times New Roman" w:eastAsia="Times New Roman" w:hAnsi="Times New Roman"/>
          <w:sz w:val="20"/>
          <w:szCs w:val="20"/>
          <w:b w:val="1"/>
          <w:bCs w:val="1"/>
          <w:color w:val="auto"/>
        </w:rPr>
        <w:t>Section 8.2 Right to Advancement of Expenses</w:t>
      </w:r>
      <w:r>
        <w:rPr>
          <w:rFonts w:ascii="Times New Roman" w:cs="Times New Roman" w:eastAsia="Times New Roman" w:hAnsi="Times New Roman"/>
          <w:sz w:val="20"/>
          <w:szCs w:val="20"/>
          <w:color w:val="auto"/>
        </w:rPr>
        <w:t>. In addition to the right to indemnification conferred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Covered Person shall also have the right to be paid by the Corporation the expenses (including, without limitation, attorneys’ fees) incurred in defending, testifying, or otherwise participating in any such proceeding in advance of its final disposition (hereinafter an “</w:t>
      </w:r>
      <w:r>
        <w:rPr>
          <w:rFonts w:ascii="Times New Roman" w:cs="Times New Roman" w:eastAsia="Times New Roman" w:hAnsi="Times New Roman"/>
          <w:sz w:val="20"/>
          <w:szCs w:val="20"/>
          <w:b w:val="1"/>
          <w:bCs w:val="1"/>
          <w:i w:val="1"/>
          <w:iCs w:val="1"/>
          <w:color w:val="auto"/>
        </w:rPr>
        <w:t>advancement of expenses</w:t>
      </w:r>
      <w:r>
        <w:rPr>
          <w:rFonts w:ascii="Times New Roman" w:cs="Times New Roman" w:eastAsia="Times New Roman" w:hAnsi="Times New Roman"/>
          <w:sz w:val="20"/>
          <w:szCs w:val="20"/>
          <w:color w:val="auto"/>
        </w:rPr>
        <w:t>”); provided, however, that, if the DGCL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Times New Roman" w:cs="Times New Roman" w:eastAsia="Times New Roman" w:hAnsi="Times New Roman"/>
          <w:sz w:val="20"/>
          <w:szCs w:val="20"/>
          <w:b w:val="1"/>
          <w:bCs w:val="1"/>
          <w:i w:val="1"/>
          <w:iCs w:val="1"/>
          <w:color w:val="auto"/>
        </w:rPr>
        <w:t>undertaking</w:t>
      </w:r>
      <w:r>
        <w:rPr>
          <w:rFonts w:ascii="Times New Roman" w:cs="Times New Roman" w:eastAsia="Times New Roman" w:hAnsi="Times New Roman"/>
          <w:sz w:val="20"/>
          <w:szCs w:val="20"/>
          <w:color w:val="auto"/>
        </w:rPr>
        <w:t>”), by or on behalf of such Covered Person, to repay all amounts so advanced if it shall ultimately be determined by final judicial decision from which there is no further right to appeal (hereinafter a “</w:t>
      </w:r>
      <w:r>
        <w:rPr>
          <w:rFonts w:ascii="Times New Roman" w:cs="Times New Roman" w:eastAsia="Times New Roman" w:hAnsi="Times New Roman"/>
          <w:sz w:val="20"/>
          <w:szCs w:val="20"/>
          <w:b w:val="1"/>
          <w:bCs w:val="1"/>
          <w:i w:val="1"/>
          <w:iCs w:val="1"/>
          <w:color w:val="auto"/>
        </w:rPr>
        <w:t>final adjudication</w:t>
      </w:r>
      <w:r>
        <w:rPr>
          <w:rFonts w:ascii="Times New Roman" w:cs="Times New Roman" w:eastAsia="Times New Roman" w:hAnsi="Times New Roman"/>
          <w:sz w:val="20"/>
          <w:szCs w:val="20"/>
          <w:color w:val="auto"/>
        </w:rPr>
        <w:t xml:space="preserve">”) that such Covered Person is not entitled to be indemnified for such expenses under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w:t>
      </w:r>
    </w:p>
    <w:p>
      <w:pPr>
        <w:spacing w:after="0" w:line="215" w:lineRule="exact"/>
        <w:rPr>
          <w:sz w:val="20"/>
          <w:szCs w:val="20"/>
          <w:color w:val="auto"/>
        </w:rPr>
      </w:pPr>
    </w:p>
    <w:p>
      <w:pPr>
        <w:jc w:val="both"/>
        <w:ind w:firstLine="1242"/>
        <w:spacing w:after="0" w:line="248" w:lineRule="auto"/>
        <w:rPr>
          <w:sz w:val="20"/>
          <w:szCs w:val="20"/>
          <w:color w:val="auto"/>
        </w:rPr>
      </w:pPr>
      <w:r>
        <w:rPr>
          <w:rFonts w:ascii="Times New Roman" w:cs="Times New Roman" w:eastAsia="Times New Roman" w:hAnsi="Times New Roman"/>
          <w:sz w:val="21"/>
          <w:szCs w:val="21"/>
          <w:b w:val="1"/>
          <w:bCs w:val="1"/>
          <w:color w:val="auto"/>
        </w:rPr>
        <w:t>Section 8.3 Right of Indemnitee to Bring Suit</w:t>
      </w:r>
      <w:r>
        <w:rPr>
          <w:rFonts w:ascii="Times New Roman" w:cs="Times New Roman" w:eastAsia="Times New Roman" w:hAnsi="Times New Roman"/>
          <w:sz w:val="21"/>
          <w:szCs w:val="21"/>
          <w:color w:val="auto"/>
        </w:rPr>
        <w:t>. If a claim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not paid in full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367"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otherwise shall be on the Corporation.</w:t>
      </w:r>
    </w:p>
    <w:p>
      <w:pPr>
        <w:spacing w:after="0" w:line="215" w:lineRule="exact"/>
        <w:rPr>
          <w:sz w:val="20"/>
          <w:szCs w:val="20"/>
          <w:color w:val="auto"/>
        </w:rPr>
      </w:pPr>
    </w:p>
    <w:p>
      <w:pPr>
        <w:jc w:val="both"/>
        <w:ind w:firstLine="1242"/>
        <w:spacing w:after="0" w:line="259" w:lineRule="auto"/>
        <w:rPr>
          <w:sz w:val="20"/>
          <w:szCs w:val="20"/>
          <w:color w:val="auto"/>
        </w:rPr>
      </w:pPr>
      <w:r>
        <w:rPr>
          <w:rFonts w:ascii="Times New Roman" w:cs="Times New Roman" w:eastAsia="Times New Roman" w:hAnsi="Times New Roman"/>
          <w:sz w:val="21"/>
          <w:szCs w:val="21"/>
          <w:b w:val="1"/>
          <w:bCs w:val="1"/>
          <w:color w:val="auto"/>
        </w:rPr>
        <w:t>Section 8.4 Non-Exclusivity of Rights</w:t>
      </w:r>
      <w:r>
        <w:rPr>
          <w:rFonts w:ascii="Times New Roman" w:cs="Times New Roman" w:eastAsia="Times New Roman" w:hAnsi="Times New Roman"/>
          <w:sz w:val="21"/>
          <w:szCs w:val="21"/>
          <w:color w:val="auto"/>
        </w:rPr>
        <w:t>. The rights provided to Covered Persons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exclusive of any other right that any Covered Person may have or hereafter acquire under applicable law, the Certificate of Incorporation, these Bylaws, an agreement, a vote of stockholders or disinterested directors, or otherwise.</w:t>
      </w:r>
    </w:p>
    <w:p>
      <w:pPr>
        <w:spacing w:after="0" w:line="214" w:lineRule="exact"/>
        <w:rPr>
          <w:sz w:val="20"/>
          <w:szCs w:val="20"/>
          <w:color w:val="auto"/>
        </w:rPr>
      </w:pPr>
    </w:p>
    <w:p>
      <w:pPr>
        <w:jc w:val="both"/>
        <w:ind w:firstLine="1242"/>
        <w:spacing w:after="0" w:line="254" w:lineRule="auto"/>
        <w:rPr>
          <w:sz w:val="20"/>
          <w:szCs w:val="20"/>
          <w:color w:val="auto"/>
        </w:rPr>
      </w:pPr>
      <w:r>
        <w:rPr>
          <w:rFonts w:ascii="Times New Roman" w:cs="Times New Roman" w:eastAsia="Times New Roman" w:hAnsi="Times New Roman"/>
          <w:sz w:val="21"/>
          <w:szCs w:val="21"/>
          <w:b w:val="1"/>
          <w:bCs w:val="1"/>
          <w:color w:val="auto"/>
        </w:rPr>
        <w:t>Section 8.5 Insurance</w:t>
      </w:r>
      <w:r>
        <w:rPr>
          <w:rFonts w:ascii="Times New Roman" w:cs="Times New Roman" w:eastAsia="Times New Roman" w:hAnsi="Times New Roman"/>
          <w:sz w:val="21"/>
          <w:szCs w:val="21"/>
          <w:color w:val="auto"/>
        </w:rPr>
        <w:t>. The Corporation may maintain insurance, at its expense, to protect itself and/or any director,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employee or agent of the Corporation or another corporation, partnership, joint venture, trust, other enterprise or nonprofit entity against any expense, liability or loss, whether or not the Corporation would have the power to indemnify such person against such expense, liability or loss under the DGCL.</w:t>
      </w:r>
    </w:p>
    <w:p>
      <w:pPr>
        <w:spacing w:after="0" w:line="207" w:lineRule="exact"/>
        <w:rPr>
          <w:sz w:val="20"/>
          <w:szCs w:val="20"/>
          <w:color w:val="auto"/>
        </w:rPr>
      </w:pPr>
    </w:p>
    <w:p>
      <w:pPr>
        <w:jc w:val="both"/>
        <w:ind w:firstLine="1242"/>
        <w:spacing w:after="0" w:line="253" w:lineRule="auto"/>
        <w:rPr>
          <w:sz w:val="20"/>
          <w:szCs w:val="20"/>
          <w:color w:val="auto"/>
        </w:rPr>
      </w:pPr>
      <w:r>
        <w:rPr>
          <w:rFonts w:ascii="Times New Roman" w:cs="Times New Roman" w:eastAsia="Times New Roman" w:hAnsi="Times New Roman"/>
          <w:sz w:val="21"/>
          <w:szCs w:val="21"/>
          <w:b w:val="1"/>
          <w:bCs w:val="1"/>
          <w:color w:val="auto"/>
        </w:rPr>
        <w:t>Section 8.6 Indemnification of Other Persons</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limit the right of the Corporation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extent and in the manner permitted by law to indemnify and to advance expenses to persons other than Covered Persons.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with respect to the indemnification and advancement of expenses of Covered Persons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8.7 Amendments</w:t>
      </w:r>
      <w:r>
        <w:rPr>
          <w:rFonts w:ascii="Times New Roman" w:cs="Times New Roman" w:eastAsia="Times New Roman" w:hAnsi="Times New Roman"/>
          <w:sz w:val="21"/>
          <w:szCs w:val="21"/>
          <w:color w:val="auto"/>
        </w:rPr>
        <w:t>. Any repeal or amendment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Board or the stockholders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Corporation or by changes in applicable law, or the adoption of any other provision of these Bylaws inconsistent with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212" w:lineRule="exact"/>
        <w:rPr>
          <w:sz w:val="20"/>
          <w:szCs w:val="20"/>
          <w:color w:val="auto"/>
        </w:rPr>
      </w:pPr>
    </w:p>
    <w:p>
      <w:pPr>
        <w:jc w:val="both"/>
        <w:ind w:firstLine="1242"/>
        <w:spacing w:after="0" w:line="268" w:lineRule="auto"/>
        <w:rPr>
          <w:sz w:val="20"/>
          <w:szCs w:val="20"/>
          <w:color w:val="auto"/>
        </w:rPr>
      </w:pPr>
      <w:r>
        <w:rPr>
          <w:rFonts w:ascii="Times New Roman" w:cs="Times New Roman" w:eastAsia="Times New Roman" w:hAnsi="Times New Roman"/>
          <w:sz w:val="20"/>
          <w:szCs w:val="20"/>
          <w:b w:val="1"/>
          <w:bCs w:val="1"/>
          <w:color w:val="auto"/>
        </w:rPr>
        <w:t>Section 8.8 Certain Definitions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 references to “other enterprise” shall include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 (b) 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367" w:right="339" w:bottom="1440" w:gutter="0" w:footer="0" w:header="0"/>
        </w:sectPr>
      </w:pPr>
    </w:p>
    <w:bookmarkStart w:id="107" w:name="page108"/>
    <w:bookmarkEnd w:id="107"/>
    <w:p>
      <w:pPr>
        <w:spacing w:after="0" w:line="171" w:lineRule="exact"/>
        <w:rPr>
          <w:sz w:val="20"/>
          <w:szCs w:val="20"/>
          <w:color w:val="auto"/>
        </w:rPr>
      </w:pPr>
    </w:p>
    <w:p>
      <w:pPr>
        <w:jc w:val="both"/>
        <w:ind w:firstLine="1242"/>
        <w:spacing w:after="0" w:line="251" w:lineRule="auto"/>
        <w:rPr>
          <w:sz w:val="20"/>
          <w:szCs w:val="20"/>
          <w:color w:val="auto"/>
        </w:rPr>
      </w:pPr>
      <w:r>
        <w:rPr>
          <w:rFonts w:ascii="Times New Roman" w:cs="Times New Roman" w:eastAsia="Times New Roman" w:hAnsi="Times New Roman"/>
          <w:sz w:val="21"/>
          <w:szCs w:val="21"/>
          <w:b w:val="1"/>
          <w:bCs w:val="1"/>
          <w:color w:val="auto"/>
        </w:rPr>
        <w:t>Section 8.9 Contract Rights</w:t>
      </w:r>
      <w:r>
        <w:rPr>
          <w:rFonts w:ascii="Times New Roman" w:cs="Times New Roman" w:eastAsia="Times New Roman" w:hAnsi="Times New Roman"/>
          <w:sz w:val="21"/>
          <w:szCs w:val="21"/>
          <w:color w:val="auto"/>
        </w:rPr>
        <w:t>. The rights provided to Covered Persons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shall be contract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rights based upon good and valuable consideration, pursuant to which a Covered Person may bring suit as if the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(d) shall continue as to a Covered Person who has ceased to be a director or officer of the Corporation and (e) shall inure to the benefit of the Covered Person’s heirs, executors and administrators.</w:t>
      </w:r>
    </w:p>
    <w:p>
      <w:pPr>
        <w:spacing w:after="0" w:line="224" w:lineRule="exact"/>
        <w:rPr>
          <w:sz w:val="20"/>
          <w:szCs w:val="20"/>
          <w:color w:val="auto"/>
        </w:rPr>
      </w:pPr>
    </w:p>
    <w:p>
      <w:pPr>
        <w:jc w:val="both"/>
        <w:ind w:firstLine="1242"/>
        <w:spacing w:after="0" w:line="251" w:lineRule="auto"/>
        <w:rPr>
          <w:sz w:val="20"/>
          <w:szCs w:val="20"/>
          <w:color w:val="auto"/>
        </w:rPr>
      </w:pPr>
      <w:r>
        <w:rPr>
          <w:rFonts w:ascii="Times New Roman" w:cs="Times New Roman" w:eastAsia="Times New Roman" w:hAnsi="Times New Roman"/>
          <w:sz w:val="21"/>
          <w:szCs w:val="21"/>
          <w:b w:val="1"/>
          <w:bCs w:val="1"/>
          <w:color w:val="auto"/>
        </w:rPr>
        <w:t>Section 8.10 Severability</w:t>
      </w:r>
      <w:r>
        <w:rPr>
          <w:rFonts w:ascii="Times New Roman" w:cs="Times New Roman" w:eastAsia="Times New Roman" w:hAnsi="Times New Roman"/>
          <w:sz w:val="21"/>
          <w:szCs w:val="21"/>
          <w:color w:val="auto"/>
        </w:rPr>
        <w:t>. If any provision or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held to be invalid, illegal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unenforceable for any reason whatsoever: (a) the validity, legality and enforceability of the remaining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shall not in any way be affected or impaired thereby; and (b) to the fullest extent possible, the provisions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(including, without limitation, each such portion of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containing any such provision held to be invalid, illegal or unenforceable) shall be construed so as to give effect to the intent manifested by the provision held invalid, illegal or unenforceable.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24"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9.1 Place of Meetings</w:t>
      </w:r>
      <w:r>
        <w:rPr>
          <w:rFonts w:ascii="Times New Roman" w:cs="Times New Roman" w:eastAsia="Times New Roman" w:hAnsi="Times New Roman"/>
          <w:sz w:val="21"/>
          <w:szCs w:val="21"/>
          <w:color w:val="auto"/>
        </w:rPr>
        <w:t>. If the place of any meeting of stockholders, the Board or committee of the Board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xml:space="preserve"> hereof, then such meeting shall not be held at any place.</w:t>
      </w:r>
    </w:p>
    <w:p>
      <w:pPr>
        <w:spacing w:after="0" w:line="2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9.2 Fixing Record Dates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64" w:lineRule="auto"/>
        <w:tabs>
          <w:tab w:leader="none" w:pos="152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440"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21"/>
          <w:szCs w:val="21"/>
          <w:u w:val="single" w:color="auto"/>
          <w:color w:val="auto"/>
        </w:rPr>
        <w:t>Section 9.2(a)</w:t>
      </w:r>
      <w:r>
        <w:rPr>
          <w:rFonts w:ascii="Times New Roman" w:cs="Times New Roman" w:eastAsia="Times New Roman" w:hAnsi="Times New Roman"/>
          <w:sz w:val="21"/>
          <w:szCs w:val="21"/>
          <w:color w:val="auto"/>
        </w:rPr>
        <w:t xml:space="preserve"> at the adjourned meeting.</w:t>
      </w:r>
    </w:p>
    <w:p>
      <w:pPr>
        <w:spacing w:after="0" w:line="217" w:lineRule="exact"/>
        <w:rPr>
          <w:sz w:val="20"/>
          <w:szCs w:val="20"/>
          <w:color w:val="auto"/>
        </w:rPr>
      </w:pPr>
    </w:p>
    <w:p>
      <w:pPr>
        <w:jc w:val="both"/>
        <w:ind w:firstLine="1245"/>
        <w:spacing w:after="0" w:line="252" w:lineRule="auto"/>
        <w:tabs>
          <w:tab w:leader="none" w:pos="155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212" w:lineRule="exact"/>
        <w:rPr>
          <w:rFonts w:ascii="Times New Roman" w:cs="Times New Roman" w:eastAsia="Times New Roman" w:hAnsi="Times New Roman"/>
          <w:sz w:val="21"/>
          <w:szCs w:val="21"/>
          <w:color w:val="auto"/>
        </w:rPr>
      </w:pPr>
    </w:p>
    <w:p>
      <w:pPr>
        <w:jc w:val="both"/>
        <w:ind w:firstLine="1245"/>
        <w:spacing w:after="0" w:line="249" w:lineRule="auto"/>
        <w:tabs>
          <w:tab w:leader="none" w:pos="155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spacing w:after="0" w:line="2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9.3 Means of Giving Notice</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jc w:val="both"/>
        <w:ind w:firstLine="1245"/>
        <w:spacing w:after="0" w:line="248" w:lineRule="auto"/>
        <w:tabs>
          <w:tab w:leader="none" w:pos="154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Directors</w:t>
      </w:r>
      <w:r>
        <w:rPr>
          <w:rFonts w:ascii="Times New Roman" w:cs="Times New Roman" w:eastAsia="Times New Roman" w:hAnsi="Times New Roman"/>
          <w:sz w:val="21"/>
          <w:szCs w:val="21"/>
          <w:color w:val="auto"/>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367"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21"/>
          <w:szCs w:val="21"/>
          <w:color w:val="auto"/>
        </w:rPr>
        <w:t>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217" w:lineRule="exact"/>
        <w:rPr>
          <w:sz w:val="20"/>
          <w:szCs w:val="20"/>
          <w:color w:val="auto"/>
        </w:rPr>
      </w:pPr>
    </w:p>
    <w:p>
      <w:pPr>
        <w:jc w:val="both"/>
        <w:ind w:firstLine="1245"/>
        <w:spacing w:after="0" w:line="248" w:lineRule="auto"/>
        <w:tabs>
          <w:tab w:leader="none" w:pos="154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Stockholders</w:t>
      </w:r>
      <w:r>
        <w:rPr>
          <w:rFonts w:ascii="Times New Roman" w:cs="Times New Roman" w:eastAsia="Times New Roman" w:hAnsi="Times New Roman"/>
          <w:sz w:val="21"/>
          <w:szCs w:val="21"/>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Each document enclosed with or annexed or appended to a notice will be deemed to be a part of such notice for purposes of the foregoing.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214" w:lineRule="exact"/>
        <w:rPr>
          <w:rFonts w:ascii="Times New Roman" w:cs="Times New Roman" w:eastAsia="Times New Roman" w:hAnsi="Times New Roman"/>
          <w:sz w:val="21"/>
          <w:szCs w:val="21"/>
          <w:color w:val="auto"/>
        </w:rPr>
      </w:pPr>
    </w:p>
    <w:p>
      <w:pPr>
        <w:jc w:val="both"/>
        <w:ind w:firstLine="1245"/>
        <w:spacing w:after="0" w:line="255" w:lineRule="auto"/>
        <w:tabs>
          <w:tab w:leader="none" w:pos="153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Transmission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Electronic transmission</w:t>
      </w:r>
      <w:r>
        <w:rPr>
          <w:rFonts w:ascii="Times New Roman" w:cs="Times New Roman" w:eastAsia="Times New Roman" w:hAnsi="Times New Roman"/>
          <w:sz w:val="21"/>
          <w:szCs w:val="21"/>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219" w:lineRule="exact"/>
        <w:rPr>
          <w:rFonts w:ascii="Times New Roman" w:cs="Times New Roman" w:eastAsia="Times New Roman" w:hAnsi="Times New Roman"/>
          <w:sz w:val="21"/>
          <w:szCs w:val="21"/>
          <w:color w:val="auto"/>
        </w:rPr>
      </w:pPr>
    </w:p>
    <w:p>
      <w:pPr>
        <w:jc w:val="both"/>
        <w:ind w:firstLine="1245"/>
        <w:spacing w:after="0" w:line="258" w:lineRule="auto"/>
        <w:tabs>
          <w:tab w:leader="none" w:pos="153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Stockholders Sharing Same Address</w:t>
      </w:r>
      <w:r>
        <w:rPr>
          <w:rFonts w:ascii="Times New Roman" w:cs="Times New Roman" w:eastAsia="Times New Roman" w:hAnsi="Times New Roman"/>
          <w:sz w:val="21"/>
          <w:szCs w:val="21"/>
          <w:color w:val="auto"/>
        </w:rPr>
        <w:t>. Without limiting the manner by which notice otherwise may be given effectively by the Corporation to stockholders, any notice to stockholders given by the Corporation under any provision of the DGCL, the Certificate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367"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21"/>
          <w:szCs w:val="21"/>
          <w:color w:val="auto"/>
        </w:rPr>
        <w:t>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210" w:lineRule="exact"/>
        <w:rPr>
          <w:sz w:val="20"/>
          <w:szCs w:val="20"/>
          <w:color w:val="auto"/>
        </w:rPr>
      </w:pPr>
    </w:p>
    <w:p>
      <w:pPr>
        <w:jc w:val="both"/>
        <w:ind w:firstLine="1245"/>
        <w:spacing w:after="0" w:line="251" w:lineRule="auto"/>
        <w:tabs>
          <w:tab w:leader="none" w:pos="153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 to Notice Requirements</w:t>
      </w:r>
      <w:r>
        <w:rPr>
          <w:rFonts w:ascii="Times New Roman" w:cs="Times New Roman" w:eastAsia="Times New Roman" w:hAnsi="Times New Roman"/>
          <w:sz w:val="21"/>
          <w:szCs w:val="21"/>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224" w:lineRule="exact"/>
        <w:rPr>
          <w:sz w:val="20"/>
          <w:szCs w:val="20"/>
          <w:color w:val="auto"/>
        </w:rPr>
      </w:pPr>
    </w:p>
    <w:p>
      <w:pPr>
        <w:jc w:val="both"/>
        <w:ind w:firstLine="1242"/>
        <w:spacing w:after="0" w:line="248" w:lineRule="auto"/>
        <w:rPr>
          <w:sz w:val="20"/>
          <w:szCs w:val="20"/>
          <w:color w:val="auto"/>
        </w:rPr>
      </w:pPr>
      <w:r>
        <w:rPr>
          <w:rFonts w:ascii="Times New Roman" w:cs="Times New Roman" w:eastAsia="Times New Roman" w:hAnsi="Times New Roman"/>
          <w:sz w:val="21"/>
          <w:szCs w:val="21"/>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221" w:lineRule="exact"/>
        <w:rPr>
          <w:sz w:val="20"/>
          <w:szCs w:val="20"/>
          <w:color w:val="auto"/>
        </w:rPr>
      </w:pPr>
    </w:p>
    <w:p>
      <w:pPr>
        <w:jc w:val="both"/>
        <w:ind w:firstLine="1242"/>
        <w:spacing w:after="0" w:line="255" w:lineRule="auto"/>
        <w:rPr>
          <w:sz w:val="20"/>
          <w:szCs w:val="20"/>
          <w:color w:val="auto"/>
        </w:rPr>
      </w:pPr>
      <w:r>
        <w:rPr>
          <w:rFonts w:ascii="Times New Roman" w:cs="Times New Roman" w:eastAsia="Times New Roman" w:hAnsi="Times New Roman"/>
          <w:sz w:val="21"/>
          <w:szCs w:val="21"/>
          <w:b w:val="1"/>
          <w:bCs w:val="1"/>
          <w:color w:val="auto"/>
        </w:rPr>
        <w:t>Section 9.4 Waiver of Notice</w:t>
      </w:r>
      <w:r>
        <w:rPr>
          <w:rFonts w:ascii="Times New Roman" w:cs="Times New Roman" w:eastAsia="Times New Roman" w:hAnsi="Times New Roman"/>
          <w:sz w:val="21"/>
          <w:szCs w:val="21"/>
          <w:color w:val="auto"/>
        </w:rPr>
        <w:t>. Whenever any notice is required to be given under applicable law, the Certificate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367" w:right="339" w:bottom="1440" w:gutter="0" w:footer="0" w:header="0"/>
        </w:sectPr>
      </w:pPr>
    </w:p>
    <w:bookmarkStart w:id="111" w:name="page112"/>
    <w:bookmarkEnd w:id="111"/>
    <w:p>
      <w:pPr>
        <w:spacing w:after="0" w:line="273" w:lineRule="auto"/>
        <w:rPr>
          <w:sz w:val="20"/>
          <w:szCs w:val="20"/>
          <w:color w:val="auto"/>
        </w:rPr>
      </w:pPr>
      <w:r>
        <w:rPr>
          <w:rFonts w:ascii="Times New Roman" w:cs="Times New Roman" w:eastAsia="Times New Roman" w:hAnsi="Times New Roman"/>
          <w:sz w:val="21"/>
          <w:szCs w:val="21"/>
          <w:color w:val="auto"/>
        </w:rPr>
        <w:t>where a person attends for the express purpose of objecting to the transaction of any business on the ground that the meeting was not lawfully called or convened.</w:t>
      </w:r>
    </w:p>
    <w:p>
      <w:pPr>
        <w:spacing w:after="0" w:line="1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9.5 Meeting Attendance via Remote Communication Equipment</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firstLine="1245"/>
        <w:spacing w:after="0" w:line="258" w:lineRule="auto"/>
        <w:tabs>
          <w:tab w:leader="none" w:pos="157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Meetings</w:t>
      </w:r>
      <w:r>
        <w:rPr>
          <w:rFonts w:ascii="Times New Roman" w:cs="Times New Roman" w:eastAsia="Times New Roman" w:hAnsi="Times New Roman"/>
          <w:sz w:val="21"/>
          <w:szCs w:val="21"/>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217" w:lineRule="exact"/>
        <w:rPr>
          <w:rFonts w:ascii="Times New Roman" w:cs="Times New Roman" w:eastAsia="Times New Roman" w:hAnsi="Times New Roman"/>
          <w:sz w:val="21"/>
          <w:szCs w:val="21"/>
          <w:color w:val="auto"/>
        </w:rPr>
      </w:pPr>
    </w:p>
    <w:p>
      <w:pPr>
        <w:ind w:left="2120" w:hanging="254"/>
        <w:spacing w:after="0"/>
        <w:tabs>
          <w:tab w:leader="none" w:pos="212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participate in a meeting of stockholders; and</w:t>
      </w:r>
    </w:p>
    <w:p>
      <w:pPr>
        <w:spacing w:after="0" w:line="250" w:lineRule="exact"/>
        <w:rPr>
          <w:rFonts w:ascii="Times New Roman" w:cs="Times New Roman" w:eastAsia="Times New Roman" w:hAnsi="Times New Roman"/>
          <w:sz w:val="21"/>
          <w:szCs w:val="21"/>
          <w:color w:val="auto"/>
        </w:rPr>
      </w:pPr>
    </w:p>
    <w:p>
      <w:pPr>
        <w:jc w:val="both"/>
        <w:ind w:left="620" w:firstLine="1246"/>
        <w:spacing w:after="0" w:line="250" w:lineRule="auto"/>
        <w:tabs>
          <w:tab w:leader="none" w:pos="2178"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2" w:lineRule="exact"/>
        <w:rPr>
          <w:rFonts w:ascii="Times New Roman" w:cs="Times New Roman" w:eastAsia="Times New Roman" w:hAnsi="Times New Roman"/>
          <w:sz w:val="21"/>
          <w:szCs w:val="21"/>
          <w:color w:val="auto"/>
        </w:rPr>
      </w:pPr>
    </w:p>
    <w:p>
      <w:pPr>
        <w:ind w:left="620" w:firstLine="4"/>
        <w:spacing w:after="0" w:line="249" w:lineRule="auto"/>
        <w:tabs>
          <w:tab w:leader="none" w:pos="94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stockholder or proxyholder votes or takes other action at the meeting by means of remote communication, a record of such votes or other action shall be maintained by the Corporation.</w:t>
      </w:r>
    </w:p>
    <w:p>
      <w:pPr>
        <w:spacing w:after="0" w:line="225" w:lineRule="exact"/>
        <w:rPr>
          <w:rFonts w:ascii="Times New Roman" w:cs="Times New Roman" w:eastAsia="Times New Roman" w:hAnsi="Times New Roman"/>
          <w:sz w:val="21"/>
          <w:szCs w:val="21"/>
          <w:color w:val="auto"/>
        </w:rPr>
      </w:pPr>
    </w:p>
    <w:p>
      <w:pPr>
        <w:jc w:val="both"/>
        <w:ind w:firstLine="1245"/>
        <w:spacing w:after="0" w:line="252" w:lineRule="auto"/>
        <w:tabs>
          <w:tab w:leader="none" w:pos="154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Meetings</w:t>
      </w:r>
      <w:r>
        <w:rPr>
          <w:rFonts w:ascii="Times New Roman" w:cs="Times New Roman" w:eastAsia="Times New Roman" w:hAnsi="Times New Roman"/>
          <w:sz w:val="21"/>
          <w:szCs w:val="21"/>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210" w:lineRule="exact"/>
        <w:rPr>
          <w:sz w:val="20"/>
          <w:szCs w:val="20"/>
          <w:color w:val="auto"/>
        </w:rPr>
      </w:pPr>
    </w:p>
    <w:p>
      <w:pPr>
        <w:jc w:val="both"/>
        <w:ind w:firstLine="1242"/>
        <w:spacing w:after="0" w:line="259" w:lineRule="auto"/>
        <w:rPr>
          <w:sz w:val="20"/>
          <w:szCs w:val="20"/>
          <w:color w:val="auto"/>
        </w:rPr>
      </w:pPr>
      <w:r>
        <w:rPr>
          <w:rFonts w:ascii="Times New Roman" w:cs="Times New Roman" w:eastAsia="Times New Roman" w:hAnsi="Times New Roman"/>
          <w:sz w:val="21"/>
          <w:szCs w:val="21"/>
          <w:b w:val="1"/>
          <w:bCs w:val="1"/>
          <w:color w:val="auto"/>
        </w:rPr>
        <w:t>Section 9.6 Dividends</w:t>
      </w:r>
      <w:r>
        <w:rPr>
          <w:rFonts w:ascii="Times New Roman" w:cs="Times New Roman" w:eastAsia="Times New Roman" w:hAnsi="Times New Roman"/>
          <w:sz w:val="21"/>
          <w:szCs w:val="21"/>
          <w:color w:val="auto"/>
        </w:rPr>
        <w:t>. The Board may from time to time declare, and the Corporation may pay, dividends (payable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property or shares of the Corporation’s capital stock) on the Corporation’s outstanding shares of capital stock, subject to applicable law and the Certificate of Incorporation.</w:t>
      </w:r>
    </w:p>
    <w:p>
      <w:pPr>
        <w:spacing w:after="0" w:line="214" w:lineRule="exact"/>
        <w:rPr>
          <w:sz w:val="20"/>
          <w:szCs w:val="20"/>
          <w:color w:val="auto"/>
        </w:rPr>
      </w:pPr>
    </w:p>
    <w:p>
      <w:pPr>
        <w:jc w:val="both"/>
        <w:ind w:firstLine="1242"/>
        <w:spacing w:after="0" w:line="275" w:lineRule="auto"/>
        <w:rPr>
          <w:sz w:val="20"/>
          <w:szCs w:val="20"/>
          <w:color w:val="auto"/>
        </w:rPr>
      </w:pPr>
      <w:r>
        <w:rPr>
          <w:rFonts w:ascii="Times New Roman" w:cs="Times New Roman" w:eastAsia="Times New Roman" w:hAnsi="Times New Roman"/>
          <w:sz w:val="21"/>
          <w:szCs w:val="21"/>
          <w:b w:val="1"/>
          <w:bCs w:val="1"/>
          <w:color w:val="auto"/>
        </w:rPr>
        <w:t>Section 9.7 Reserves</w:t>
      </w:r>
      <w:r>
        <w:rPr>
          <w:rFonts w:ascii="Times New Roman" w:cs="Times New Roman" w:eastAsia="Times New Roman" w:hAnsi="Times New Roman"/>
          <w:sz w:val="21"/>
          <w:szCs w:val="21"/>
          <w:color w:val="auto"/>
        </w:rPr>
        <w:t>. The Board may set apart out of the funds of the Corporation available for dividends a reserve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reserves for any proper purpose and may abolish any such reserve.</w:t>
      </w:r>
    </w:p>
    <w:p>
      <w:pPr>
        <w:spacing w:after="0" w:line="184" w:lineRule="exact"/>
        <w:rPr>
          <w:sz w:val="20"/>
          <w:szCs w:val="20"/>
          <w:color w:val="auto"/>
        </w:rPr>
      </w:pPr>
    </w:p>
    <w:p>
      <w:pPr>
        <w:jc w:val="both"/>
        <w:ind w:firstLine="1242"/>
        <w:spacing w:after="0" w:line="287" w:lineRule="auto"/>
        <w:rPr>
          <w:sz w:val="20"/>
          <w:szCs w:val="20"/>
          <w:color w:val="auto"/>
        </w:rPr>
      </w:pPr>
      <w:r>
        <w:rPr>
          <w:rFonts w:ascii="Times New Roman" w:cs="Times New Roman" w:eastAsia="Times New Roman" w:hAnsi="Times New Roman"/>
          <w:sz w:val="21"/>
          <w:szCs w:val="21"/>
          <w:b w:val="1"/>
          <w:bCs w:val="1"/>
          <w:color w:val="auto"/>
        </w:rPr>
        <w:t>Section 9.8 Contracts and Negotiable Instruments</w:t>
      </w:r>
      <w:r>
        <w:rPr>
          <w:rFonts w:ascii="Times New Roman" w:cs="Times New Roman" w:eastAsia="Times New Roman" w:hAnsi="Times New Roman"/>
          <w:sz w:val="21"/>
          <w:szCs w:val="21"/>
          <w:color w:val="auto"/>
        </w:rPr>
        <w:t>. Except as otherwise provided by applicable law, the Certificate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Incorporation or these Bylaws, any contract, bond,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367" w:right="339" w:bottom="1440" w:gutter="0" w:footer="0" w:header="0"/>
        </w:sectPr>
      </w:pPr>
    </w:p>
    <w:bookmarkStart w:id="112" w:name="page113"/>
    <w:bookmarkEnd w:id="112"/>
    <w:p>
      <w:pPr>
        <w:jc w:val="both"/>
        <w:spacing w:after="0" w:line="264" w:lineRule="auto"/>
        <w:rPr>
          <w:sz w:val="20"/>
          <w:szCs w:val="20"/>
          <w:color w:val="auto"/>
        </w:rPr>
      </w:pPr>
      <w:r>
        <w:rPr>
          <w:rFonts w:ascii="Times New Roman" w:cs="Times New Roman" w:eastAsia="Times New Roman" w:hAnsi="Times New Roman"/>
          <w:sz w:val="20"/>
          <w:szCs w:val="20"/>
          <w:color w:val="auto"/>
        </w:rPr>
        <w:t>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2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9.9 Fiscal Year</w:t>
      </w:r>
      <w:r>
        <w:rPr>
          <w:rFonts w:ascii="Times New Roman" w:cs="Times New Roman" w:eastAsia="Times New Roman" w:hAnsi="Times New Roman"/>
          <w:sz w:val="21"/>
          <w:szCs w:val="21"/>
          <w:color w:val="auto"/>
        </w:rPr>
        <w:t>. The fiscal year of the Corporation shall be fixed by the Board.</w:t>
      </w:r>
    </w:p>
    <w:p>
      <w:pPr>
        <w:spacing w:after="0" w:line="250" w:lineRule="exact"/>
        <w:rPr>
          <w:sz w:val="20"/>
          <w:szCs w:val="20"/>
          <w:color w:val="auto"/>
        </w:rPr>
      </w:pPr>
    </w:p>
    <w:p>
      <w:pPr>
        <w:jc w:val="both"/>
        <w:ind w:firstLine="1242"/>
        <w:spacing w:after="0" w:line="275" w:lineRule="auto"/>
        <w:rPr>
          <w:sz w:val="20"/>
          <w:szCs w:val="20"/>
          <w:color w:val="auto"/>
        </w:rPr>
      </w:pPr>
      <w:r>
        <w:rPr>
          <w:rFonts w:ascii="Times New Roman" w:cs="Times New Roman" w:eastAsia="Times New Roman" w:hAnsi="Times New Roman"/>
          <w:sz w:val="21"/>
          <w:szCs w:val="21"/>
          <w:b w:val="1"/>
          <w:bCs w:val="1"/>
          <w:color w:val="auto"/>
        </w:rPr>
        <w:t>Section 9.10 Seal</w:t>
      </w:r>
      <w:r>
        <w:rPr>
          <w:rFonts w:ascii="Times New Roman" w:cs="Times New Roman" w:eastAsia="Times New Roman" w:hAnsi="Times New Roman"/>
          <w:sz w:val="21"/>
          <w:szCs w:val="21"/>
          <w:color w:val="auto"/>
        </w:rPr>
        <w:t>. The Board may adopt a corporate seal, which shall be in such form as the Board determines. The seal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used by causing it or a facsimile thereof to be impressed, affixed or otherwise reproduced.</w:t>
      </w:r>
    </w:p>
    <w:p>
      <w:pPr>
        <w:spacing w:after="0" w:line="197" w:lineRule="exact"/>
        <w:rPr>
          <w:sz w:val="20"/>
          <w:szCs w:val="20"/>
          <w:color w:val="auto"/>
        </w:rPr>
      </w:pPr>
    </w:p>
    <w:p>
      <w:pPr>
        <w:jc w:val="both"/>
        <w:ind w:firstLine="1242"/>
        <w:spacing w:after="0" w:line="275" w:lineRule="auto"/>
        <w:rPr>
          <w:sz w:val="20"/>
          <w:szCs w:val="20"/>
          <w:color w:val="auto"/>
        </w:rPr>
      </w:pPr>
      <w:r>
        <w:rPr>
          <w:rFonts w:ascii="Times New Roman" w:cs="Times New Roman" w:eastAsia="Times New Roman" w:hAnsi="Times New Roman"/>
          <w:sz w:val="21"/>
          <w:szCs w:val="21"/>
          <w:b w:val="1"/>
          <w:bCs w:val="1"/>
          <w:color w:val="auto"/>
        </w:rPr>
        <w:t>Section 9.11 Books and Records</w:t>
      </w:r>
      <w:r>
        <w:rPr>
          <w:rFonts w:ascii="Times New Roman" w:cs="Times New Roman" w:eastAsia="Times New Roman" w:hAnsi="Times New Roman"/>
          <w:sz w:val="21"/>
          <w:szCs w:val="21"/>
          <w:color w:val="auto"/>
        </w:rPr>
        <w:t>. The books and records of the Corporation may be kept within or outside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at such place or places as may from time to time be designated by the Board.</w:t>
      </w:r>
    </w:p>
    <w:p>
      <w:pPr>
        <w:spacing w:after="0" w:line="184"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9.12 Resignation</w:t>
      </w:r>
      <w:r>
        <w:rPr>
          <w:rFonts w:ascii="Times New Roman" w:cs="Times New Roman" w:eastAsia="Times New Roman" w:hAnsi="Times New Roman"/>
          <w:sz w:val="21"/>
          <w:szCs w:val="21"/>
          <w:color w:val="auto"/>
        </w:rPr>
        <w:t>. Any director, committee member or officer may resign by giving notice thereof in writing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electronic transmission to the Chief Executive Officer,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203" w:lineRule="exact"/>
        <w:rPr>
          <w:sz w:val="20"/>
          <w:szCs w:val="20"/>
          <w:color w:val="auto"/>
        </w:rPr>
      </w:pPr>
    </w:p>
    <w:p>
      <w:pPr>
        <w:jc w:val="both"/>
        <w:ind w:firstLine="1242"/>
        <w:spacing w:after="0" w:line="252" w:lineRule="auto"/>
        <w:rPr>
          <w:sz w:val="20"/>
          <w:szCs w:val="20"/>
          <w:color w:val="auto"/>
        </w:rPr>
      </w:pPr>
      <w:r>
        <w:rPr>
          <w:rFonts w:ascii="Times New Roman" w:cs="Times New Roman" w:eastAsia="Times New Roman" w:hAnsi="Times New Roman"/>
          <w:sz w:val="21"/>
          <w:szCs w:val="21"/>
          <w:b w:val="1"/>
          <w:bCs w:val="1"/>
          <w:color w:val="auto"/>
        </w:rPr>
        <w:t>Section 9.13 Surety Bonds</w:t>
      </w:r>
      <w:r>
        <w:rPr>
          <w:rFonts w:ascii="Times New Roman" w:cs="Times New Roman" w:eastAsia="Times New Roman" w:hAnsi="Times New Roman"/>
          <w:sz w:val="21"/>
          <w:szCs w:val="21"/>
          <w:color w:val="auto"/>
        </w:rPr>
        <w:t>. Such officers, employees and agents of the Corporation (if any) as the Chief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the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 or the Board may determine. The premiums on such bonds shall be paid by the Corporation and the bonds so furnished shall be in the custody of the Secretary.</w:t>
      </w:r>
    </w:p>
    <w:p>
      <w:pPr>
        <w:spacing w:after="0" w:line="212" w:lineRule="exact"/>
        <w:rPr>
          <w:sz w:val="20"/>
          <w:szCs w:val="20"/>
          <w:color w:val="auto"/>
        </w:rPr>
      </w:pPr>
    </w:p>
    <w:p>
      <w:pPr>
        <w:jc w:val="both"/>
        <w:ind w:firstLine="1242"/>
        <w:spacing w:after="0" w:line="266" w:lineRule="auto"/>
        <w:rPr>
          <w:sz w:val="20"/>
          <w:szCs w:val="20"/>
          <w:color w:val="auto"/>
        </w:rPr>
      </w:pPr>
      <w:r>
        <w:rPr>
          <w:rFonts w:ascii="Times New Roman" w:cs="Times New Roman" w:eastAsia="Times New Roman" w:hAnsi="Times New Roman"/>
          <w:sz w:val="21"/>
          <w:szCs w:val="21"/>
          <w:b w:val="1"/>
          <w:bCs w:val="1"/>
          <w:color w:val="auto"/>
        </w:rPr>
        <w:t>Section 9.14 Securities of Other Corporations</w:t>
      </w:r>
      <w:r>
        <w:rPr>
          <w:rFonts w:ascii="Times New Roman" w:cs="Times New Roman" w:eastAsia="Times New Roman" w:hAnsi="Times New Roman"/>
          <w:sz w:val="21"/>
          <w:szCs w:val="21"/>
          <w:color w:val="auto"/>
        </w:rPr>
        <w:t>. Powers of attorney, proxies, waivers of notice of meeting, consents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writing and other instruments relating to securities owned by the Corporation may be executed in the name of and on behalf of the Corporation by the Chief Executive Officer, President or any Vice President. Any such officer, may, in the name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367"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21"/>
          <w:szCs w:val="21"/>
          <w:color w:val="auto"/>
        </w:rPr>
        <w:t>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Section 9.15 Amendments</w:t>
      </w:r>
      <w:r>
        <w:rPr>
          <w:rFonts w:ascii="Times New Roman" w:cs="Times New Roman" w:eastAsia="Times New Roman" w:hAnsi="Times New Roman"/>
          <w:sz w:val="21"/>
          <w:szCs w:val="21"/>
          <w:color w:val="auto"/>
        </w:rPr>
        <w:t>.</w:t>
      </w:r>
    </w:p>
    <w:p>
      <w:pPr>
        <w:spacing w:after="0" w:line="265" w:lineRule="exact"/>
        <w:rPr>
          <w:sz w:val="20"/>
          <w:szCs w:val="20"/>
          <w:color w:val="auto"/>
        </w:rPr>
      </w:pPr>
    </w:p>
    <w:p>
      <w:pPr>
        <w:ind w:firstLine="1245"/>
        <w:spacing w:after="0" w:line="273" w:lineRule="auto"/>
        <w:tabs>
          <w:tab w:leader="none" w:pos="152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shall have the power to adopt, amend, alter or repeal the Bylaws. The affirmative vote of a majority of the Whole Board shall be required to adopt, amend, alter or repeal the Bylaws.</w:t>
      </w:r>
    </w:p>
    <w:p>
      <w:pPr>
        <w:spacing w:after="0" w:line="187" w:lineRule="exact"/>
        <w:rPr>
          <w:rFonts w:ascii="Times New Roman" w:cs="Times New Roman" w:eastAsia="Times New Roman" w:hAnsi="Times New Roman"/>
          <w:sz w:val="21"/>
          <w:szCs w:val="21"/>
          <w:color w:val="auto"/>
        </w:rPr>
      </w:pPr>
    </w:p>
    <w:p>
      <w:pPr>
        <w:jc w:val="both"/>
        <w:ind w:firstLine="1245"/>
        <w:spacing w:after="0" w:line="252" w:lineRule="auto"/>
        <w:tabs>
          <w:tab w:leader="none" w:pos="157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Bylaws may be adopted, amended, altered or repealed by the stockholders at any special meeting of the stockholders if duly called for that purpose (provided; that in the notice of such special meeting, notice of such purpose shall be given), or at any annual meeting; provided, however, that in addition to any vote of the holders of any class or series of capital stock of the Corporation required by applicable law or the Certificate of Incorporation, the affirmative vote of the holders of at least a majority of the voting power of all outstanding shares of capital stock of the Corporation entitled to vote generally in the election of directors, voting together as a single class, shall be required for the stockholders to adopt, amend, alter or repeal the Bylaws.</w:t>
      </w:r>
    </w:p>
    <w:p>
      <w:pPr>
        <w:spacing w:after="0" w:line="197" w:lineRule="exact"/>
        <w:rPr>
          <w:sz w:val="20"/>
          <w:szCs w:val="20"/>
          <w:color w:val="auto"/>
        </w:rPr>
      </w:pPr>
    </w:p>
    <w:p>
      <w:pPr>
        <w:jc w:val="both"/>
        <w:ind w:firstLine="1242"/>
        <w:spacing w:after="0" w:line="258" w:lineRule="auto"/>
        <w:rPr>
          <w:sz w:val="20"/>
          <w:szCs w:val="20"/>
          <w:color w:val="auto"/>
        </w:rPr>
      </w:pPr>
      <w:r>
        <w:rPr>
          <w:rFonts w:ascii="Times New Roman" w:cs="Times New Roman" w:eastAsia="Times New Roman" w:hAnsi="Times New Roman"/>
          <w:sz w:val="21"/>
          <w:szCs w:val="21"/>
          <w:b w:val="1"/>
          <w:bCs w:val="1"/>
          <w:color w:val="auto"/>
        </w:rPr>
        <w:t>Section 9.16 Forum Selection</w:t>
      </w:r>
      <w:r>
        <w:rPr>
          <w:rFonts w:ascii="Times New Roman" w:cs="Times New Roman" w:eastAsia="Times New Roman" w:hAnsi="Times New Roman"/>
          <w:sz w:val="21"/>
          <w:szCs w:val="21"/>
          <w:color w:val="auto"/>
        </w:rPr>
        <w:t>. Subject to Article XII of the Certificate of Incorporation, unless the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w:t>
      </w:r>
    </w:p>
    <w:p>
      <w:pPr>
        <w:spacing w:after="0" w:line="193" w:lineRule="exact"/>
        <w:rPr>
          <w:sz w:val="20"/>
          <w:szCs w:val="20"/>
          <w:color w:val="auto"/>
        </w:rPr>
      </w:pPr>
    </w:p>
    <w:p>
      <w:pPr>
        <w:jc w:val="both"/>
        <w:ind w:firstLine="1242"/>
        <w:spacing w:after="0" w:line="254" w:lineRule="auto"/>
        <w:rPr>
          <w:sz w:val="20"/>
          <w:szCs w:val="20"/>
          <w:color w:val="auto"/>
        </w:rPr>
      </w:pPr>
      <w:r>
        <w:rPr>
          <w:rFonts w:ascii="Times New Roman" w:cs="Times New Roman" w:eastAsia="Times New Roman" w:hAnsi="Times New Roman"/>
          <w:sz w:val="21"/>
          <w:szCs w:val="21"/>
          <w:color w:val="auto"/>
        </w:rPr>
        <w:t xml:space="preserve">Any person or entity purchasing or otherwise acquiring any interest in any security of the Corporation shall be deemed to have notice of and consented to this </w:t>
      </w:r>
      <w:r>
        <w:rPr>
          <w:rFonts w:ascii="Times New Roman" w:cs="Times New Roman" w:eastAsia="Times New Roman" w:hAnsi="Times New Roman"/>
          <w:sz w:val="21"/>
          <w:szCs w:val="21"/>
          <w:u w:val="single" w:color="auto"/>
          <w:color w:val="auto"/>
        </w:rPr>
        <w:t>Section 9.16</w:t>
      </w:r>
      <w:r>
        <w:rPr>
          <w:rFonts w:ascii="Times New Roman" w:cs="Times New Roman" w:eastAsia="Times New Roman" w:hAnsi="Times New Roman"/>
          <w:sz w:val="21"/>
          <w:szCs w:val="21"/>
          <w:color w:val="auto"/>
        </w:rPr>
        <w: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36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Kaes Van't Hof, certify that:</w:t>
      </w:r>
    </w:p>
    <w:p>
      <w:pPr>
        <w:spacing w:after="0" w:line="102" w:lineRule="exact"/>
        <w:rPr>
          <w:sz w:val="20"/>
          <w:szCs w:val="20"/>
          <w:color w:val="auto"/>
        </w:rPr>
      </w:pPr>
    </w:p>
    <w:p>
      <w:pPr>
        <w:ind w:left="340" w:hanging="298"/>
        <w:spacing w:after="0"/>
        <w:tabs>
          <w:tab w:leader="none" w:pos="3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Diamondback Energy, Inc. (the "registrant");</w:t>
      </w:r>
    </w:p>
    <w:p>
      <w:pPr>
        <w:spacing w:after="0" w:line="89" w:lineRule="exact"/>
        <w:rPr>
          <w:rFonts w:ascii="Times New Roman" w:cs="Times New Roman" w:eastAsia="Times New Roman" w:hAnsi="Times New Roman"/>
          <w:sz w:val="17"/>
          <w:szCs w:val="17"/>
          <w:color w:val="auto"/>
        </w:rPr>
      </w:pPr>
    </w:p>
    <w:p>
      <w:pPr>
        <w:ind w:left="440" w:right="100" w:hanging="398"/>
        <w:spacing w:after="0" w:line="291" w:lineRule="auto"/>
        <w:tabs>
          <w:tab w:leader="none" w:pos="35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440" w:right="180" w:hanging="398"/>
        <w:spacing w:after="0" w:line="291" w:lineRule="auto"/>
        <w:tabs>
          <w:tab w:leader="none" w:pos="35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440" w:right="40" w:hanging="398"/>
        <w:spacing w:after="0" w:line="272" w:lineRule="auto"/>
        <w:tabs>
          <w:tab w:leader="none" w:pos="35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7"/>
          <w:szCs w:val="17"/>
          <w:color w:val="auto"/>
        </w:rPr>
      </w:pPr>
    </w:p>
    <w:p>
      <w:pPr>
        <w:ind w:left="860" w:right="140" w:hanging="391"/>
        <w:spacing w:after="0" w:line="272" w:lineRule="auto"/>
        <w:tabs>
          <w:tab w:leader="none" w:pos="83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7"/>
          <w:szCs w:val="17"/>
          <w:color w:val="auto"/>
        </w:rPr>
      </w:pPr>
    </w:p>
    <w:p>
      <w:pPr>
        <w:ind w:left="860" w:right="120" w:hanging="391"/>
        <w:spacing w:after="0" w:line="272" w:lineRule="auto"/>
        <w:tabs>
          <w:tab w:leader="none" w:pos="845"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7"/>
          <w:szCs w:val="17"/>
          <w:color w:val="auto"/>
        </w:rPr>
      </w:pPr>
    </w:p>
    <w:p>
      <w:pPr>
        <w:ind w:left="860" w:right="180" w:hanging="391"/>
        <w:spacing w:after="0" w:line="291" w:lineRule="auto"/>
        <w:tabs>
          <w:tab w:leader="none" w:pos="83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860" w:right="20" w:hanging="391"/>
        <w:spacing w:after="0" w:line="272" w:lineRule="auto"/>
        <w:tabs>
          <w:tab w:leader="none" w:pos="845"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17"/>
          <w:szCs w:val="17"/>
          <w:color w:val="auto"/>
        </w:rPr>
      </w:pPr>
    </w:p>
    <w:p>
      <w:pPr>
        <w:ind w:left="440" w:right="760" w:hanging="398"/>
        <w:spacing w:after="0" w:line="291" w:lineRule="auto"/>
        <w:tabs>
          <w:tab w:leader="none" w:pos="35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860" w:right="100" w:hanging="391"/>
        <w:spacing w:after="0" w:line="291" w:lineRule="auto"/>
        <w:tabs>
          <w:tab w:leader="none" w:pos="82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7"/>
          <w:szCs w:val="17"/>
          <w:color w:val="auto"/>
        </w:rPr>
      </w:pPr>
    </w:p>
    <w:p>
      <w:pPr>
        <w:ind w:left="860" w:right="140" w:hanging="391"/>
        <w:spacing w:after="0" w:line="291" w:lineRule="auto"/>
        <w:tabs>
          <w:tab w:leader="none" w:pos="83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November 5,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Kaes Van't Hof</w:t>
            </w:r>
          </w:p>
        </w:tc>
      </w:tr>
      <w:tr>
        <w:trPr>
          <w:trHeight w:val="207"/>
        </w:trPr>
        <w:tc>
          <w:tcPr>
            <w:tcW w:w="6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Kaes Van't Hof</w:t>
            </w:r>
          </w:p>
        </w:tc>
      </w:tr>
      <w:tr>
        <w:trPr>
          <w:trHeight w:val="226"/>
        </w:trPr>
        <w:tc>
          <w:tcPr>
            <w:tcW w:w="6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5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Jere W. Thompson III, certify that:</w:t>
      </w:r>
    </w:p>
    <w:p>
      <w:pPr>
        <w:spacing w:after="0" w:line="102" w:lineRule="exact"/>
        <w:rPr>
          <w:sz w:val="20"/>
          <w:szCs w:val="20"/>
          <w:color w:val="auto"/>
        </w:rPr>
      </w:pPr>
    </w:p>
    <w:p>
      <w:pPr>
        <w:ind w:left="340" w:hanging="298"/>
        <w:spacing w:after="0"/>
        <w:tabs>
          <w:tab w:leader="none" w:pos="3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Diamondback Energy, Inc. (the "registrant");</w:t>
      </w:r>
    </w:p>
    <w:p>
      <w:pPr>
        <w:spacing w:after="0" w:line="89" w:lineRule="exact"/>
        <w:rPr>
          <w:rFonts w:ascii="Times New Roman" w:cs="Times New Roman" w:eastAsia="Times New Roman" w:hAnsi="Times New Roman"/>
          <w:sz w:val="17"/>
          <w:szCs w:val="17"/>
          <w:color w:val="auto"/>
        </w:rPr>
      </w:pPr>
    </w:p>
    <w:p>
      <w:pPr>
        <w:ind w:left="440" w:right="100" w:hanging="398"/>
        <w:spacing w:after="0" w:line="291" w:lineRule="auto"/>
        <w:tabs>
          <w:tab w:leader="none" w:pos="35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440" w:right="180" w:hanging="398"/>
        <w:spacing w:after="0" w:line="291" w:lineRule="auto"/>
        <w:tabs>
          <w:tab w:leader="none" w:pos="35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440" w:right="40" w:hanging="398"/>
        <w:spacing w:after="0" w:line="272" w:lineRule="auto"/>
        <w:tabs>
          <w:tab w:leader="none" w:pos="35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7"/>
          <w:szCs w:val="17"/>
          <w:color w:val="auto"/>
        </w:rPr>
      </w:pPr>
    </w:p>
    <w:p>
      <w:pPr>
        <w:ind w:left="860" w:right="140" w:hanging="391"/>
        <w:spacing w:after="0" w:line="272" w:lineRule="auto"/>
        <w:tabs>
          <w:tab w:leader="none" w:pos="83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7"/>
          <w:szCs w:val="17"/>
          <w:color w:val="auto"/>
        </w:rPr>
      </w:pPr>
    </w:p>
    <w:p>
      <w:pPr>
        <w:ind w:left="860" w:right="120" w:hanging="391"/>
        <w:spacing w:after="0" w:line="272" w:lineRule="auto"/>
        <w:tabs>
          <w:tab w:leader="none" w:pos="84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7"/>
          <w:szCs w:val="17"/>
          <w:color w:val="auto"/>
        </w:rPr>
      </w:pPr>
    </w:p>
    <w:p>
      <w:pPr>
        <w:ind w:left="860" w:right="180" w:hanging="391"/>
        <w:spacing w:after="0" w:line="291" w:lineRule="auto"/>
        <w:tabs>
          <w:tab w:leader="none" w:pos="83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7"/>
          <w:szCs w:val="17"/>
          <w:color w:val="auto"/>
        </w:rPr>
      </w:pPr>
    </w:p>
    <w:p>
      <w:pPr>
        <w:ind w:left="860" w:right="20" w:hanging="391"/>
        <w:spacing w:after="0" w:line="272" w:lineRule="auto"/>
        <w:tabs>
          <w:tab w:leader="none" w:pos="84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Times New Roman" w:cs="Times New Roman" w:eastAsia="Times New Roman" w:hAnsi="Times New Roman"/>
          <w:sz w:val="17"/>
          <w:szCs w:val="17"/>
          <w:color w:val="auto"/>
        </w:rPr>
      </w:pPr>
    </w:p>
    <w:p>
      <w:pPr>
        <w:ind w:left="440" w:right="760" w:hanging="398"/>
        <w:spacing w:after="0" w:line="291" w:lineRule="auto"/>
        <w:tabs>
          <w:tab w:leader="none" w:pos="35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7"/>
          <w:szCs w:val="17"/>
          <w:color w:val="auto"/>
        </w:rPr>
      </w:pPr>
    </w:p>
    <w:p>
      <w:pPr>
        <w:ind w:left="860" w:right="100" w:hanging="391"/>
        <w:spacing w:after="0" w:line="291" w:lineRule="auto"/>
        <w:tabs>
          <w:tab w:leader="none" w:pos="82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7"/>
          <w:szCs w:val="17"/>
          <w:color w:val="auto"/>
        </w:rPr>
      </w:pPr>
    </w:p>
    <w:p>
      <w:pPr>
        <w:ind w:left="860" w:right="140" w:hanging="391"/>
        <w:spacing w:after="0" w:line="291" w:lineRule="auto"/>
        <w:tabs>
          <w:tab w:leader="none" w:pos="83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Jere W. Thompson III</w:t>
            </w:r>
          </w:p>
        </w:tc>
      </w:tr>
      <w:tr>
        <w:trPr>
          <w:trHeight w:val="207"/>
        </w:trPr>
        <w:tc>
          <w:tcPr>
            <w:tcW w:w="63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Jere W. Thompson III</w:t>
            </w:r>
          </w:p>
        </w:tc>
      </w:tr>
      <w:tr>
        <w:trPr>
          <w:trHeight w:val="226"/>
        </w:trPr>
        <w:tc>
          <w:tcPr>
            <w:tcW w:w="63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5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 REPORT</w:t>
      </w:r>
    </w:p>
    <w:p>
      <w:pPr>
        <w:spacing w:after="0" w:line="169" w:lineRule="exact"/>
        <w:rPr>
          <w:sz w:val="20"/>
          <w:szCs w:val="20"/>
          <w:color w:val="auto"/>
        </w:rPr>
      </w:pPr>
    </w:p>
    <w:p>
      <w:pPr>
        <w:jc w:val="both"/>
        <w:ind w:firstLine="427"/>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Diamondback Energy, Inc. (the "Company"), as filed with the Securities and Exchange Commission on the date hereof (the "Report"), I, the undersigned, Kaes Van't Hof, Chief Executive Officer of Diamondback Energy, Inc., certify, pursuant to Section 906 of the Sarbanes-Oxley Act of 2002, 18 U.S.C. Section 1350, that, to the best of my knowledge:</w:t>
      </w:r>
    </w:p>
    <w:p>
      <w:pPr>
        <w:spacing w:after="0" w:line="111" w:lineRule="exact"/>
        <w:rPr>
          <w:sz w:val="20"/>
          <w:szCs w:val="20"/>
          <w:color w:val="auto"/>
        </w:rPr>
      </w:pPr>
    </w:p>
    <w:p>
      <w:pPr>
        <w:ind w:left="680" w:hanging="250"/>
        <w:spacing w:after="0"/>
        <w:tabs>
          <w:tab w:leader="none" w:pos="6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17"/>
          <w:szCs w:val="17"/>
          <w:color w:val="auto"/>
        </w:rPr>
      </w:pPr>
    </w:p>
    <w:p>
      <w:pPr>
        <w:ind w:left="680" w:hanging="250"/>
        <w:spacing w:after="0"/>
        <w:tabs>
          <w:tab w:leader="none" w:pos="6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Kaes Van't Hof</w:t>
            </w:r>
          </w:p>
        </w:tc>
      </w:tr>
      <w:tr>
        <w:trPr>
          <w:trHeight w:val="207"/>
        </w:trPr>
        <w:tc>
          <w:tcPr>
            <w:tcW w:w="63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Kaes Van't Hof</w:t>
            </w:r>
          </w:p>
        </w:tc>
      </w:tr>
      <w:tr>
        <w:trPr>
          <w:trHeight w:val="226"/>
        </w:trPr>
        <w:tc>
          <w:tcPr>
            <w:tcW w:w="63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5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 REPORT</w:t>
      </w:r>
    </w:p>
    <w:p>
      <w:pPr>
        <w:spacing w:after="0" w:line="169" w:lineRule="exact"/>
        <w:rPr>
          <w:sz w:val="20"/>
          <w:szCs w:val="20"/>
          <w:color w:val="auto"/>
        </w:rPr>
      </w:pPr>
    </w:p>
    <w:p>
      <w:pPr>
        <w:jc w:val="both"/>
        <w:ind w:firstLine="427"/>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Diamondback Energy, Inc. (the "Company"), as filed with the Securities and Exchange Commission on the date hereof (the "Report"), I, the undersigned, Jere W. Thompson III, Chief Financial Officer of Diamondback Energy, Inc., certify, pursuant to Section 906 of the Sarbanes-Oxley Act of 2002, 18 U.S.C. Section 1350, that, to the best of my knowledge:</w:t>
      </w:r>
    </w:p>
    <w:p>
      <w:pPr>
        <w:spacing w:after="0" w:line="111" w:lineRule="exact"/>
        <w:rPr>
          <w:sz w:val="20"/>
          <w:szCs w:val="20"/>
          <w:color w:val="auto"/>
        </w:rPr>
      </w:pPr>
    </w:p>
    <w:p>
      <w:pPr>
        <w:ind w:left="680" w:hanging="250"/>
        <w:spacing w:after="0"/>
        <w:tabs>
          <w:tab w:leader="none" w:pos="6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 or 78o(d)); and</w:t>
      </w:r>
    </w:p>
    <w:p>
      <w:pPr>
        <w:spacing w:after="0" w:line="166" w:lineRule="exact"/>
        <w:rPr>
          <w:rFonts w:ascii="Times New Roman" w:cs="Times New Roman" w:eastAsia="Times New Roman" w:hAnsi="Times New Roman"/>
          <w:sz w:val="17"/>
          <w:szCs w:val="17"/>
          <w:color w:val="auto"/>
        </w:rPr>
      </w:pPr>
    </w:p>
    <w:p>
      <w:pPr>
        <w:ind w:left="680" w:hanging="250"/>
        <w:spacing w:after="0"/>
        <w:tabs>
          <w:tab w:leader="none" w:pos="6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2025</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Jere W. Thompson III</w:t>
            </w:r>
          </w:p>
        </w:tc>
      </w:tr>
      <w:tr>
        <w:trPr>
          <w:trHeight w:val="207"/>
        </w:trPr>
        <w:tc>
          <w:tcPr>
            <w:tcW w:w="63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Jere W. Thompson III</w:t>
            </w:r>
          </w:p>
        </w:tc>
      </w:tr>
      <w:tr>
        <w:trPr>
          <w:trHeight w:val="226"/>
        </w:trPr>
        <w:tc>
          <w:tcPr>
            <w:tcW w:w="63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2"/>
    </w:lvl>
  </w:abstractNum>
  <w:abstractNum w:abstractNumId="6">
    <w:nsid w:val="75C6C33A"/>
    <w:multiLevelType w:val="hybridMultilevel"/>
    <w:lvl w:ilvl="0">
      <w:lvlJc w:val="left"/>
      <w:lvlText w:val="%1."/>
      <w:numFmt w:val="decimal"/>
      <w:start w:val="3"/>
    </w:lvl>
  </w:abstractNum>
  <w:abstractNum w:abstractNumId="7">
    <w:nsid w:val="12E685FB"/>
    <w:multiLevelType w:val="hybridMultilevel"/>
    <w:lvl w:ilvl="0">
      <w:lvlJc w:val="left"/>
      <w:lvlText w:val="%1."/>
      <w:numFmt w:val="decimal"/>
      <w:start w:val="4"/>
    </w:lvl>
  </w:abstractNum>
  <w:abstractNum w:abstractNumId="8">
    <w:nsid w:val="70C6A529"/>
    <w:multiLevelType w:val="hybridMultilevel"/>
    <w:lvl w:ilvl="0">
      <w:lvlJc w:val="left"/>
      <w:lvlText w:val="(%1)"/>
      <w:numFmt w:val="lowerRoman"/>
      <w:start w:val="4"/>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decimal"/>
      <w:start w:val="8"/>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0"/>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lowerRoman"/>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3"/>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lowerRoman"/>
      <w:start w:val="2"/>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lowerRoman"/>
      <w:start w:val="1"/>
    </w:lvl>
  </w:abstractNum>
  <w:abstractNum w:abstractNumId="29">
    <w:nsid w:val="579BE4F1"/>
    <w:multiLevelType w:val="hybridMultilevel"/>
    <w:lvl w:ilvl="0">
      <w:lvlJc w:val="left"/>
      <w:lvlText w:val="%1"/>
      <w:numFmt w:val="decimal"/>
      <w:start w:val="10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1)"/>
      <w:numFmt w:val="lowerRoman"/>
      <w:start w:val="1"/>
    </w:lvl>
    <w:lvl w:ilvl="1">
      <w:lvlJc w:val="left"/>
      <w:lvlText w:val="(%2)"/>
      <w:numFmt w:val="upperLetter"/>
      <w:start w:val="1"/>
    </w:lvl>
  </w:abstractNum>
  <w:abstractNum w:abstractNumId="34">
    <w:nsid w:val="1DBABF00"/>
    <w:multiLevelType w:val="hybridMultilevel"/>
    <w:lvl w:ilvl="0">
      <w:lvlJc w:val="left"/>
      <w:lvlText w:val="(%1)"/>
      <w:numFmt w:val="lowerLetter"/>
      <w:start w:val="2"/>
    </w:lvl>
  </w:abstractNum>
  <w:abstractNum w:abstractNumId="35">
    <w:nsid w:val="4AD084E9"/>
    <w:multiLevelType w:val="hybridMultilevel"/>
    <w:lvl w:ilvl="0">
      <w:lvlJc w:val="left"/>
      <w:lvlText w:val="(%1)"/>
      <w:numFmt w:val="lowerRoman"/>
      <w:start w:val="1"/>
    </w:lvl>
  </w:abstractNum>
  <w:abstractNum w:abstractNumId="36">
    <w:nsid w:val="1F48EAA1"/>
    <w:multiLevelType w:val="hybridMultilevel"/>
    <w:lvl w:ilvl="0">
      <w:lvlJc w:val="left"/>
      <w:lvlText w:val="(%1)"/>
      <w:numFmt w:val="lowerRoman"/>
      <w:start w:val="8"/>
    </w:lvl>
  </w:abstractNum>
  <w:abstractNum w:abstractNumId="37">
    <w:nsid w:val="1381823A"/>
    <w:multiLevelType w:val="hybridMultilevel"/>
    <w:lvl w:ilvl="0">
      <w:lvlJc w:val="left"/>
      <w:lvlText w:val="(%1)"/>
      <w:numFmt w:val="lowerLetter"/>
      <w:start w:val="3"/>
    </w:lvl>
    <w:lvl w:ilvl="1">
      <w:lvlJc w:val="left"/>
      <w:lvlText w:val="(%2)"/>
      <w:numFmt w:val="lowerRoman"/>
      <w:start w:val="1"/>
    </w:lvl>
  </w:abstractNum>
  <w:abstractNum w:abstractNumId="38">
    <w:nsid w:val="5DB70AE5"/>
    <w:multiLevelType w:val="hybridMultilevel"/>
    <w:lvl w:ilvl="0">
      <w:lvlJc w:val="left"/>
      <w:lvlText w:val="(%1)"/>
      <w:numFmt w:val="lowerLetter"/>
      <w:start w:val="5"/>
    </w:lvl>
    <w:lvl w:ilvl="1">
      <w:lvlJc w:val="left"/>
      <w:lvlText w:val="(%2)"/>
      <w:numFmt w:val="lowerRoman"/>
      <w:start w:val="1"/>
    </w:lvl>
  </w:abstractNum>
  <w:abstractNum w:abstractNumId="39">
    <w:nsid w:val="100F8FCA"/>
    <w:multiLevelType w:val="hybridMultilevel"/>
    <w:lvl w:ilvl="0">
      <w:lvlJc w:val="left"/>
      <w:lvlText w:val="(%1)"/>
      <w:numFmt w:val="lowerLetter"/>
      <w:start w:val="6"/>
    </w:lvl>
  </w:abstractNum>
  <w:abstractNum w:abstractNumId="40">
    <w:nsid w:val="6590700B"/>
    <w:multiLevelType w:val="hybridMultilevel"/>
    <w:lvl w:ilvl="0">
      <w:lvlJc w:val="left"/>
      <w:lvlText w:val="(%1)"/>
      <w:numFmt w:val="lowerLetter"/>
      <w:start w:val="7"/>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1)"/>
      <w:numFmt w:val="lowerLetter"/>
      <w:start w:val="2"/>
    </w:lvl>
    <w:lvl w:ilvl="1">
      <w:lvlJc w:val="left"/>
      <w:lvlText w:val="(%2)"/>
      <w:numFmt w:val="lowerRoman"/>
      <w:start w:val="1"/>
    </w:lvl>
  </w:abstractNum>
  <w:abstractNum w:abstractNumId="43">
    <w:nsid w:val="98A3148"/>
    <w:multiLevelType w:val="hybridMultilevel"/>
    <w:lvl w:ilvl="0">
      <w:lvlJc w:val="left"/>
      <w:lvlText w:val="(%1)"/>
      <w:numFmt w:val="lowerLetter"/>
      <w:start w:val="4"/>
    </w:lvl>
    <w:lvl w:ilvl="1">
      <w:lvlJc w:val="left"/>
      <w:lvlText w:val="(%2)"/>
      <w:numFmt w:val="lowerRoman"/>
      <w:start w:val="1"/>
    </w:lvl>
  </w:abstractNum>
  <w:abstractNum w:abstractNumId="44">
    <w:nsid w:val="799D0247"/>
    <w:multiLevelType w:val="hybridMultilevel"/>
    <w:lvl w:ilvl="0">
      <w:lvlJc w:val="left"/>
      <w:lvlText w:val="%1"/>
      <w:numFmt w:val="lowerLetter"/>
      <w:start w:val="1"/>
    </w:lvl>
    <w:lvl w:ilvl="1">
      <w:lvlJc w:val="left"/>
      <w:lvlText w:val="(%2)"/>
      <w:numFmt w:val="lowerLetter"/>
      <w:start w:val="1"/>
    </w:lvl>
  </w:abstractNum>
  <w:abstractNum w:abstractNumId="45">
    <w:nsid w:val="6B94764"/>
    <w:multiLevelType w:val="hybridMultilevel"/>
    <w:lvl w:ilvl="0">
      <w:lvlJc w:val="left"/>
      <w:lvlText w:val="(%1)"/>
      <w:numFmt w:val="lowerLetter"/>
      <w:start w:val="25"/>
    </w:lvl>
    <w:lvl w:ilvl="1">
      <w:lvlJc w:val="left"/>
      <w:lvlText w:val="%2"/>
      <w:numFmt w:val="lowerLetter"/>
      <w:start w:val="1"/>
    </w:lvl>
  </w:abstractNum>
  <w:abstractNum w:abstractNumId="46">
    <w:nsid w:val="42C296BD"/>
    <w:multiLevelType w:val="hybridMultilevel"/>
    <w:lvl w:ilvl="0">
      <w:lvlJc w:val="left"/>
      <w:lvlText w:val="(%1)"/>
      <w:numFmt w:val="lowerRoman"/>
      <w:start w:val="1"/>
    </w:lvl>
    <w:lvl w:ilvl="1">
      <w:lvlJc w:val="left"/>
      <w:lvlText w:val="(%2)"/>
      <w:numFmt w:val="upperLetter"/>
      <w:start w:val="1"/>
    </w:lvl>
  </w:abstractNum>
  <w:abstractNum w:abstractNumId="47">
    <w:nsid w:val="168E121F"/>
    <w:multiLevelType w:val="hybridMultilevel"/>
    <w:lvl w:ilvl="0">
      <w:lvlJc w:val="left"/>
      <w:lvlText w:val="%1"/>
      <w:numFmt w:val="decimal"/>
      <w:start w:val="1"/>
    </w:lvl>
    <w:lvl w:ilvl="1">
      <w:lvlJc w:val="left"/>
      <w:lvlText w:val="(%2)"/>
      <w:numFmt w:val="upperLetter"/>
      <w:start w:val="3"/>
    </w:lvl>
  </w:abstractNum>
  <w:abstractNum w:abstractNumId="48">
    <w:nsid w:val="1EBA5D23"/>
    <w:multiLevelType w:val="hybridMultilevel"/>
    <w:lvl w:ilvl="0">
      <w:lvlJc w:val="left"/>
      <w:lvlText w:val="(%1)"/>
      <w:numFmt w:val="decimal"/>
      <w:start w:val="2"/>
    </w:lvl>
    <w:lvl w:ilvl="1">
      <w:lvlJc w:val="left"/>
      <w:lvlText w:val="(%2)"/>
      <w:numFmt w:val="upperLetter"/>
      <w:start w:val="4"/>
    </w:lvl>
  </w:abstractNum>
  <w:abstractNum w:abstractNumId="49">
    <w:nsid w:val="661E3F1E"/>
    <w:multiLevelType w:val="hybridMultilevel"/>
    <w:lvl w:ilvl="0">
      <w:lvlJc w:val="left"/>
      <w:lvlText w:val="%1"/>
      <w:numFmt w:val="lowerRoman"/>
      <w:start w:val="1"/>
    </w:lvl>
    <w:lvl w:ilvl="1">
      <w:lvlJc w:val="left"/>
      <w:lvlText w:val="(%2)"/>
      <w:numFmt w:val="upperLetter"/>
      <w:start w:val="10"/>
    </w:lvl>
  </w:abstractNum>
  <w:abstractNum w:abstractNumId="50">
    <w:nsid w:val="5DC79EA8"/>
    <w:multiLevelType w:val="hybridMultilevel"/>
    <w:lvl w:ilvl="0">
      <w:lvlJc w:val="left"/>
      <w:lvlText w:val="(%1)"/>
      <w:numFmt w:val="lowerRoman"/>
      <w:start w:val="3"/>
    </w:lvl>
    <w:lvl w:ilvl="1">
      <w:lvlJc w:val="left"/>
      <w:lvlText w:val="%2"/>
      <w:numFmt w:val="upperLetter"/>
      <w:start w:val="1"/>
    </w:lvl>
  </w:abstractNum>
  <w:abstractNum w:abstractNumId="51">
    <w:nsid w:val="540A471C"/>
    <w:multiLevelType w:val="hybridMultilevel"/>
    <w:lvl w:ilvl="0">
      <w:lvlJc w:val="left"/>
      <w:lvlText w:val="%1"/>
      <w:numFmt w:val="lowerLetter"/>
      <w:start w:val="1"/>
    </w:lvl>
    <w:lvl w:ilvl="1">
      <w:lvlJc w:val="left"/>
      <w:lvlText w:val="(%2)"/>
      <w:numFmt w:val="lowerLetter"/>
      <w:start w:val="22"/>
    </w:lvl>
  </w:abstractNum>
  <w:abstractNum w:abstractNumId="52">
    <w:nsid w:val="7BD3EE7B"/>
    <w:multiLevelType w:val="hybridMultilevel"/>
    <w:lvl w:ilvl="0">
      <w:lvlJc w:val="left"/>
      <w:lvlText w:val="(%1)"/>
      <w:numFmt w:val="lowerLetter"/>
      <w:start w:val="2"/>
    </w:lvl>
    <w:lvl w:ilvl="1">
      <w:lvlJc w:val="left"/>
      <w:lvlText w:val="%2"/>
      <w:numFmt w:val="lowerLetter"/>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lowerLetter"/>
      <w:start w:val="2"/>
    </w:lvl>
  </w:abstractNum>
  <w:abstractNum w:abstractNumId="55">
    <w:nsid w:val="BF72B1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6">
    <w:nsid w:val="11447B73"/>
    <w:multiLevelType w:val="hybridMultilevel"/>
    <w:lvl w:ilvl="0">
      <w:lvlJc w:val="left"/>
      <w:lvlText w:val="(%1)"/>
      <w:numFmt w:val="upperLetter"/>
      <w:start w:val="3"/>
    </w:lvl>
  </w:abstractNum>
  <w:abstractNum w:abstractNumId="57">
    <w:nsid w:val="42963E5A"/>
    <w:multiLevelType w:val="hybridMultilevel"/>
    <w:lvl w:ilvl="0">
      <w:lvlJc w:val="left"/>
      <w:lvlText w:val="(%1)"/>
      <w:numFmt w:val="upperLetter"/>
      <w:start w:val="10"/>
    </w:lvl>
  </w:abstractNum>
  <w:abstractNum w:abstractNumId="58">
    <w:nsid w:val="A0382C5"/>
    <w:multiLevelType w:val="hybridMultilevel"/>
    <w:lvl w:ilvl="0">
      <w:lvlJc w:val="left"/>
      <w:lvlText w:val="(%1)"/>
      <w:numFmt w:val="lowerLetter"/>
      <w:start w:val="5"/>
    </w:lvl>
  </w:abstractNum>
  <w:abstractNum w:abstractNumId="59">
    <w:nsid w:val="8F2B15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60">
    <w:nsid w:val="1A32234B"/>
    <w:multiLevelType w:val="hybridMultilevel"/>
    <w:lvl w:ilvl="0">
      <w:lvlJc w:val="left"/>
      <w:lvlText w:val="(%1)"/>
      <w:numFmt w:val="decimal"/>
      <w:start w:val="2"/>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61">
    <w:nsid w:val="3B0FD379"/>
    <w:multiLevelType w:val="hybridMultilevel"/>
    <w:lvl w:ilvl="0">
      <w:lvlJc w:val="left"/>
      <w:lvlText w:val="(%1)"/>
      <w:numFmt w:val="upperLetter"/>
      <w:start w:val="2"/>
    </w:lvl>
    <w:lvl w:ilvl="1">
      <w:lvlJc w:val="left"/>
      <w:lvlText w:val="(%2)"/>
      <w:numFmt w:val="decimal"/>
      <w:start w:val="1"/>
    </w:lvl>
  </w:abstractNum>
  <w:abstractNum w:abstractNumId="62">
    <w:nsid w:val="68EB2F63"/>
    <w:multiLevelType w:val="hybridMultilevel"/>
    <w:lvl w:ilvl="0">
      <w:lvlJc w:val="left"/>
      <w:lvlText w:val="(%1)"/>
      <w:numFmt w:val="lowerLetter"/>
      <w:start w:val="1"/>
    </w:lvl>
    <w:lvl w:ilvl="1">
      <w:lvlJc w:val="left"/>
      <w:lvlText w:val="(%2)"/>
      <w:numFmt w:val="lowerRoman"/>
      <w:start w:val="1"/>
    </w:lvl>
  </w:abstractNum>
  <w:abstractNum w:abstractNumId="63">
    <w:nsid w:val="4962813B"/>
    <w:multiLevelType w:val="hybridMultilevel"/>
    <w:lvl w:ilvl="0">
      <w:lvlJc w:val="left"/>
      <w:lvlText w:val="(%1)"/>
      <w:numFmt w:val="lowerLetter"/>
      <w:start w:val="3"/>
    </w:lvl>
    <w:lvl w:ilvl="1">
      <w:lvlJc w:val="left"/>
      <w:lvlText w:val="(%2)"/>
      <w:numFmt w:val="lowerLetter"/>
      <w:start w:val="9"/>
    </w:lvl>
  </w:abstractNum>
  <w:abstractNum w:abstractNumId="64">
    <w:nsid w:val="60B6DF70"/>
    <w:multiLevelType w:val="hybridMultilevel"/>
    <w:lvl w:ilvl="0">
      <w:lvlJc w:val="left"/>
      <w:lvlText w:val="(%1)"/>
      <w:numFmt w:val="lowerRoman"/>
      <w:start w:val="2"/>
    </w:lvl>
    <w:lvl w:ilvl="1">
      <w:lvlJc w:val="left"/>
      <w:lvlText w:val="(%2)"/>
      <w:numFmt w:val="upperLetter"/>
      <w:start w:val="1"/>
    </w:lvl>
  </w:abstractNum>
  <w:abstractNum w:abstractNumId="65">
    <w:nsid w:val="6A5EE64"/>
    <w:multiLevelType w:val="hybridMultilevel"/>
    <w:lvl w:ilvl="0">
      <w:lvlJc w:val="left"/>
      <w:lvlText w:val="(%1)"/>
      <w:numFmt w:val="decimal"/>
      <w:start w:val="3"/>
    </w:lvl>
  </w:abstractNum>
  <w:abstractNum w:abstractNumId="66">
    <w:nsid w:val="14330624"/>
    <w:multiLevelType w:val="hybridMultilevel"/>
    <w:lvl w:ilvl="0">
      <w:lvlJc w:val="left"/>
      <w:lvlText w:val="(%1)"/>
      <w:numFmt w:val="lowerRoman"/>
      <w:start w:val="3"/>
    </w:lvl>
  </w:abstractNum>
  <w:abstractNum w:abstractNumId="67">
    <w:nsid w:val="7FFFCA1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68">
    <w:nsid w:val="1A27709E"/>
    <w:multiLevelType w:val="hybridMultilevel"/>
    <w:lvl w:ilvl="0">
      <w:lvlJc w:val="left"/>
      <w:lvlText w:val="(%1)"/>
      <w:numFmt w:val="lowerRoman"/>
      <w:start w:val="1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9">
    <w:nsid w:val="71EA110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70">
    <w:nsid w:val="100F59DC"/>
    <w:multiLevelType w:val="hybridMultilevel"/>
    <w:lvl w:ilvl="0">
      <w:lvlJc w:val="left"/>
      <w:lvlText w:val="(%1)"/>
      <w:numFmt w:val="lowerRoman"/>
      <w:start w:val="6"/>
    </w:lvl>
    <w:lvl w:ilvl="1">
      <w:lvlJc w:val="left"/>
      <w:lvlText w:val="(%2)"/>
      <w:numFmt w:val="upperLetter"/>
      <w:start w:val="1"/>
    </w:lvl>
  </w:abstractNum>
  <w:abstractNum w:abstractNumId="71">
    <w:nsid w:val="7FB7E0AA"/>
    <w:multiLevelType w:val="hybridMultilevel"/>
    <w:lvl w:ilvl="0">
      <w:lvlJc w:val="left"/>
      <w:lvlText w:val="%1"/>
      <w:numFmt w:val="lowerRoman"/>
      <w:start w:val="1"/>
    </w:lvl>
    <w:lvl w:ilvl="1">
      <w:lvlJc w:val="left"/>
      <w:lvlText w:val="(%2)"/>
      <w:numFmt w:val="upperLetter"/>
      <w:start w:val="1"/>
    </w:lvl>
  </w:abstractNum>
  <w:abstractNum w:abstractNumId="72">
    <w:nsid w:val="6EB5BD4"/>
    <w:multiLevelType w:val="hybridMultilevel"/>
    <w:lvl w:ilvl="0">
      <w:lvlJc w:val="left"/>
      <w:lvlText w:val="(%1)"/>
      <w:numFmt w:val="lowerRoman"/>
      <w:start w:val="9"/>
    </w:lvl>
    <w:lvl w:ilvl="1">
      <w:lvlJc w:val="left"/>
      <w:lvlText w:val="%2"/>
      <w:numFmt w:val="upperLetter"/>
      <w:start w:val="1"/>
    </w:lvl>
  </w:abstractNum>
  <w:abstractNum w:abstractNumId="73">
    <w:nsid w:val="6F6DD9AC"/>
    <w:multiLevelType w:val="hybridMultilevel"/>
    <w:lvl w:ilvl="0">
      <w:lvlJc w:val="left"/>
      <w:lvlText w:val="(%1)"/>
      <w:numFmt w:val="upperLetter"/>
      <w:start w:val="1"/>
    </w:lvl>
  </w:abstractNum>
  <w:abstractNum w:abstractNumId="74">
    <w:nsid w:val="94211F2"/>
    <w:multiLevelType w:val="hybridMultilevel"/>
    <w:lvl w:ilvl="0">
      <w:lvlJc w:val="left"/>
      <w:lvlText w:val="(%1)"/>
      <w:numFmt w:val="upperLetter"/>
      <w:start w:val="2"/>
    </w:lvl>
  </w:abstractNum>
  <w:abstractNum w:abstractNumId="75">
    <w:nsid w:val="885E1B"/>
    <w:multiLevelType w:val="hybridMultilevel"/>
    <w:lvl w:ilvl="0">
      <w:lvlJc w:val="left"/>
      <w:lvlText w:val="(%1)"/>
      <w:numFmt w:val="lowerLetter"/>
      <w:start w:val="5"/>
    </w:lvl>
  </w:abstractNum>
  <w:abstractNum w:abstractNumId="76">
    <w:nsid w:val="76272110"/>
    <w:multiLevelType w:val="hybridMultilevel"/>
    <w:lvl w:ilvl="0">
      <w:lvlJc w:val="left"/>
      <w:lvlText w:val="(%1)"/>
      <w:numFmt w:val="lowerLetter"/>
      <w:start w:val="6"/>
    </w:lvl>
    <w:lvl w:ilvl="1">
      <w:lvlJc w:val="left"/>
      <w:lvlText w:val="(%2)"/>
      <w:numFmt w:val="lowerRoman"/>
      <w:start w:val="1"/>
    </w:lvl>
  </w:abstractNum>
  <w:abstractNum w:abstractNumId="77">
    <w:nsid w:val="4C04A8AF"/>
    <w:multiLevelType w:val="hybridMultilevel"/>
    <w:lvl w:ilvl="0">
      <w:lvlJc w:val="left"/>
      <w:lvlText w:val="%1"/>
      <w:numFmt w:val="lowerLetter"/>
      <w:start w:val="1"/>
    </w:lvl>
    <w:lvl w:ilvl="1">
      <w:lvlJc w:val="left"/>
      <w:lvlText w:val="(%2)"/>
      <w:numFmt w:val="lowerRoman"/>
      <w:start w:val="7"/>
    </w:lvl>
  </w:abstractNum>
  <w:abstractNum w:abstractNumId="78">
    <w:nsid w:val="1716703B"/>
    <w:multiLevelType w:val="hybridMultilevel"/>
    <w:lvl w:ilvl="0">
      <w:lvlJc w:val="left"/>
      <w:lvlText w:val="(%1)"/>
      <w:numFmt w:val="lowerLetter"/>
      <w:start w:val="7"/>
    </w:lvl>
    <w:lvl w:ilvl="1">
      <w:lvlJc w:val="left"/>
      <w:lvlText w:val="%2"/>
      <w:numFmt w:val="lowerRoman"/>
      <w:start w:val="1"/>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4"/>
    </w:lvl>
    <w:lvl w:ilvl="1">
      <w:lvlJc w:val="left"/>
      <w:lvlText w:val="(%2)"/>
      <w:numFmt w:val="lowerRoman"/>
      <w:start w:val="1"/>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Letter"/>
      <w:start w:val="1"/>
    </w:lvl>
    <w:lvl w:ilvl="1">
      <w:lvlJc w:val="left"/>
      <w:lvlText w:val="(%2)"/>
      <w:numFmt w:val="lowerRoman"/>
      <w:start w:val="1"/>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2"/>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2"/>
    </w:lvl>
  </w:abstractNum>
  <w:abstractNum w:abstractNumId="89">
    <w:nsid w:val="43F18422"/>
    <w:multiLevelType w:val="hybridMultilevel"/>
    <w:lvl w:ilvl="0">
      <w:lvlJc w:val="left"/>
      <w:lvlText w:val="(%1)"/>
      <w:numFmt w:val="lowerLetter"/>
      <w:start w:val="5"/>
    </w:lvl>
  </w:abstractNum>
  <w:abstractNum w:abstractNumId="90">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1">
    <w:nsid w:val="26F324BA"/>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32" Type="http://schemas.openxmlformats.org/officeDocument/2006/relationships/hyperlink" Target="https://www.sec.gov/ix?doc=/Archives/edgar/data/1539838/000153983825000021/fang-20241231.htm" TargetMode="External"/><Relationship Id="rId48" Type="http://schemas.openxmlformats.org/officeDocument/2006/relationships/hyperlink" Target="https://www.sec.gov/ix?doc=/Archives/edgar/data/1539838/000153983825000021/fang-20241231.htm#i053f68c8a5b54cc6914592ae094665f7_136" TargetMode="External"/><Relationship Id="rId67" Type="http://schemas.openxmlformats.org/officeDocument/2006/relationships/hyperlink" Target="https://www.sec.gov/ix?doc=/Archives/edgar/data/1539838/000153983825000021/fang-20241231.htm#i053f68c8a5b54cc6914592ae094665f7_169" TargetMode="External"/><Relationship Id="rId94" Type="http://schemas.openxmlformats.org/officeDocument/2006/relationships/hyperlink" Target="https://www.sec.gov/ix?doc=/Archives/edgar/data/0001539838/000153983825000066/fang-20250331.htm#i0ba3daecd2de4676b0eddee54ae44157_166" TargetMode="External"/><Relationship Id="rId103" Type="http://schemas.openxmlformats.org/officeDocument/2006/relationships/hyperlink" Target="https://www.sec.gov/ix?doc=/Archives/edgar/data/1539838/000153983825000021/fang-20241231.htm#i053f68c8a5b54cc6914592ae094665f7_25" TargetMode="External"/><Relationship Id="rId104" Type="http://schemas.openxmlformats.org/officeDocument/2006/relationships/hyperlink" Target="https://www.sec.gov/ix?doc=/Archives/edgar/data/0001539838/000153983825000066/fang-20250331.htm" TargetMode="External"/><Relationship Id="rId107" Type="http://schemas.openxmlformats.org/officeDocument/2006/relationships/hyperlink" Target="https://www.sec.gov/Archives/edgar/data/1539838/000153983823000086/diamondbackex31-6x14x23.htm" TargetMode="External"/><Relationship Id="rId108" Type="http://schemas.openxmlformats.org/officeDocument/2006/relationships/hyperlink" Target="https://www.sec.gov/Archives/edgar/data/1539838/000114036124040726/ef20035628_ex3-1.htm" TargetMode="External"/><Relationship Id="rId109" Type="http://schemas.openxmlformats.org/officeDocument/2006/relationships/hyperlink" Target="https://www.sec.gov/Archives/edgar/data/1602065/000119312525163455/d901207dex41.htm" TargetMode="External"/><Relationship Id="rId110" Type="http://schemas.openxmlformats.org/officeDocument/2006/relationships/hyperlink" Target="https://www.sec.gov/Archives/edgar/data/2074176/000119312525183036/d66098dex48.htm" TargetMode="External"/><Relationship Id="rId111" Type="http://schemas.openxmlformats.org/officeDocument/2006/relationships/hyperlink" Target="https://www.sec.gov/Archives/edgar/data/1602065/000119312525163455/d901207dex43.htm" TargetMode="External"/><Relationship Id="rId112"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2025-11-05T15:31:35Z</dcterms:created>
  <dcterms:modified xsi:type="dcterms:W3CDTF">2025-11-05T15:31:35Z</dcterms:modified>
</cp:coreProperties>
</file>