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1875790</wp:posOffset>
            </wp:positionH>
            <wp:positionV relativeFrom="page">
              <wp:posOffset>2499995</wp:posOffset>
            </wp:positionV>
            <wp:extent cx="4021455" cy="146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021455" cy="1466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Calibri" w:cs="Calibri" w:eastAsia="Calibri" w:hAnsi="Calibri"/>
          <w:sz w:val="39"/>
          <w:szCs w:val="39"/>
          <w:color w:val="auto"/>
        </w:rPr>
        <w:t>Diamondback Energy, Inc.</w:t>
      </w:r>
    </w:p>
    <w:p>
      <w:pPr>
        <w:sectPr>
          <w:pgSz w:w="12240" w:h="15840" w:orient="portrait"/>
          <w:cols w:equalWidth="0" w:num="1">
            <w:col w:w="9360"/>
          </w:cols>
          <w:pgMar w:left="1440" w:top="1440" w:right="1440" w:bottom="1440" w:gutter="0" w:footer="0" w:header="0"/>
        </w:sectPr>
      </w:pPr>
    </w:p>
    <w:p>
      <w:pPr>
        <w:spacing w:after="0" w:line="172" w:lineRule="exact"/>
        <w:rPr>
          <w:sz w:val="24"/>
          <w:szCs w:val="24"/>
          <w:color w:val="auto"/>
        </w:rPr>
      </w:pPr>
    </w:p>
    <w:p>
      <w:pPr>
        <w:jc w:val="center"/>
        <w:spacing w:after="0"/>
        <w:rPr>
          <w:sz w:val="20"/>
          <w:szCs w:val="20"/>
          <w:color w:val="auto"/>
        </w:rPr>
      </w:pPr>
      <w:r>
        <w:rPr>
          <w:rFonts w:ascii="Calibri" w:cs="Calibri" w:eastAsia="Calibri" w:hAnsi="Calibri"/>
          <w:sz w:val="39"/>
          <w:szCs w:val="39"/>
          <w:color w:val="auto"/>
        </w:rPr>
        <w:t>2024 Annual Report</w:t>
      </w:r>
    </w:p>
    <w:p>
      <w:pPr>
        <w:sectPr>
          <w:pgSz w:w="12240" w:h="15840" w:orient="portrait"/>
          <w:cols w:equalWidth="0" w:num="1">
            <w:col w:w="9360"/>
          </w:cols>
          <w:pgMar w:left="1440" w:top="1440"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582295</wp:posOffset>
                </wp:positionH>
                <wp:positionV relativeFrom="page">
                  <wp:posOffset>234315</wp:posOffset>
                </wp:positionV>
                <wp:extent cx="66198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85pt,18.45pt" to="567.1pt,18.45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582295</wp:posOffset>
                </wp:positionH>
                <wp:positionV relativeFrom="page">
                  <wp:posOffset>281940</wp:posOffset>
                </wp:positionV>
                <wp:extent cx="66198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85pt,22.2pt" to="567.1pt,22.2pt" o:allowincell="f" strokecolor="#000000" strokeweight="1pt">
                <w10:wrap anchorx="page" anchory="page"/>
              </v:line>
            </w:pict>
          </mc:Fallback>
        </mc:AlternateContent>
        <w:t>UNITED STATES</w:t>
      </w:r>
    </w:p>
    <w:p>
      <w:pPr>
        <w:jc w:val="center"/>
        <w:spacing w:after="0" w:line="237"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139065</wp:posOffset>
                </wp:positionV>
                <wp:extent cx="25431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10.95pt" to="352.1pt,10.95pt" o:allowincell="f" strokecolor="#000000" strokeweight="1pt"/>
            </w:pict>
          </mc:Fallback>
        </mc:AlternateConten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140335</wp:posOffset>
                </wp:positionV>
                <wp:extent cx="25431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11.05pt" to="352.1pt,11.05pt" o:allowincell="f" strokecolor="#000000" strokeweight="1pt"/>
            </w:pict>
          </mc:Fallback>
        </mc:AlternateContent>
      </w:r>
    </w:p>
    <w:p>
      <w:pPr>
        <w:spacing w:after="0" w:line="200" w:lineRule="exact"/>
        <w:rPr>
          <w:sz w:val="20"/>
          <w:szCs w:val="20"/>
          <w:color w:val="auto"/>
        </w:rPr>
      </w:pPr>
    </w:p>
    <w:p>
      <w:pPr>
        <w:spacing w:after="0" w:line="256" w:lineRule="exact"/>
        <w:rPr>
          <w:sz w:val="20"/>
          <w:szCs w:val="20"/>
          <w:color w:val="auto"/>
        </w:rPr>
      </w:pPr>
    </w:p>
    <w:p>
      <w:pPr>
        <w:ind w:left="3700" w:right="1320" w:hanging="3650"/>
        <w:spacing w:after="0" w:line="233" w:lineRule="auto"/>
        <w:tabs>
          <w:tab w:leader="none" w:pos="649" w:val="left"/>
        </w:tabs>
        <w:numPr>
          <w:ilvl w:val="0"/>
          <w:numId w:val="1"/>
        </w:numPr>
        <w:rPr>
          <w:rFonts w:ascii="Segoe UI Symbol" w:cs="Segoe UI Symbol" w:eastAsia="Segoe UI Symbol" w:hAnsi="Segoe UI Symbol"/>
          <w:sz w:val="22"/>
          <w:szCs w:val="22"/>
          <w:color w:val="auto"/>
        </w:rPr>
      </w:pPr>
      <w:r>
        <w:rPr>
          <w:rFonts w:ascii="Times New Roman" w:cs="Times New Roman" w:eastAsia="Times New Roman" w:hAnsi="Times New Roman"/>
          <w:sz w:val="18"/>
          <w:szCs w:val="18"/>
          <w:b w:val="1"/>
          <w:bCs w:val="1"/>
          <w:color w:val="auto"/>
        </w:rPr>
        <w:t>ANNUAL REPORT UNDER SECTION 13 OR 15(d) OF THE SECURITIES EXCHANGE ACT OF 1934 For the fiscal year ended December 31, 2024</w:t>
      </w:r>
    </w:p>
    <w:p>
      <w:pPr>
        <w:spacing w:after="0" w:line="2" w:lineRule="exact"/>
        <w:rPr>
          <w:rFonts w:ascii="Segoe UI Symbol" w:cs="Segoe UI Symbol" w:eastAsia="Segoe UI Symbol" w:hAnsi="Segoe UI Symbol"/>
          <w:sz w:val="22"/>
          <w:szCs w:val="22"/>
          <w:color w:val="auto"/>
        </w:rPr>
      </w:pPr>
    </w:p>
    <w:p>
      <w:pPr>
        <w:ind w:left="4900"/>
        <w:spacing w:after="0"/>
        <w:rPr>
          <w:rFonts w:ascii="Segoe UI Symbol" w:cs="Segoe UI Symbol" w:eastAsia="Segoe UI Symbol" w:hAnsi="Segoe UI Symbol"/>
          <w:sz w:val="22"/>
          <w:szCs w:val="22"/>
          <w:color w:val="auto"/>
        </w:rPr>
      </w:pPr>
      <w:r>
        <w:rPr>
          <w:rFonts w:ascii="Times New Roman" w:cs="Times New Roman" w:eastAsia="Times New Roman" w:hAnsi="Times New Roman"/>
          <w:sz w:val="18"/>
          <w:szCs w:val="18"/>
          <w:b w:val="1"/>
          <w:bCs w:val="1"/>
          <w:color w:val="auto"/>
        </w:rPr>
        <w:t>OR</w:t>
      </w:r>
    </w:p>
    <w:p>
      <w:pPr>
        <w:spacing w:after="0" w:line="132" w:lineRule="exact"/>
        <w:rPr>
          <w:sz w:val="20"/>
          <w:szCs w:val="20"/>
          <w:color w:val="auto"/>
        </w:rPr>
      </w:pPr>
    </w:p>
    <w:p>
      <w:pPr>
        <w:ind w:left="3620" w:right="1380" w:hanging="3570"/>
        <w:spacing w:after="0" w:line="218" w:lineRule="auto"/>
        <w:tabs>
          <w:tab w:leader="none" w:pos="642" w:val="left"/>
        </w:tabs>
        <w:numPr>
          <w:ilvl w:val="0"/>
          <w:numId w:val="2"/>
        </w:numPr>
        <w:rPr>
          <w:rFonts w:ascii="Segoe UI Symbol" w:cs="Segoe UI Symbol" w:eastAsia="Segoe UI Symbol" w:hAnsi="Segoe UI Symbol"/>
          <w:sz w:val="24"/>
          <w:szCs w:val="24"/>
          <w:color w:val="auto"/>
        </w:rPr>
      </w:pPr>
      <w:r>
        <w:rPr>
          <w:rFonts w:ascii="Times New Roman" w:cs="Times New Roman" w:eastAsia="Times New Roman" w:hAnsi="Times New Roman"/>
          <w:sz w:val="18"/>
          <w:szCs w:val="18"/>
          <w:b w:val="1"/>
          <w:bCs w:val="1"/>
          <w:color w:val="auto"/>
        </w:rPr>
        <w:t>TRANSITION REPORT UNDER SECTION 13 OR 15(d) OF SECURITIES EXCHANGE ACT OF 1934 Commission File Number 001-35700</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Diamondback Energy,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-266065</wp:posOffset>
                </wp:positionV>
                <wp:extent cx="25431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20.9499pt" to="352.1pt,-20.9499pt" o:allowincell="f" strokecolor="#000000" strokeweight="1pt"/>
            </w:pict>
          </mc:Fallback>
        </mc:AlternateConten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88900</wp:posOffset>
                </wp:positionV>
                <wp:extent cx="2543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7pt" to="352.1pt,7pt" o:allowincell="f" strokecolor="#000000" strokeweight="1pt"/>
            </w:pict>
          </mc:Fallback>
        </mc:AlternateConten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52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DE</w:t>
            </w:r>
          </w:p>
        </w:tc>
        <w:tc>
          <w:tcPr>
            <w:tcW w:w="2980" w:type="dxa"/>
            <w:vAlign w:val="bottom"/>
          </w:tcPr>
          <w:p>
            <w:pPr>
              <w:spacing w:after="0"/>
              <w:rPr>
                <w:sz w:val="20"/>
                <w:szCs w:val="20"/>
                <w:color w:val="auto"/>
              </w:rPr>
            </w:pPr>
          </w:p>
        </w:tc>
        <w:tc>
          <w:tcPr>
            <w:tcW w:w="2240" w:type="dxa"/>
            <w:vAlign w:val="bottom"/>
            <w:gridSpan w:val="3"/>
          </w:tcPr>
          <w:p>
            <w:pPr>
              <w:jc w:val="center"/>
              <w:ind w:left="974"/>
              <w:spacing w:after="0"/>
              <w:rPr>
                <w:sz w:val="20"/>
                <w:szCs w:val="20"/>
                <w:color w:val="auto"/>
              </w:rPr>
            </w:pPr>
            <w:r>
              <w:rPr>
                <w:rFonts w:ascii="Times New Roman" w:cs="Times New Roman" w:eastAsia="Times New Roman" w:hAnsi="Times New Roman"/>
                <w:sz w:val="18"/>
                <w:szCs w:val="18"/>
                <w:b w:val="1"/>
                <w:bCs w:val="1"/>
                <w:color w:val="auto"/>
                <w:w w:val="98"/>
              </w:rPr>
              <w:t>45-4502447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980" w:type="dxa"/>
            <w:vAlign w:val="bottom"/>
            <w:gridSpan w:val="4"/>
          </w:tcPr>
          <w:p>
            <w:pPr>
              <w:jc w:val="center"/>
              <w:ind w:right="1736"/>
              <w:spacing w:after="0" w:line="172"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 Incorporation or</w:t>
            </w:r>
          </w:p>
        </w:tc>
        <w:tc>
          <w:tcPr>
            <w:tcW w:w="3840" w:type="dxa"/>
            <w:vAlign w:val="bottom"/>
            <w:gridSpan w:val="7"/>
          </w:tcPr>
          <w:p>
            <w:pPr>
              <w:jc w:val="center"/>
              <w:ind w:right="560"/>
              <w:spacing w:after="0" w:line="172" w:lineRule="exact"/>
              <w:rPr>
                <w:sz w:val="20"/>
                <w:szCs w:val="20"/>
                <w:color w:val="auto"/>
              </w:rPr>
            </w:pPr>
            <w:r>
              <w:rPr>
                <w:rFonts w:ascii="Times New Roman" w:cs="Times New Roman" w:eastAsia="Times New Roman" w:hAnsi="Times New Roman"/>
                <w:sz w:val="16"/>
                <w:szCs w:val="16"/>
                <w:b w:val="1"/>
                <w:bCs w:val="1"/>
                <w:color w:val="auto"/>
                <w:w w:val="99"/>
              </w:rPr>
              <w:t>(I.R.S. Employer Identification Number)</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Organization)</w:t>
            </w:r>
          </w:p>
        </w:tc>
        <w:tc>
          <w:tcPr>
            <w:tcW w:w="2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000" w:type="dxa"/>
            <w:vAlign w:val="bottom"/>
            <w:gridSpan w:val="3"/>
          </w:tcPr>
          <w:p>
            <w:pPr>
              <w:jc w:val="center"/>
              <w:ind w:left="1077"/>
              <w:spacing w:after="0"/>
              <w:rPr>
                <w:sz w:val="20"/>
                <w:szCs w:val="20"/>
                <w:color w:val="auto"/>
              </w:rPr>
            </w:pPr>
            <w:r>
              <w:rPr>
                <w:rFonts w:ascii="Times New Roman" w:cs="Times New Roman" w:eastAsia="Times New Roman" w:hAnsi="Times New Roman"/>
                <w:sz w:val="18"/>
                <w:szCs w:val="18"/>
                <w:b w:val="1"/>
                <w:bCs w:val="1"/>
                <w:color w:val="auto"/>
                <w:w w:val="99"/>
              </w:rPr>
              <w:t>500 West Texas</w:t>
            </w:r>
          </w:p>
        </w:tc>
        <w:tc>
          <w:tcPr>
            <w:tcW w:w="2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52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Suite 100</w:t>
            </w:r>
          </w:p>
        </w:tc>
        <w:tc>
          <w:tcPr>
            <w:tcW w:w="2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0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Midland, TX</w:t>
            </w:r>
          </w:p>
        </w:tc>
        <w:tc>
          <w:tcPr>
            <w:tcW w:w="2980" w:type="dxa"/>
            <w:vAlign w:val="bottom"/>
          </w:tcPr>
          <w:p>
            <w:pPr>
              <w:spacing w:after="0"/>
              <w:rPr>
                <w:sz w:val="20"/>
                <w:szCs w:val="20"/>
                <w:color w:val="auto"/>
              </w:rPr>
            </w:pPr>
          </w:p>
        </w:tc>
        <w:tc>
          <w:tcPr>
            <w:tcW w:w="2240" w:type="dxa"/>
            <w:vAlign w:val="bottom"/>
            <w:gridSpan w:val="3"/>
          </w:tcPr>
          <w:p>
            <w:pPr>
              <w:jc w:val="center"/>
              <w:ind w:left="954"/>
              <w:spacing w:after="0"/>
              <w:rPr>
                <w:sz w:val="20"/>
                <w:szCs w:val="20"/>
                <w:color w:val="auto"/>
              </w:rPr>
            </w:pPr>
            <w:r>
              <w:rPr>
                <w:rFonts w:ascii="Times New Roman" w:cs="Times New Roman" w:eastAsia="Times New Roman" w:hAnsi="Times New Roman"/>
                <w:sz w:val="18"/>
                <w:szCs w:val="18"/>
                <w:b w:val="1"/>
                <w:bCs w:val="1"/>
                <w:color w:val="auto"/>
                <w:w w:val="97"/>
              </w:rPr>
              <w:t>79701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980" w:type="dxa"/>
            <w:vAlign w:val="bottom"/>
            <w:gridSpan w:val="4"/>
          </w:tcPr>
          <w:p>
            <w:pPr>
              <w:jc w:val="center"/>
              <w:ind w:right="1756"/>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2360" w:type="dxa"/>
            <w:vAlign w:val="bottom"/>
            <w:gridSpan w:val="4"/>
          </w:tcPr>
          <w:p>
            <w:pPr>
              <w:jc w:val="center"/>
              <w:ind w:left="834"/>
              <w:spacing w:after="0"/>
              <w:rPr>
                <w:sz w:val="20"/>
                <w:szCs w:val="20"/>
                <w:color w:val="auto"/>
              </w:rPr>
            </w:pPr>
            <w:r>
              <w:rPr>
                <w:rFonts w:ascii="Times New Roman" w:cs="Times New Roman" w:eastAsia="Times New Roman" w:hAnsi="Times New Roman"/>
                <w:sz w:val="16"/>
                <w:szCs w:val="16"/>
                <w:b w:val="1"/>
                <w:bCs w:val="1"/>
                <w:color w:val="auto"/>
                <w:w w:val="97"/>
              </w:rPr>
              <w:t>(Zip code)</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520" w:type="dxa"/>
            <w:vAlign w:val="bottom"/>
          </w:tcPr>
          <w:p>
            <w:pPr>
              <w:spacing w:after="0"/>
              <w:rPr>
                <w:sz w:val="24"/>
                <w:szCs w:val="24"/>
                <w:color w:val="auto"/>
              </w:rPr>
            </w:pPr>
          </w:p>
        </w:tc>
        <w:tc>
          <w:tcPr>
            <w:tcW w:w="614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 xml:space="preserve">(Registrant Telephone Number, Including Area Code): </w:t>
            </w:r>
            <w:r>
              <w:rPr>
                <w:rFonts w:ascii="Times New Roman" w:cs="Times New Roman" w:eastAsia="Times New Roman" w:hAnsi="Times New Roman"/>
                <w:sz w:val="19"/>
                <w:szCs w:val="19"/>
                <w:b w:val="1"/>
                <w:bCs w:val="1"/>
                <w:color w:val="auto"/>
              </w:rPr>
              <w:t>(432) 221-7400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20" w:type="dxa"/>
            <w:vAlign w:val="bottom"/>
          </w:tcPr>
          <w:p>
            <w:pPr>
              <w:spacing w:after="0"/>
              <w:rPr>
                <w:sz w:val="16"/>
                <w:szCs w:val="16"/>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80" w:type="dxa"/>
            <w:vAlign w:val="bottom"/>
            <w:vMerge w:val="restart"/>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420" w:type="dxa"/>
            <w:vAlign w:val="bottom"/>
          </w:tcPr>
          <w:p>
            <w:pPr>
              <w:spacing w:after="0"/>
              <w:rPr>
                <w:sz w:val="16"/>
                <w:szCs w:val="16"/>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jc w:val="center"/>
              <w:ind w:right="800"/>
              <w:spacing w:after="0" w:line="136" w:lineRule="exact"/>
              <w:rPr>
                <w:sz w:val="20"/>
                <w:szCs w:val="20"/>
                <w:color w:val="auto"/>
              </w:rPr>
            </w:pPr>
            <w:r>
              <w:rPr>
                <w:rFonts w:ascii="Times New Roman" w:cs="Times New Roman" w:eastAsia="Times New Roman" w:hAnsi="Times New Roman"/>
                <w:sz w:val="15"/>
                <w:szCs w:val="15"/>
                <w:b w:val="1"/>
                <w:bCs w:val="1"/>
                <w:color w:val="auto"/>
              </w:rPr>
              <w:t>Registered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2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color w:val="auto"/>
              </w:rPr>
              <w:t>Common Stock, par</w:t>
            </w:r>
          </w:p>
        </w:tc>
        <w:tc>
          <w:tcPr>
            <w:tcW w:w="200" w:type="dxa"/>
            <w:vAlign w:val="bottom"/>
          </w:tcPr>
          <w:p>
            <w:pPr>
              <w:spacing w:after="0"/>
              <w:rPr>
                <w:sz w:val="10"/>
                <w:szCs w:val="10"/>
                <w:color w:val="auto"/>
              </w:rPr>
            </w:pPr>
          </w:p>
        </w:tc>
        <w:tc>
          <w:tcPr>
            <w:tcW w:w="2980" w:type="dxa"/>
            <w:vAlign w:val="bottom"/>
            <w:vMerge w:val="restart"/>
          </w:tcPr>
          <w:p>
            <w:pPr>
              <w:jc w:val="center"/>
              <w:ind w:left="936"/>
              <w:spacing w:after="0"/>
              <w:rPr>
                <w:sz w:val="20"/>
                <w:szCs w:val="20"/>
                <w:color w:val="auto"/>
              </w:rPr>
            </w:pPr>
            <w:r>
              <w:rPr>
                <w:rFonts w:ascii="Times New Roman" w:cs="Times New Roman" w:eastAsia="Times New Roman" w:hAnsi="Times New Roman"/>
                <w:sz w:val="18"/>
                <w:szCs w:val="18"/>
                <w:color w:val="auto"/>
                <w:w w:val="97"/>
              </w:rPr>
              <w:t>FANG</w:t>
            </w:r>
          </w:p>
        </w:tc>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3000" w:type="dxa"/>
            <w:vAlign w:val="bottom"/>
            <w:gridSpan w:val="3"/>
          </w:tcPr>
          <w:p>
            <w:pPr>
              <w:jc w:val="center"/>
              <w:ind w:left="1237"/>
              <w:spacing w:after="0"/>
              <w:rPr>
                <w:sz w:val="20"/>
                <w:szCs w:val="20"/>
                <w:color w:val="auto"/>
              </w:rPr>
            </w:pPr>
            <w:r>
              <w:rPr>
                <w:rFonts w:ascii="Times New Roman" w:cs="Times New Roman" w:eastAsia="Times New Roman" w:hAnsi="Times New Roman"/>
                <w:sz w:val="16"/>
                <w:szCs w:val="16"/>
                <w:color w:val="auto"/>
                <w:w w:val="99"/>
              </w:rPr>
              <w:t>value $0.01 per share</w:t>
            </w:r>
          </w:p>
        </w:tc>
        <w:tc>
          <w:tcPr>
            <w:tcW w:w="29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242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40" w:type="dxa"/>
            <w:vAlign w:val="bottom"/>
            <w:gridSpan w:val="7"/>
          </w:tcPr>
          <w:p>
            <w:pPr>
              <w:jc w:val="center"/>
              <w:ind w:left="1314"/>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198"/>
        </w:trPr>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tcPr>
          <w:p>
            <w:pPr>
              <w:jc w:val="center"/>
              <w:ind w:left="1116"/>
              <w:spacing w:after="0"/>
              <w:rPr>
                <w:sz w:val="20"/>
                <w:szCs w:val="20"/>
                <w:color w:val="auto"/>
              </w:rPr>
            </w:pPr>
            <w:r>
              <w:rPr>
                <w:rFonts w:ascii="Times New Roman" w:cs="Times New Roman" w:eastAsia="Times New Roman" w:hAnsi="Times New Roman"/>
                <w:sz w:val="16"/>
                <w:szCs w:val="16"/>
                <w:b w:val="1"/>
                <w:bCs w:val="1"/>
                <w:color w:val="auto"/>
                <w:w w:val="95"/>
              </w:rPr>
              <w:t>None</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198"/>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1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0"/>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tbl>
      <w:tblPr>
        <w:tblLayout w:type="fixed"/>
        <w:tblInd w:w="0" w:type="dxa"/>
        <w:tblCellMar>
          <w:top w:w="0" w:type="dxa"/>
          <w:left w:w="0" w:type="dxa"/>
          <w:bottom w:w="0" w:type="dxa"/>
          <w:right w:w="0" w:type="dxa"/>
        </w:tblCellMar>
      </w:tblPr>
      <w:tr>
        <w:trPr>
          <w:trHeight w:val="168"/>
        </w:trPr>
        <w:tc>
          <w:tcPr>
            <w:tcW w:w="1008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w:t>
            </w:r>
          </w:p>
        </w:tc>
      </w:tr>
      <w:tr>
        <w:trPr>
          <w:trHeight w:val="161"/>
        </w:trPr>
        <w:tc>
          <w:tcPr>
            <w:tcW w:w="100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auto"/>
              </w:rPr>
              <w:t>emerging growth company. See the definitions of “large accelerated filer,” “accelerated filer,” “smaller reporting company” and “emerging growth</w:t>
            </w:r>
          </w:p>
        </w:tc>
      </w:tr>
      <w:tr>
        <w:trPr>
          <w:trHeight w:val="215"/>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in Rule 12b-2 of the Exchange Act:</w:t>
            </w:r>
          </w:p>
        </w:tc>
        <w:tc>
          <w:tcPr>
            <w:tcW w:w="4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4"/>
        </w:trPr>
        <w:tc>
          <w:tcPr>
            <w:tcW w:w="2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460"/>
              <w:spacing w:after="0"/>
              <w:rPr>
                <w:sz w:val="20"/>
                <w:szCs w:val="20"/>
                <w:color w:val="auto"/>
              </w:rPr>
            </w:pPr>
            <w:r>
              <w:rPr>
                <w:rFonts w:ascii="Segoe UI Symbol" w:cs="Segoe UI Symbol" w:eastAsia="Segoe UI Symbol" w:hAnsi="Segoe UI Symbol"/>
                <w:sz w:val="16"/>
                <w:szCs w:val="16"/>
                <w:color w:val="auto"/>
              </w:rPr>
              <w:t>☒</w:t>
            </w:r>
          </w:p>
        </w:tc>
        <w:tc>
          <w:tcPr>
            <w:tcW w:w="42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440"/>
              <w:spacing w:after="0"/>
              <w:rPr>
                <w:sz w:val="20"/>
                <w:szCs w:val="20"/>
                <w:color w:val="auto"/>
              </w:rPr>
            </w:pPr>
            <w:r>
              <w:rPr>
                <w:rFonts w:ascii="Segoe UI Symbol" w:cs="Segoe UI Symbol" w:eastAsia="Segoe UI Symbol" w:hAnsi="Segoe UI Symbol"/>
                <w:sz w:val="16"/>
                <w:szCs w:val="16"/>
                <w:color w:val="auto"/>
              </w:rPr>
              <w:t>☐</w:t>
            </w:r>
          </w:p>
        </w:tc>
      </w:tr>
      <w:tr>
        <w:trPr>
          <w:trHeight w:val="244"/>
        </w:trPr>
        <w:tc>
          <w:tcPr>
            <w:tcW w:w="2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460"/>
              <w:spacing w:after="0"/>
              <w:rPr>
                <w:sz w:val="20"/>
                <w:szCs w:val="20"/>
                <w:color w:val="auto"/>
              </w:rPr>
            </w:pPr>
            <w:r>
              <w:rPr>
                <w:rFonts w:ascii="Segoe UI Symbol" w:cs="Segoe UI Symbol" w:eastAsia="Segoe UI Symbol" w:hAnsi="Segoe UI Symbol"/>
                <w:sz w:val="16"/>
                <w:szCs w:val="16"/>
                <w:color w:val="auto"/>
              </w:rPr>
              <w:t>☐</w:t>
            </w:r>
          </w:p>
        </w:tc>
        <w:tc>
          <w:tcPr>
            <w:tcW w:w="42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440"/>
              <w:spacing w:after="0"/>
              <w:rPr>
                <w:sz w:val="20"/>
                <w:szCs w:val="20"/>
                <w:color w:val="auto"/>
              </w:rPr>
            </w:pPr>
            <w:r>
              <w:rPr>
                <w:rFonts w:ascii="Segoe UI Symbol" w:cs="Segoe UI Symbol" w:eastAsia="Segoe UI Symbol" w:hAnsi="Segoe UI Symbol"/>
                <w:sz w:val="16"/>
                <w:szCs w:val="16"/>
                <w:color w:val="auto"/>
              </w:rPr>
              <w:t>☐</w:t>
            </w:r>
          </w:p>
        </w:tc>
      </w:tr>
      <w:tr>
        <w:trPr>
          <w:trHeight w:val="363"/>
        </w:trPr>
        <w:tc>
          <w:tcPr>
            <w:tcW w:w="2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2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440"/>
              <w:spacing w:after="0"/>
              <w:rPr>
                <w:sz w:val="20"/>
                <w:szCs w:val="20"/>
                <w:color w:val="auto"/>
              </w:rPr>
            </w:pPr>
            <w:r>
              <w:rPr>
                <w:rFonts w:ascii="Segoe UI Symbol" w:cs="Segoe UI Symbol" w:eastAsia="Segoe UI Symbol" w:hAnsi="Segoe UI Symbol"/>
                <w:sz w:val="16"/>
                <w:szCs w:val="16"/>
                <w:color w:val="auto"/>
              </w:rPr>
              <w:t>☐</w:t>
            </w:r>
          </w:p>
        </w:tc>
      </w:tr>
    </w:tbl>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its audit report. </w:t>
      </w:r>
      <w:r>
        <w:rPr>
          <w:rFonts w:ascii="Segoe UI Symbol" w:cs="Segoe UI Symbol" w:eastAsia="Segoe UI Symbol" w:hAnsi="Segoe UI Symbol"/>
          <w:sz w:val="16"/>
          <w:szCs w:val="16"/>
          <w:color w:val="auto"/>
        </w:rPr>
        <w:t>☒</w:t>
      </w:r>
    </w:p>
    <w:p>
      <w:pPr>
        <w:spacing w:after="0" w:line="2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2"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tabs>
          <w:tab w:leader="none" w:pos="7400" w:val="left"/>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Aggregate market value of the voting and non-voting common equity held by non-affiliates of registrant as of June 30, 2024 was approximately $35.5 billion.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2025, 289,440,898 shares of the registrant’s common stock were outstanding.</w:t>
      </w:r>
    </w:p>
    <w:p>
      <w:pPr>
        <w:spacing w:after="0" w:line="4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Portions of Diamondback Energy, Inc.’s Proxy Statement for the 2025 Annual Meeting of Stockholders are incorporated by reference in Items 10, 11, 12, 13 and 14 of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68580</wp:posOffset>
                </wp:positionV>
                <wp:extent cx="66198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pt" to="521.25pt,5.4pt" o:allowincell="f" strokecolor="#000000" strokeweight="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116205</wp:posOffset>
                </wp:positionV>
                <wp:extent cx="66198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5pt" to="521.25pt,9.15pt" o:allowincell="f" strokecolor="#000000" strokeweight="1pt"/>
            </w:pict>
          </mc:Fallback>
        </mc:AlternateContent>
      </w:r>
    </w:p>
    <w:p>
      <w:pPr>
        <w:sectPr>
          <w:pgSz w:w="12240" w:h="15840" w:orient="portrait"/>
          <w:cols w:equalWidth="0" w:num="1">
            <w:col w:w="10080"/>
          </w:cols>
          <w:pgMar w:left="1080" w:top="408" w:right="1080" w:bottom="674" w:gutter="0" w:footer="0" w:header="0"/>
        </w:sectPr>
      </w:pPr>
    </w:p>
    <w:bookmarkStart w:id="2" w:name="page3"/>
    <w:bookmarkEnd w:id="2"/>
    <w:p>
      <w:pPr>
        <w:ind w:left="3500"/>
        <w:spacing w:after="0"/>
        <w:rPr>
          <w:sz w:val="20"/>
          <w:szCs w:val="20"/>
          <w:color w:val="auto"/>
        </w:rPr>
      </w:pPr>
      <w:r>
        <w:rPr>
          <w:rFonts w:ascii="Times New Roman" w:cs="Times New Roman" w:eastAsia="Times New Roman" w:hAnsi="Times New Roman"/>
          <w:sz w:val="20"/>
          <w:szCs w:val="20"/>
          <w:b w:val="1"/>
          <w:bCs w:val="1"/>
          <w:color w:val="auto"/>
        </w:rPr>
        <w:t>DIAMONDBACK ENERGY, INC.</w:t>
      </w:r>
    </w:p>
    <w:p>
      <w:pPr>
        <w:spacing w:after="0" w:line="2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5991225</wp:posOffset>
                </wp:positionH>
                <wp:positionV relativeFrom="paragraph">
                  <wp:posOffset>31750</wp:posOffset>
                </wp:positionV>
                <wp:extent cx="3714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75pt,2.5pt" to="501pt,2.5pt" o:allowincell="f" strokecolor="#000000" strokeweight="1pt"/>
            </w:pict>
          </mc:Fallback>
        </mc:AlternateContent>
      </w:r>
    </w:p>
    <w:p>
      <w:pPr>
        <w:spacing w:after="0" w:line="40" w:lineRule="exact"/>
        <w:rPr>
          <w:sz w:val="20"/>
          <w:szCs w:val="20"/>
          <w:color w:val="auto"/>
        </w:rPr>
      </w:pPr>
    </w:p>
    <w:p>
      <w:pPr>
        <w:spacing w:after="0"/>
        <w:tabs>
          <w:tab w:leader="dot" w:pos="9640" w:val="left"/>
        </w:tabs>
        <w:rPr>
          <w:sz w:val="20"/>
          <w:szCs w:val="20"/>
          <w:color w:val="auto"/>
        </w:rPr>
      </w:pPr>
      <w:r>
        <w:rPr>
          <w:rFonts w:ascii="Times New Roman" w:cs="Times New Roman" w:eastAsia="Times New Roman" w:hAnsi="Times New Roman"/>
          <w:sz w:val="20"/>
          <w:szCs w:val="20"/>
          <w:color w:val="auto"/>
        </w:rPr>
        <w:t>Glossary of Oil and Natural Gas Terms</w:t>
      </w:r>
      <w:r>
        <w:rPr>
          <w:sz w:val="20"/>
          <w:szCs w:val="20"/>
          <w:color w:val="auto"/>
        </w:rPr>
        <w:tab/>
      </w:r>
      <w:r>
        <w:rPr>
          <w:rFonts w:ascii="Times New Roman" w:cs="Times New Roman" w:eastAsia="Times New Roman" w:hAnsi="Times New Roman"/>
          <w:sz w:val="20"/>
          <w:szCs w:val="20"/>
          <w:color w:val="auto"/>
        </w:rPr>
        <w:t>ii</w:t>
      </w:r>
    </w:p>
    <w:p>
      <w:pPr>
        <w:spacing w:after="0" w:line="70" w:lineRule="exact"/>
        <w:rPr>
          <w:sz w:val="20"/>
          <w:szCs w:val="20"/>
          <w:color w:val="auto"/>
        </w:rPr>
      </w:pPr>
    </w:p>
    <w:p>
      <w:pPr>
        <w:spacing w:after="0"/>
        <w:tabs>
          <w:tab w:leader="dot" w:pos="9620" w:val="left"/>
        </w:tabs>
        <w:rPr>
          <w:sz w:val="20"/>
          <w:szCs w:val="20"/>
          <w:color w:val="auto"/>
        </w:rPr>
      </w:pPr>
      <w:r>
        <w:rPr>
          <w:rFonts w:ascii="Times New Roman" w:cs="Times New Roman" w:eastAsia="Times New Roman" w:hAnsi="Times New Roman"/>
          <w:sz w:val="20"/>
          <w:szCs w:val="20"/>
          <w:color w:val="auto"/>
        </w:rPr>
        <w:t>Glossary of Certain Other Terms</w:t>
      </w:r>
      <w:r>
        <w:rPr>
          <w:sz w:val="20"/>
          <w:szCs w:val="20"/>
          <w:color w:val="auto"/>
        </w:rPr>
        <w:tab/>
      </w:r>
      <w:r>
        <w:rPr>
          <w:rFonts w:ascii="Times New Roman" w:cs="Times New Roman" w:eastAsia="Times New Roman" w:hAnsi="Times New Roman"/>
          <w:sz w:val="20"/>
          <w:szCs w:val="20"/>
          <w:color w:val="auto"/>
        </w:rPr>
        <w:t>iv</w:t>
      </w:r>
    </w:p>
    <w:p>
      <w:pPr>
        <w:spacing w:after="0" w:line="70" w:lineRule="exact"/>
        <w:rPr>
          <w:sz w:val="20"/>
          <w:szCs w:val="20"/>
          <w:color w:val="auto"/>
        </w:rPr>
      </w:pPr>
    </w:p>
    <w:p>
      <w:pPr>
        <w:spacing w:after="0"/>
        <w:tabs>
          <w:tab w:leader="dot" w:pos="9660" w:val="left"/>
        </w:tabs>
        <w:rPr>
          <w:sz w:val="20"/>
          <w:szCs w:val="20"/>
          <w:color w:val="auto"/>
        </w:rPr>
      </w:pPr>
      <w:r>
        <w:rPr>
          <w:rFonts w:ascii="Times New Roman" w:cs="Times New Roman" w:eastAsia="Times New Roman" w:hAnsi="Times New Roman"/>
          <w:sz w:val="20"/>
          <w:szCs w:val="20"/>
          <w:color w:val="auto"/>
        </w:rPr>
        <w:t>Cautionary Statement Regarding Forward-Looking Statements</w:t>
      </w:r>
      <w:r>
        <w:rPr>
          <w:sz w:val="20"/>
          <w:szCs w:val="20"/>
          <w:color w:val="auto"/>
        </w:rPr>
        <w:tab/>
      </w:r>
      <w:r>
        <w:rPr>
          <w:rFonts w:ascii="Times New Roman" w:cs="Times New Roman" w:eastAsia="Times New Roman" w:hAnsi="Times New Roman"/>
          <w:sz w:val="20"/>
          <w:szCs w:val="20"/>
          <w:color w:val="auto"/>
        </w:rPr>
        <w:t>v</w:t>
      </w:r>
    </w:p>
    <w:p>
      <w:pPr>
        <w:spacing w:after="0" w:line="3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73" w:lineRule="exact"/>
        <w:rPr>
          <w:sz w:val="20"/>
          <w:szCs w:val="20"/>
          <w:color w:val="auto"/>
        </w:rPr>
      </w:pPr>
    </w:p>
    <w:p>
      <w:pPr>
        <w:spacing w:after="0"/>
        <w:tabs>
          <w:tab w:leader="dot" w:pos="9660" w:val="left"/>
        </w:tabs>
        <w:rPr>
          <w:sz w:val="20"/>
          <w:szCs w:val="20"/>
          <w:color w:val="auto"/>
        </w:rPr>
      </w:pPr>
      <w:r>
        <w:rPr>
          <w:rFonts w:ascii="Times New Roman" w:cs="Times New Roman" w:eastAsia="Times New Roman" w:hAnsi="Times New Roman"/>
          <w:sz w:val="20"/>
          <w:szCs w:val="20"/>
          <w:color w:val="auto"/>
        </w:rPr>
        <w:t>Items 1 and 2. Business and Properties</w:t>
      </w:r>
      <w:r>
        <w:rPr>
          <w:sz w:val="20"/>
          <w:szCs w:val="20"/>
          <w:color w:val="auto"/>
        </w:rPr>
        <w:tab/>
      </w:r>
      <w:r>
        <w:rPr>
          <w:rFonts w:ascii="Times New Roman" w:cs="Times New Roman" w:eastAsia="Times New Roman" w:hAnsi="Times New Roman"/>
          <w:sz w:val="20"/>
          <w:szCs w:val="20"/>
          <w:color w:val="auto"/>
        </w:rPr>
        <w:t>1</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23</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42</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42</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3. Legal Proceedings</w:t>
      </w:r>
      <w:r>
        <w:rPr>
          <w:sz w:val="20"/>
          <w:szCs w:val="20"/>
          <w:color w:val="auto"/>
        </w:rPr>
        <w:tab/>
      </w:r>
      <w:r>
        <w:rPr>
          <w:rFonts w:ascii="Times New Roman" w:cs="Times New Roman" w:eastAsia="Times New Roman" w:hAnsi="Times New Roman"/>
          <w:sz w:val="20"/>
          <w:szCs w:val="20"/>
          <w:color w:val="auto"/>
        </w:rPr>
        <w:t>44</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4. Mine Safety Disclosures</w:t>
      </w:r>
      <w:r>
        <w:rPr>
          <w:sz w:val="20"/>
          <w:szCs w:val="20"/>
          <w:color w:val="auto"/>
        </w:rPr>
        <w:tab/>
      </w:r>
      <w:r>
        <w:rPr>
          <w:rFonts w:ascii="Times New Roman" w:cs="Times New Roman" w:eastAsia="Times New Roman" w:hAnsi="Times New Roman"/>
          <w:sz w:val="20"/>
          <w:szCs w:val="20"/>
          <w:color w:val="auto"/>
        </w:rPr>
        <w:t>44</w:t>
      </w:r>
    </w:p>
    <w:p>
      <w:pPr>
        <w:spacing w:after="0" w:line="36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5" w:lineRule="auto"/>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p>
      <w:pPr>
        <w:spacing w:after="0" w:line="180" w:lineRule="auto"/>
        <w:tabs>
          <w:tab w:leader="dot" w:pos="960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9"/>
          <w:szCs w:val="29"/>
          <w:color w:val="auto"/>
          <w:vertAlign w:val="superscript"/>
        </w:rPr>
        <w:t>45</w:t>
      </w:r>
    </w:p>
    <w:p>
      <w:pPr>
        <w:spacing w:after="0" w:line="1"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6. [RESERVED]</w:t>
      </w:r>
      <w:r>
        <w:rPr>
          <w:sz w:val="20"/>
          <w:szCs w:val="20"/>
          <w:color w:val="auto"/>
        </w:rPr>
        <w:tab/>
      </w:r>
      <w:r>
        <w:rPr>
          <w:rFonts w:ascii="Times New Roman" w:cs="Times New Roman" w:eastAsia="Times New Roman" w:hAnsi="Times New Roman"/>
          <w:sz w:val="20"/>
          <w:szCs w:val="20"/>
          <w:color w:val="auto"/>
        </w:rPr>
        <w:t>46</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47</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64</w:t>
      </w:r>
    </w:p>
    <w:p>
      <w:pPr>
        <w:spacing w:after="0" w:line="70"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Item 8. Financial Statements and Supplementary Data</w:t>
      </w:r>
      <w:r>
        <w:rPr>
          <w:sz w:val="20"/>
          <w:szCs w:val="20"/>
          <w:color w:val="auto"/>
        </w:rPr>
        <w:tab/>
      </w:r>
      <w:r>
        <w:rPr>
          <w:rFonts w:ascii="Times New Roman" w:cs="Times New Roman" w:eastAsia="Times New Roman" w:hAnsi="Times New Roman"/>
          <w:sz w:val="20"/>
          <w:szCs w:val="20"/>
          <w:color w:val="auto"/>
        </w:rPr>
        <w:t>66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r>
        <w:rPr>
          <w:sz w:val="20"/>
          <w:szCs w:val="20"/>
          <w:color w:val="auto"/>
        </w:rPr>
        <w:tab/>
      </w:r>
      <w:r>
        <w:rPr>
          <w:rFonts w:ascii="Times New Roman" w:cs="Times New Roman" w:eastAsia="Times New Roman" w:hAnsi="Times New Roman"/>
          <w:sz w:val="18"/>
          <w:szCs w:val="18"/>
          <w:color w:val="auto"/>
        </w:rPr>
        <w:t>123</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18"/>
          <w:szCs w:val="18"/>
          <w:color w:val="auto"/>
        </w:rPr>
        <w:t>123</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18"/>
          <w:szCs w:val="18"/>
          <w:color w:val="auto"/>
        </w:rPr>
        <w:t>126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r>
        <w:rPr>
          <w:sz w:val="20"/>
          <w:szCs w:val="20"/>
          <w:color w:val="auto"/>
        </w:rPr>
        <w:tab/>
      </w:r>
      <w:r>
        <w:rPr>
          <w:rFonts w:ascii="Times New Roman" w:cs="Times New Roman" w:eastAsia="Times New Roman" w:hAnsi="Times New Roman"/>
          <w:sz w:val="18"/>
          <w:szCs w:val="18"/>
          <w:color w:val="auto"/>
        </w:rPr>
        <w:t>126</w:t>
      </w:r>
    </w:p>
    <w:p>
      <w:pPr>
        <w:spacing w:after="0" w:line="36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73"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18"/>
          <w:szCs w:val="18"/>
          <w:color w:val="auto"/>
        </w:rPr>
        <w:t>126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18"/>
          <w:szCs w:val="18"/>
          <w:color w:val="auto"/>
        </w:rPr>
        <w:t>126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r>
        <w:rPr>
          <w:sz w:val="20"/>
          <w:szCs w:val="20"/>
          <w:color w:val="auto"/>
        </w:rPr>
        <w:tab/>
      </w:r>
      <w:r>
        <w:rPr>
          <w:rFonts w:ascii="Times New Roman" w:cs="Times New Roman" w:eastAsia="Times New Roman" w:hAnsi="Times New Roman"/>
          <w:sz w:val="18"/>
          <w:szCs w:val="18"/>
          <w:color w:val="auto"/>
        </w:rPr>
        <w:t>126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18"/>
          <w:szCs w:val="18"/>
          <w:color w:val="auto"/>
        </w:rPr>
        <w:t>126</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14. Principal Accountant Fees and Services</w:t>
      </w:r>
      <w:r>
        <w:rPr>
          <w:sz w:val="20"/>
          <w:szCs w:val="20"/>
          <w:color w:val="auto"/>
        </w:rPr>
        <w:tab/>
      </w:r>
      <w:r>
        <w:rPr>
          <w:rFonts w:ascii="Times New Roman" w:cs="Times New Roman" w:eastAsia="Times New Roman" w:hAnsi="Times New Roman"/>
          <w:sz w:val="18"/>
          <w:szCs w:val="18"/>
          <w:color w:val="auto"/>
        </w:rPr>
        <w:t>126</w:t>
      </w:r>
    </w:p>
    <w:p>
      <w:pPr>
        <w:spacing w:after="0" w:line="36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73"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15. Exhibits and Financial Statement Schedules</w:t>
      </w:r>
      <w:r>
        <w:rPr>
          <w:sz w:val="20"/>
          <w:szCs w:val="20"/>
          <w:color w:val="auto"/>
        </w:rPr>
        <w:tab/>
      </w:r>
      <w:r>
        <w:rPr>
          <w:rFonts w:ascii="Times New Roman" w:cs="Times New Roman" w:eastAsia="Times New Roman" w:hAnsi="Times New Roman"/>
          <w:sz w:val="18"/>
          <w:szCs w:val="18"/>
          <w:color w:val="auto"/>
        </w:rPr>
        <w:t>127</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Item 16. Form 10-K Summary</w:t>
      </w:r>
      <w:r>
        <w:rPr>
          <w:sz w:val="20"/>
          <w:szCs w:val="20"/>
          <w:color w:val="auto"/>
        </w:rPr>
        <w:tab/>
      </w:r>
      <w:r>
        <w:rPr>
          <w:rFonts w:ascii="Times New Roman" w:cs="Times New Roman" w:eastAsia="Times New Roman" w:hAnsi="Times New Roman"/>
          <w:sz w:val="18"/>
          <w:szCs w:val="18"/>
          <w:color w:val="auto"/>
        </w:rPr>
        <w:t>132</w:t>
      </w:r>
    </w:p>
    <w:p>
      <w:pPr>
        <w:spacing w:after="0" w:line="70" w:lineRule="exact"/>
        <w:rPr>
          <w:sz w:val="20"/>
          <w:szCs w:val="20"/>
          <w:color w:val="auto"/>
        </w:rPr>
      </w:pPr>
    </w:p>
    <w:p>
      <w:pPr>
        <w:spacing w:after="0"/>
        <w:tabs>
          <w:tab w:leader="dot" w:pos="956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18"/>
          <w:szCs w:val="18"/>
          <w:color w:val="auto"/>
        </w:rPr>
        <w:t>133</w:t>
      </w:r>
    </w:p>
    <w:p>
      <w:pPr>
        <w:sectPr>
          <w:pgSz w:w="12240" w:h="15840" w:orient="portrait"/>
          <w:cols w:equalWidth="0" w:num="1">
            <w:col w:w="9900"/>
          </w:cols>
          <w:pgMar w:left="1140" w:top="64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900"/>
          </w:cols>
          <w:pgMar w:left="1140" w:top="646" w:right="120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GLOSSARY OF OIL AND NATURAL GAS TERMS</w:t>
      </w:r>
    </w:p>
    <w:p>
      <w:pPr>
        <w:spacing w:after="0" w:line="236" w:lineRule="exact"/>
        <w:rPr>
          <w:sz w:val="20"/>
          <w:szCs w:val="20"/>
          <w:color w:val="auto"/>
        </w:rPr>
      </w:pPr>
    </w:p>
    <w:p>
      <w:pPr>
        <w:ind w:left="100" w:right="220" w:firstLine="720"/>
        <w:spacing w:after="0" w:line="289" w:lineRule="auto"/>
        <w:rPr>
          <w:sz w:val="20"/>
          <w:szCs w:val="20"/>
          <w:color w:val="auto"/>
        </w:rPr>
      </w:pPr>
      <w:r>
        <w:rPr>
          <w:rFonts w:ascii="Times New Roman" w:cs="Times New Roman" w:eastAsia="Times New Roman" w:hAnsi="Times New Roman"/>
          <w:sz w:val="20"/>
          <w:szCs w:val="20"/>
          <w:color w:val="auto"/>
        </w:rPr>
        <w:t>The following is a glossary of certain oil and natural gas industry terms used in this Annual Report on Form 10-K, which we refer to as this Annual Report or this report:</w:t>
      </w:r>
    </w:p>
    <w:p>
      <w:pPr>
        <w:spacing w:after="0" w:line="63"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040" w:type="dxa"/>
            <w:vAlign w:val="bottom"/>
            <w:tcBorders>
              <w:top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color w:val="auto"/>
              </w:rPr>
              <w:t>3-D seismic</w:t>
            </w:r>
          </w:p>
        </w:tc>
        <w:tc>
          <w:tcPr>
            <w:tcW w:w="8040" w:type="dxa"/>
            <w:vAlign w:val="bottom"/>
            <w:tcBorders>
              <w:top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Geophysical data that depict the subsurface strata in three dimensions. 3 -D seismic typically provides a more</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detailed and accurate interpretation of the subsurface strata than 2-D, or two-dimensional, seismic.</w:t>
            </w:r>
          </w:p>
        </w:tc>
      </w:tr>
      <w:tr>
        <w:trPr>
          <w:trHeight w:val="27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Argus WTI Houston</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Houston, Texas.</w:t>
            </w:r>
          </w:p>
        </w:tc>
      </w:tr>
      <w:tr>
        <w:trPr>
          <w:trHeight w:val="28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Argus WTI Midland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Midland, Texas.</w:t>
            </w:r>
          </w:p>
        </w:tc>
      </w:tr>
      <w:tr>
        <w:trPr>
          <w:trHeight w:val="28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Basin</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29"/>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Bbl or barrel</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stock tank barrel, or 42 U.S. gallons liquid volume, used in this report in reference to crude oil or other</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 hydrocarbons.</w:t>
            </w:r>
          </w:p>
        </w:tc>
      </w:tr>
      <w:tr>
        <w:trPr>
          <w:trHeight w:val="27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barrel of crude oil.</w:t>
            </w:r>
          </w:p>
        </w:tc>
      </w:tr>
      <w:tr>
        <w:trPr>
          <w:trHeight w:val="28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barrel of crude oil per day.</w:t>
            </w:r>
          </w:p>
        </w:tc>
      </w:tr>
      <w:tr>
        <w:trPr>
          <w:trHeight w:val="229"/>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BOE</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barrel of crude oil equivalent, with six thousand cubic feet of natural gas being equivalent to one barrel</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oil.</w:t>
            </w:r>
          </w:p>
        </w:tc>
      </w:tr>
      <w:tr>
        <w:trPr>
          <w:trHeight w:val="278"/>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BOE/d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Barrels of crude oil equivalent per day.</w:t>
            </w:r>
          </w:p>
        </w:tc>
      </w:tr>
      <w:tr>
        <w:trPr>
          <w:trHeight w:val="286"/>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Brent</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major trading classification of light sweet oil that serves as a benchmark price for oil worldwide.</w:t>
            </w:r>
          </w:p>
        </w:tc>
      </w:tr>
      <w:tr>
        <w:trPr>
          <w:trHeight w:val="229"/>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British  Thermal  Unit  or</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41"/>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BTU</w:t>
            </w:r>
          </w:p>
        </w:tc>
        <w:tc>
          <w:tcPr>
            <w:tcW w:w="8040" w:type="dxa"/>
            <w:vAlign w:val="bottom"/>
          </w:tcPr>
          <w:p>
            <w:pPr>
              <w:spacing w:after="0"/>
              <w:rPr>
                <w:sz w:val="20"/>
                <w:szCs w:val="20"/>
                <w:color w:val="auto"/>
              </w:rPr>
            </w:pP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natural gas or oil, or in the case of a dry hole, the reporting of abandonment to the appropriate agency.</w:t>
            </w:r>
          </w:p>
        </w:tc>
      </w:tr>
      <w:tr>
        <w:trPr>
          <w:trHeight w:val="278"/>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Condensate</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 hydrocarbons associated with the production that is primarily natural gas.</w:t>
            </w:r>
          </w:p>
        </w:tc>
      </w:tr>
      <w:tr>
        <w:trPr>
          <w:trHeight w:val="283"/>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Crude oil</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88"/>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Developed acreage</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Acreage allocated or assignable to productive wells.</w:t>
            </w:r>
          </w:p>
        </w:tc>
      </w:tr>
      <w:tr>
        <w:trPr>
          <w:trHeight w:val="281"/>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3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Differential</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adjustment to the price of oil or natural gas from an established spot market price to reflect differences in</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quality and/or location of oil or natural gas.</w:t>
            </w:r>
          </w:p>
        </w:tc>
      </w:tr>
      <w:tr>
        <w:trPr>
          <w:trHeight w:val="224"/>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Dry hole or dry well</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well found to be incapable of producing hydrocarbons in sufficient quantities such that proceeds from the</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such production exceed production expenses and taxes.</w:t>
            </w: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Estimated Ultimate</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Estimated ultimate recovery is the sum of reserves remaining as of a given date and cumulative production</w:t>
            </w:r>
          </w:p>
        </w:tc>
      </w:tr>
      <w:tr>
        <w:trPr>
          <w:trHeight w:val="241"/>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Recovery or EUR</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 that date.</w:t>
            </w: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Exploitation</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development or other project which may target proven or unproven reserves (such as probable or possible</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reserves), but which generally has a lower risk than that associated with exploration projects.</w:t>
            </w: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Field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area consisting of either a single reservoir or multiple reservoirs, all grouped on or related to the same</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 geological structural feature and/or stratigraphic condition.</w:t>
            </w: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Finding and development</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41"/>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divided by proved reserve additions and revisions to proved reserves.</w:t>
            </w:r>
          </w:p>
        </w:tc>
      </w:tr>
      <w:tr>
        <w:trPr>
          <w:trHeight w:val="222"/>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Fracturing</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process of creating and preserving a fracture or system of fractures in a reservoir rock typically by</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injecting a fluid under pressure through a wellbore and into the targeted formation.</w:t>
            </w:r>
          </w:p>
        </w:tc>
      </w:tr>
      <w:tr>
        <w:trPr>
          <w:trHeight w:val="279"/>
        </w:trPr>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working interest is owned.</w:t>
            </w:r>
          </w:p>
        </w:tc>
      </w:tr>
      <w:tr>
        <w:trPr>
          <w:trHeight w:val="28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Henry Hub</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futures on the NYMEX.</w:t>
            </w:r>
          </w:p>
        </w:tc>
      </w:tr>
      <w:tr>
        <w:trPr>
          <w:trHeight w:val="229"/>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drilling</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drilled at a right angle within a specified interval.</w:t>
            </w:r>
          </w:p>
        </w:tc>
      </w:tr>
      <w:tr>
        <w:trPr>
          <w:trHeight w:val="222"/>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wells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vertical drilling mechanisms.</w:t>
            </w:r>
          </w:p>
        </w:tc>
      </w:tr>
      <w:tr>
        <w:trPr>
          <w:trHeight w:val="278"/>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MBbls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barrels of crude oil and other liquid hydrocarbons.</w:t>
            </w:r>
          </w:p>
        </w:tc>
      </w:tr>
      <w:tr>
        <w:trPr>
          <w:trHeight w:val="28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MBO</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barrels of crude oil.</w:t>
            </w:r>
          </w:p>
        </w:tc>
      </w:tr>
      <w:tr>
        <w:trPr>
          <w:trHeight w:val="28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MBO/d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barrels of crude oil per day.</w:t>
            </w:r>
          </w:p>
        </w:tc>
      </w:tr>
      <w:tr>
        <w:trPr>
          <w:trHeight w:val="229"/>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MBOE</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barrels of crude oil equivalent, determined using a ratio of six Mcf of natural gas to one Bbl of</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crude oil, condensate or natural gas liquids.</w:t>
            </w:r>
          </w:p>
        </w:tc>
      </w:tr>
      <w:tr>
        <w:trPr>
          <w:trHeight w:val="27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MBOE/d</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BOE per day.</w:t>
            </w:r>
          </w:p>
        </w:tc>
      </w:tr>
      <w:tr>
        <w:trPr>
          <w:trHeight w:val="28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thousand cubic feet of natural gas.</w:t>
            </w:r>
          </w:p>
        </w:tc>
      </w:tr>
      <w:tr>
        <w:trPr>
          <w:trHeight w:val="232"/>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Mineral interests</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w:t>
            </w:r>
          </w:p>
        </w:tc>
      </w:tr>
      <w:tr>
        <w:trPr>
          <w:trHeight w:val="241"/>
        </w:trPr>
        <w:tc>
          <w:tcPr>
            <w:tcW w:w="2040" w:type="dxa"/>
            <w:vAlign w:val="bottom"/>
          </w:tcPr>
          <w:p>
            <w:pPr>
              <w:spacing w:after="0"/>
              <w:rPr>
                <w:sz w:val="20"/>
                <w:szCs w:val="20"/>
                <w:color w:val="auto"/>
              </w:rPr>
            </w:pP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extracted resources.</w:t>
            </w:r>
          </w:p>
        </w:tc>
      </w:tr>
      <w:tr>
        <w:trPr>
          <w:trHeight w:val="27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 million British Thermal Units.</w:t>
            </w:r>
          </w:p>
        </w:tc>
      </w:tr>
      <w:tr>
        <w:trPr>
          <w:trHeight w:val="300"/>
        </w:trPr>
        <w:tc>
          <w:tcPr>
            <w:tcW w:w="2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MMcf</w:t>
            </w:r>
          </w:p>
        </w:tc>
        <w:tc>
          <w:tcPr>
            <w:tcW w:w="8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Million cubic feet of natural gas.</w:t>
            </w:r>
          </w:p>
        </w:tc>
      </w:tr>
      <w:tr>
        <w:trPr>
          <w:trHeight w:val="701"/>
        </w:trPr>
        <w:tc>
          <w:tcPr>
            <w:tcW w:w="2040" w:type="dxa"/>
            <w:vAlign w:val="bottom"/>
          </w:tcPr>
          <w:p>
            <w:pPr>
              <w:spacing w:after="0"/>
              <w:rPr>
                <w:sz w:val="24"/>
                <w:szCs w:val="24"/>
                <w:color w:val="auto"/>
              </w:rPr>
            </w:pPr>
          </w:p>
        </w:tc>
        <w:tc>
          <w:tcPr>
            <w:tcW w:w="8040" w:type="dxa"/>
            <w:vAlign w:val="bottom"/>
          </w:tcPr>
          <w:p>
            <w:pPr>
              <w:ind w:left="2920"/>
              <w:spacing w:after="0"/>
              <w:rPr>
                <w:sz w:val="20"/>
                <w:szCs w:val="20"/>
                <w:color w:val="auto"/>
              </w:rPr>
            </w:pPr>
            <w:r>
              <w:rPr>
                <w:rFonts w:ascii="Times New Roman" w:cs="Times New Roman" w:eastAsia="Times New Roman" w:hAnsi="Times New Roman"/>
                <w:sz w:val="20"/>
                <w:szCs w:val="20"/>
                <w:color w:val="auto"/>
              </w:rPr>
              <w:t>ii</w:t>
            </w:r>
          </w:p>
        </w:tc>
      </w:tr>
    </w:tbl>
    <w:p>
      <w:pPr>
        <w:sectPr>
          <w:pgSz w:w="12240" w:h="15840" w:orient="portrait"/>
          <w:cols w:equalWidth="0" w:num="1">
            <w:col w:w="10180"/>
          </w:cols>
          <w:pgMar w:left="980" w:top="205" w:right="1080"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2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acres or net wells</w:t>
            </w:r>
          </w:p>
        </w:tc>
        <w:tc>
          <w:tcPr>
            <w:tcW w:w="8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sum of the fractional working interest owned in gross acres.</w:t>
            </w:r>
          </w:p>
        </w:tc>
        <w:tc>
          <w:tcPr>
            <w:tcW w:w="20" w:type="dxa"/>
            <w:vAlign w:val="bottom"/>
            <w:tcBorders>
              <w:top w:val="single" w:sz="8" w:color="auto"/>
            </w:tcBorders>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 interest</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owner’s interest in the revenues of a well after deducting proceeds allocated to royalty, overriding</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interests and other burdens.</w:t>
            </w:r>
          </w:p>
        </w:tc>
        <w:tc>
          <w:tcPr>
            <w:tcW w:w="20" w:type="dxa"/>
            <w:vAlign w:val="bottom"/>
          </w:tcPr>
          <w:p>
            <w:pPr>
              <w:spacing w:after="0"/>
              <w:rPr>
                <w:sz w:val="20"/>
                <w:szCs w:val="20"/>
                <w:color w:val="auto"/>
              </w:rPr>
            </w:pPr>
          </w:p>
        </w:tc>
      </w:tr>
      <w:tr>
        <w:trPr>
          <w:trHeight w:val="278"/>
        </w:trPr>
        <w:tc>
          <w:tcPr>
            <w:tcW w:w="2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royalty acres</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tc>
        <w:tc>
          <w:tcPr>
            <w:tcW w:w="2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and natural gas</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Operator</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Play or Resource play</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set of discovered or prospective oil and/or natural gas accumulations sharing similar geologic, geographic</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and  temporal properties, such as source rock, reservoir structure, timing, trapping mechanism and</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hydrocarbon type.</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Plugging and abandonment</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Refers to the sealing off of fluids in the reservoir penetrated by a well so that the fluids from one reservoir</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not escape into another or to the surface. Regulations of all states require plugging of abandoned wells.</w:t>
            </w:r>
          </w:p>
        </w:tc>
        <w:tc>
          <w:tcPr>
            <w:tcW w:w="20" w:type="dxa"/>
            <w:vAlign w:val="bottom"/>
          </w:tcPr>
          <w:p>
            <w:pPr>
              <w:spacing w:after="0"/>
              <w:rPr>
                <w:sz w:val="20"/>
                <w:szCs w:val="20"/>
                <w:color w:val="auto"/>
              </w:rPr>
            </w:pPr>
          </w:p>
        </w:tc>
      </w:tr>
      <w:tr>
        <w:trPr>
          <w:trHeight w:val="278"/>
        </w:trPr>
        <w:tc>
          <w:tcPr>
            <w:tcW w:w="2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PUD</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Proved undeveloped reserves.</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Productive well</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well that is found to be mechanically capable of producing hydrocarbons in sufficient quantities such that</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sale of the production exceed production expenses and taxes.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Prospect</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preliminary economic analysis using reasonably anticipated prices and costs, is deemed to have potential for</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discovery of commercially recoverable hydrocarbons.</w:t>
            </w:r>
          </w:p>
        </w:tc>
        <w:tc>
          <w:tcPr>
            <w:tcW w:w="2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Proved developed reserves</w:t>
            </w: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that can be expected to be recovered through existing wells with existing equipment and operating</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methods.</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Proved reserves</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demonstrate with reasonable certainty to be commercially recoverable in future years from known reservoirs</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 existing economic and operating conditions.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Proved undeveloped</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Proved reserves that are expected to be recovered from new wells on undrilled acreage or from existing</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wells where a relatively major expenditure is required for recompletion.</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Recompletion</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process of re-entering an existing wellbore that is either producing or not producing and completing new</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reservoirs in an attempt to establish or increase existing production.</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Reserves are estimated remaining quantities of oil and natural gas and related substances anticipated to be</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economically  producible,  as  of  a  given  date,  by  application  of  development  projects  to  known</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accumulations. In addition, there must exist, or there must be a reasonable expectation that there will exist,</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the legal right to produce or a revenue interest in the production, installed means of delivering oil and natural</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gas or related substances to the market and all permits and financing required to implement the project.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Reserves should not be assigned to adjacent reservoirs isolated by major, potentially sealing, faults until</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those reservoirs are penetrated and evaluated as economically producible. Reserves should not be assigned to</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areas that are clearly separated from a known accumulation by a non-productive reservoir (i.e., absence of</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reservoir, structurally low reservoir or negative test results). Such areas may contain prospective resources</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(i.e., potentially recoverable resources from undiscovered accumulations).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Reservoir</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and/or crude oil that is confined by impermeable rock or water barriers and is separate from other reservoirs.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interest</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carry any costs of development, which may be subject to expiration.</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Spacing</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(e.g., 40-acre spacing) and is often established by regulatory agencies.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Standardized measure</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present value of estimated future net revenue to be generated from the production of proved reserves,</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determined in accordance with the rules and regulations of the SEC (using prices and costs in effect as of the</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date of estimation), less future development, production and income tax expenses, and discounted at</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 per annum to reflect the timing of future net revenue.</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Tight formation</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formation with low permeability that produces natural gas with very low flow rates for long periods of</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Undeveloped acreage</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acreage on which wells have not been drilled or completed to a point that would permit the production</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economic quantities of oil and natural gas regardless of whether such acreage contains proved reserves.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Waha Hub</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Natural gas gathering point that serves as a benchmark price for natural gas at western Texas and New</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20"/>
                <w:szCs w:val="20"/>
                <w:color w:val="auto"/>
              </w:rPr>
            </w:pPr>
          </w:p>
        </w:tc>
      </w:tr>
      <w:tr>
        <w:trPr>
          <w:trHeight w:val="278"/>
        </w:trPr>
        <w:tc>
          <w:tcPr>
            <w:tcW w:w="2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Wellbore</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hole drilled by the bit that is equipped for oil or natural gas production on a completed well.</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interest</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color w:val="auto"/>
              </w:rPr>
              <w:t>property and receive a share of production and requires the owner to pay a share of the costs of drilling and</w:t>
            </w:r>
          </w:p>
        </w:tc>
        <w:tc>
          <w:tcPr>
            <w:tcW w:w="2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production operations.</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WTI</w:t>
            </w: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 Texas Intermediate, a light sweet blend of oil produced from fields in western Texas and is a grade of</w:t>
            </w:r>
          </w:p>
        </w:tc>
        <w:tc>
          <w:tcPr>
            <w:tcW w:w="2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that serves as a benchmark for oil on the NYMEX.</w:t>
            </w:r>
          </w:p>
        </w:tc>
        <w:tc>
          <w:tcPr>
            <w:tcW w:w="20" w:type="dxa"/>
            <w:vAlign w:val="bottom"/>
          </w:tcPr>
          <w:p>
            <w:pPr>
              <w:spacing w:after="0"/>
              <w:rPr>
                <w:sz w:val="20"/>
                <w:szCs w:val="20"/>
                <w:color w:val="auto"/>
              </w:rPr>
            </w:pPr>
          </w:p>
        </w:tc>
      </w:tr>
      <w:tr>
        <w:trPr>
          <w:trHeight w:val="293"/>
        </w:trPr>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WTI Cushing</w:t>
            </w:r>
          </w:p>
        </w:tc>
        <w:tc>
          <w:tcPr>
            <w:tcW w:w="8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Grade of oil that serves as a benchmark price for oil at Cushing, Oklahoma.</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10200"/>
          </w:cols>
          <w:pgMar w:left="980" w:top="205" w:right="106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GLOSSARY OF CERTAIN OTHER TERMS</w:t>
      </w:r>
    </w:p>
    <w:p>
      <w:pPr>
        <w:spacing w:after="0" w:line="2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is a glossary of certain other terms that are used in this Annual Report:</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ASU</w:t>
            </w:r>
          </w:p>
        </w:tc>
        <w:tc>
          <w:tcPr>
            <w:tcW w:w="83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9"/>
                <w:szCs w:val="19"/>
                <w:color w:val="auto"/>
              </w:rPr>
              <w:t>Accounting Standards Update.</w:t>
            </w:r>
          </w:p>
        </w:tc>
        <w:tc>
          <w:tcPr>
            <w:tcW w:w="0" w:type="dxa"/>
            <w:vAlign w:val="bottom"/>
          </w:tcPr>
          <w:p>
            <w:pPr>
              <w:spacing w:after="0"/>
              <w:rPr>
                <w:sz w:val="1"/>
                <w:szCs w:val="1"/>
                <w:color w:val="auto"/>
              </w:rPr>
            </w:pPr>
          </w:p>
        </w:tc>
      </w:tr>
      <w:tr>
        <w:trPr>
          <w:trHeight w:val="283"/>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Company</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Diamondback Energy, Inc., a Delaware corporation, together with its subsidiaries.</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Dodd-Frank Act</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Dodd-Frank Wall Street Reform and Consumer Protection Act (HR 4173).</w:t>
            </w:r>
          </w:p>
        </w:tc>
        <w:tc>
          <w:tcPr>
            <w:tcW w:w="0" w:type="dxa"/>
            <w:vAlign w:val="bottom"/>
          </w:tcPr>
          <w:p>
            <w:pPr>
              <w:spacing w:after="0"/>
              <w:rPr>
                <w:sz w:val="1"/>
                <w:szCs w:val="1"/>
                <w:color w:val="auto"/>
              </w:rPr>
            </w:pPr>
          </w:p>
        </w:tc>
      </w:tr>
      <w:tr>
        <w:trPr>
          <w:trHeight w:val="281"/>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EPA</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U.S. Environmental Protection Agency.</w:t>
            </w:r>
          </w:p>
        </w:tc>
        <w:tc>
          <w:tcPr>
            <w:tcW w:w="0" w:type="dxa"/>
            <w:vAlign w:val="bottom"/>
          </w:tcPr>
          <w:p>
            <w:pPr>
              <w:spacing w:after="0"/>
              <w:rPr>
                <w:sz w:val="1"/>
                <w:szCs w:val="1"/>
                <w:color w:val="auto"/>
              </w:rPr>
            </w:pPr>
          </w:p>
        </w:tc>
      </w:tr>
      <w:tr>
        <w:trPr>
          <w:trHeight w:val="288"/>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Equity Plan</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The Company’s 2021 Amended and Restated Equity Incentive Plan.</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Exchange Act</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The Securities Exchange Act of 1934, as amended.</w:t>
            </w:r>
          </w:p>
        </w:tc>
        <w:tc>
          <w:tcPr>
            <w:tcW w:w="0" w:type="dxa"/>
            <w:vAlign w:val="bottom"/>
          </w:tcPr>
          <w:p>
            <w:pPr>
              <w:spacing w:after="0"/>
              <w:rPr>
                <w:sz w:val="1"/>
                <w:szCs w:val="1"/>
                <w:color w:val="auto"/>
              </w:rPr>
            </w:pPr>
          </w:p>
        </w:tc>
      </w:tr>
      <w:tr>
        <w:trPr>
          <w:trHeight w:val="279"/>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FASB</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Financial Accounting Standards Board.</w:t>
            </w:r>
          </w:p>
        </w:tc>
        <w:tc>
          <w:tcPr>
            <w:tcW w:w="0" w:type="dxa"/>
            <w:vAlign w:val="bottom"/>
          </w:tcPr>
          <w:p>
            <w:pPr>
              <w:spacing w:after="0"/>
              <w:rPr>
                <w:sz w:val="1"/>
                <w:szCs w:val="1"/>
                <w:color w:val="auto"/>
              </w:rPr>
            </w:pPr>
          </w:p>
        </w:tc>
      </w:tr>
      <w:tr>
        <w:trPr>
          <w:trHeight w:val="290"/>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FERC</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Federal Energy Regulatory Commission.</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GAAP</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Accounting principles generally accepted in the United States.</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LIBOR</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The London interbank offered rate.</w:t>
            </w:r>
          </w:p>
        </w:tc>
        <w:tc>
          <w:tcPr>
            <w:tcW w:w="0" w:type="dxa"/>
            <w:vAlign w:val="bottom"/>
          </w:tcPr>
          <w:p>
            <w:pPr>
              <w:spacing w:after="0"/>
              <w:rPr>
                <w:sz w:val="1"/>
                <w:szCs w:val="1"/>
                <w:color w:val="auto"/>
              </w:rPr>
            </w:pPr>
          </w:p>
        </w:tc>
      </w:tr>
      <w:tr>
        <w:trPr>
          <w:trHeight w:val="283"/>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Nasdaq</w:t>
            </w:r>
          </w:p>
        </w:tc>
        <w:tc>
          <w:tcPr>
            <w:tcW w:w="8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The Nasdaq Global Select Market.</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NYMEX</w:t>
            </w:r>
          </w:p>
        </w:tc>
        <w:tc>
          <w:tcPr>
            <w:tcW w:w="8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New York Mercantile Exchange.</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OPEC</w:t>
            </w:r>
          </w:p>
        </w:tc>
        <w:tc>
          <w:tcPr>
            <w:tcW w:w="8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Organization of the Petroleum Exporting Countries.</w:t>
            </w:r>
          </w:p>
        </w:tc>
        <w:tc>
          <w:tcPr>
            <w:tcW w:w="0" w:type="dxa"/>
            <w:vAlign w:val="bottom"/>
          </w:tcPr>
          <w:p>
            <w:pPr>
              <w:spacing w:after="0"/>
              <w:rPr>
                <w:sz w:val="1"/>
                <w:szCs w:val="1"/>
                <w:color w:val="auto"/>
              </w:rPr>
            </w:pPr>
          </w:p>
        </w:tc>
      </w:tr>
      <w:tr>
        <w:trPr>
          <w:trHeight w:val="286"/>
        </w:trPr>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OSHA</w:t>
            </w:r>
          </w:p>
        </w:tc>
        <w:tc>
          <w:tcPr>
            <w:tcW w:w="8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Federal Occupational Safety and Health Act.</w:t>
            </w:r>
          </w:p>
        </w:tc>
        <w:tc>
          <w:tcPr>
            <w:tcW w:w="0" w:type="dxa"/>
            <w:vAlign w:val="bottom"/>
          </w:tcPr>
          <w:p>
            <w:pPr>
              <w:spacing w:after="0"/>
              <w:rPr>
                <w:sz w:val="1"/>
                <w:szCs w:val="1"/>
                <w:color w:val="auto"/>
              </w:rPr>
            </w:pPr>
          </w:p>
        </w:tc>
      </w:tr>
      <w:tr>
        <w:trPr>
          <w:trHeight w:val="214"/>
        </w:trPr>
        <w:tc>
          <w:tcPr>
            <w:tcW w:w="174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Rattler</w:t>
            </w:r>
          </w:p>
        </w:tc>
        <w:tc>
          <w:tcPr>
            <w:tcW w:w="8340" w:type="dxa"/>
            <w:vAlign w:val="bottom"/>
          </w:tcPr>
          <w:p>
            <w:pPr>
              <w:ind w:left="420"/>
              <w:spacing w:after="0" w:line="214" w:lineRule="exact"/>
              <w:rPr>
                <w:sz w:val="20"/>
                <w:szCs w:val="20"/>
                <w:color w:val="auto"/>
              </w:rPr>
            </w:pPr>
            <w:r>
              <w:rPr>
                <w:rFonts w:ascii="Times New Roman" w:cs="Times New Roman" w:eastAsia="Times New Roman" w:hAnsi="Times New Roman"/>
                <w:sz w:val="19"/>
                <w:szCs w:val="19"/>
                <w:color w:val="auto"/>
              </w:rPr>
              <w:t>Rattler Midstream LP, a Delaware limited partnership and a wholly owned subsidiary of the Company</w:t>
            </w:r>
          </w:p>
        </w:tc>
        <w:tc>
          <w:tcPr>
            <w:tcW w:w="0" w:type="dxa"/>
            <w:vAlign w:val="bottom"/>
          </w:tcPr>
          <w:p>
            <w:pPr>
              <w:spacing w:after="0"/>
              <w:rPr>
                <w:sz w:val="1"/>
                <w:szCs w:val="1"/>
                <w:color w:val="auto"/>
              </w:rPr>
            </w:pPr>
          </w:p>
        </w:tc>
      </w:tr>
      <w:tr>
        <w:trPr>
          <w:trHeight w:val="252"/>
        </w:trPr>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Rattler’s GP</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since 2022.</w:t>
            </w:r>
          </w:p>
        </w:tc>
        <w:tc>
          <w:tcPr>
            <w:tcW w:w="0" w:type="dxa"/>
            <w:vAlign w:val="bottom"/>
          </w:tcPr>
          <w:p>
            <w:pPr>
              <w:spacing w:after="0"/>
              <w:rPr>
                <w:sz w:val="1"/>
                <w:szCs w:val="1"/>
                <w:color w:val="auto"/>
              </w:rPr>
            </w:pPr>
          </w:p>
        </w:tc>
      </w:tr>
      <w:tr>
        <w:trPr>
          <w:trHeight w:val="197"/>
        </w:trPr>
        <w:tc>
          <w:tcPr>
            <w:tcW w:w="1740" w:type="dxa"/>
            <w:vAlign w:val="bottom"/>
            <w:vMerge w:val="continue"/>
          </w:tcPr>
          <w:p>
            <w:pPr>
              <w:spacing w:after="0"/>
              <w:rPr>
                <w:sz w:val="17"/>
                <w:szCs w:val="17"/>
                <w:color w:val="auto"/>
              </w:rPr>
            </w:pPr>
          </w:p>
        </w:tc>
        <w:tc>
          <w:tcPr>
            <w:tcW w:w="8340" w:type="dxa"/>
            <w:vAlign w:val="bottom"/>
          </w:tcPr>
          <w:p>
            <w:pPr>
              <w:ind w:left="420"/>
              <w:spacing w:after="0" w:line="197" w:lineRule="exact"/>
              <w:rPr>
                <w:sz w:val="20"/>
                <w:szCs w:val="20"/>
                <w:color w:val="auto"/>
              </w:rPr>
            </w:pPr>
            <w:r>
              <w:rPr>
                <w:rFonts w:ascii="Times New Roman" w:cs="Times New Roman" w:eastAsia="Times New Roman" w:hAnsi="Times New Roman"/>
                <w:sz w:val="19"/>
                <w:szCs w:val="19"/>
                <w:color w:val="auto"/>
              </w:rPr>
              <w:t>Rattler Midstream GP LLC, a Delaware limited liability company; the general partner of Rattler</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Midstream LP and a wholly owned subsidiary of the Company.</w:t>
            </w:r>
          </w:p>
        </w:tc>
        <w:tc>
          <w:tcPr>
            <w:tcW w:w="0" w:type="dxa"/>
            <w:vAlign w:val="bottom"/>
          </w:tcPr>
          <w:p>
            <w:pPr>
              <w:spacing w:after="0"/>
              <w:rPr>
                <w:sz w:val="1"/>
                <w:szCs w:val="1"/>
                <w:color w:val="auto"/>
              </w:rPr>
            </w:pPr>
          </w:p>
        </w:tc>
      </w:tr>
      <w:tr>
        <w:trPr>
          <w:trHeight w:val="225"/>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Rattler LLC</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Rattler Midstream Operating LLC, a Delaware limited liability company and a wholly owned</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subsidiary of the Company since 2022.</w:t>
            </w:r>
          </w:p>
        </w:tc>
        <w:tc>
          <w:tcPr>
            <w:tcW w:w="0" w:type="dxa"/>
            <w:vAlign w:val="bottom"/>
          </w:tcPr>
          <w:p>
            <w:pPr>
              <w:spacing w:after="0"/>
              <w:rPr>
                <w:sz w:val="1"/>
                <w:szCs w:val="1"/>
                <w:color w:val="auto"/>
              </w:rPr>
            </w:pPr>
          </w:p>
        </w:tc>
      </w:tr>
      <w:tr>
        <w:trPr>
          <w:trHeight w:val="276"/>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Ryder Scott</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Ryder Scott Company, L.P.</w:t>
            </w:r>
          </w:p>
        </w:tc>
        <w:tc>
          <w:tcPr>
            <w:tcW w:w="0" w:type="dxa"/>
            <w:vAlign w:val="bottom"/>
          </w:tcPr>
          <w:p>
            <w:pPr>
              <w:spacing w:after="0"/>
              <w:rPr>
                <w:sz w:val="1"/>
                <w:szCs w:val="1"/>
                <w:color w:val="auto"/>
              </w:rPr>
            </w:pPr>
          </w:p>
        </w:tc>
      </w:tr>
      <w:tr>
        <w:trPr>
          <w:trHeight w:val="278"/>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S&amp;P 500</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Standard and Poor’s 500 index.</w:t>
            </w:r>
          </w:p>
        </w:tc>
        <w:tc>
          <w:tcPr>
            <w:tcW w:w="0" w:type="dxa"/>
            <w:vAlign w:val="bottom"/>
          </w:tcPr>
          <w:p>
            <w:pPr>
              <w:spacing w:after="0"/>
              <w:rPr>
                <w:sz w:val="1"/>
                <w:szCs w:val="1"/>
                <w:color w:val="auto"/>
              </w:rPr>
            </w:pPr>
          </w:p>
        </w:tc>
      </w:tr>
      <w:tr>
        <w:trPr>
          <w:trHeight w:val="293"/>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tc>
        <w:tc>
          <w:tcPr>
            <w:tcW w:w="0" w:type="dxa"/>
            <w:vAlign w:val="bottom"/>
          </w:tcPr>
          <w:p>
            <w:pPr>
              <w:spacing w:after="0"/>
              <w:rPr>
                <w:sz w:val="1"/>
                <w:szCs w:val="1"/>
                <w:color w:val="auto"/>
              </w:rPr>
            </w:pPr>
          </w:p>
        </w:tc>
      </w:tr>
      <w:tr>
        <w:trPr>
          <w:trHeight w:val="230"/>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Prices</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Unweighted arithmetic average oil and natural gas prices as of the first day of the month for the most</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recent 12 months as of the balance sheet date.</w:t>
            </w:r>
          </w:p>
        </w:tc>
        <w:tc>
          <w:tcPr>
            <w:tcW w:w="0" w:type="dxa"/>
            <w:vAlign w:val="bottom"/>
          </w:tcPr>
          <w:p>
            <w:pPr>
              <w:spacing w:after="0"/>
              <w:rPr>
                <w:sz w:val="1"/>
                <w:szCs w:val="1"/>
                <w:color w:val="auto"/>
              </w:rPr>
            </w:pPr>
          </w:p>
        </w:tc>
      </w:tr>
      <w:tr>
        <w:trPr>
          <w:trHeight w:val="278"/>
        </w:trPr>
        <w:tc>
          <w:tcPr>
            <w:tcW w:w="1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Securities Act</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The Securities Act of 1933, as amended.</w:t>
            </w:r>
          </w:p>
        </w:tc>
        <w:tc>
          <w:tcPr>
            <w:tcW w:w="0" w:type="dxa"/>
            <w:vAlign w:val="bottom"/>
          </w:tcPr>
          <w:p>
            <w:pPr>
              <w:spacing w:after="0"/>
              <w:rPr>
                <w:sz w:val="1"/>
                <w:szCs w:val="1"/>
                <w:color w:val="auto"/>
              </w:rPr>
            </w:pPr>
          </w:p>
        </w:tc>
      </w:tr>
    </w:tbl>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1008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Guaranteed Senior Notes  The  outstanding  senior  notes  issued  by  Diamondback  Energy,  Inc.  under  indentures  where</w:t>
            </w:r>
          </w:p>
        </w:tc>
      </w:tr>
      <w:tr>
        <w:trPr>
          <w:trHeight w:val="190"/>
        </w:trPr>
        <w:tc>
          <w:tcPr>
            <w:tcW w:w="1580" w:type="dxa"/>
            <w:vAlign w:val="bottom"/>
          </w:tcPr>
          <w:p>
            <w:pPr>
              <w:spacing w:after="0"/>
              <w:rPr>
                <w:sz w:val="16"/>
                <w:szCs w:val="16"/>
                <w:color w:val="auto"/>
              </w:rPr>
            </w:pPr>
          </w:p>
        </w:tc>
        <w:tc>
          <w:tcPr>
            <w:tcW w:w="8500" w:type="dxa"/>
            <w:vAlign w:val="bottom"/>
          </w:tcPr>
          <w:p>
            <w:pPr>
              <w:ind w:left="580"/>
              <w:spacing w:after="0" w:line="190" w:lineRule="exact"/>
              <w:rPr>
                <w:sz w:val="20"/>
                <w:szCs w:val="20"/>
                <w:color w:val="auto"/>
              </w:rPr>
            </w:pPr>
            <w:r>
              <w:rPr>
                <w:rFonts w:ascii="Times New Roman" w:cs="Times New Roman" w:eastAsia="Times New Roman" w:hAnsi="Times New Roman"/>
                <w:sz w:val="19"/>
                <w:szCs w:val="19"/>
                <w:color w:val="auto"/>
              </w:rPr>
              <w:t>Diamondback E&amp;P is the sole guarantor, consisting of the 3.250% Senior Notes due 2026, 5.200%</w:t>
            </w:r>
          </w:p>
        </w:tc>
      </w:tr>
      <w:tr>
        <w:trPr>
          <w:trHeight w:val="190"/>
        </w:trPr>
        <w:tc>
          <w:tcPr>
            <w:tcW w:w="1580" w:type="dxa"/>
            <w:vAlign w:val="bottom"/>
          </w:tcPr>
          <w:p>
            <w:pPr>
              <w:spacing w:after="0"/>
              <w:rPr>
                <w:sz w:val="16"/>
                <w:szCs w:val="16"/>
                <w:color w:val="auto"/>
              </w:rPr>
            </w:pPr>
          </w:p>
        </w:tc>
        <w:tc>
          <w:tcPr>
            <w:tcW w:w="8500" w:type="dxa"/>
            <w:vAlign w:val="bottom"/>
          </w:tcPr>
          <w:p>
            <w:pPr>
              <w:ind w:left="580"/>
              <w:spacing w:after="0" w:line="190" w:lineRule="exact"/>
              <w:rPr>
                <w:sz w:val="20"/>
                <w:szCs w:val="20"/>
                <w:color w:val="auto"/>
              </w:rPr>
            </w:pPr>
            <w:r>
              <w:rPr>
                <w:rFonts w:ascii="Times New Roman" w:cs="Times New Roman" w:eastAsia="Times New Roman" w:hAnsi="Times New Roman"/>
                <w:sz w:val="19"/>
                <w:szCs w:val="19"/>
                <w:color w:val="auto"/>
              </w:rPr>
              <w:t>Senior Notes due 2027, 3.500% Senior Notes due 2029, 5.150% Senior Notes due 2030, 3.125%</w:t>
            </w:r>
          </w:p>
        </w:tc>
      </w:tr>
      <w:tr>
        <w:trPr>
          <w:trHeight w:val="182"/>
        </w:trPr>
        <w:tc>
          <w:tcPr>
            <w:tcW w:w="1580" w:type="dxa"/>
            <w:vAlign w:val="bottom"/>
          </w:tcPr>
          <w:p>
            <w:pPr>
              <w:spacing w:after="0"/>
              <w:rPr>
                <w:sz w:val="15"/>
                <w:szCs w:val="15"/>
                <w:color w:val="auto"/>
              </w:rPr>
            </w:pPr>
          </w:p>
        </w:tc>
        <w:tc>
          <w:tcPr>
            <w:tcW w:w="8500" w:type="dxa"/>
            <w:vAlign w:val="bottom"/>
          </w:tcPr>
          <w:p>
            <w:pPr>
              <w:ind w:left="580"/>
              <w:spacing w:after="0" w:line="182" w:lineRule="exact"/>
              <w:rPr>
                <w:sz w:val="20"/>
                <w:szCs w:val="20"/>
                <w:color w:val="auto"/>
              </w:rPr>
            </w:pPr>
            <w:r>
              <w:rPr>
                <w:rFonts w:ascii="Times New Roman" w:cs="Times New Roman" w:eastAsia="Times New Roman" w:hAnsi="Times New Roman"/>
                <w:sz w:val="19"/>
                <w:szCs w:val="19"/>
                <w:color w:val="auto"/>
              </w:rPr>
              <w:t>Senior Notes due 2031, 6.250% Senior Notes due 2033, 5.400% Senior Notes due 2034, 4.400%</w:t>
            </w:r>
          </w:p>
        </w:tc>
      </w:tr>
      <w:tr>
        <w:trPr>
          <w:trHeight w:val="197"/>
        </w:trPr>
        <w:tc>
          <w:tcPr>
            <w:tcW w:w="1580" w:type="dxa"/>
            <w:vAlign w:val="bottom"/>
          </w:tcPr>
          <w:p>
            <w:pPr>
              <w:spacing w:after="0"/>
              <w:rPr>
                <w:sz w:val="17"/>
                <w:szCs w:val="17"/>
                <w:color w:val="auto"/>
              </w:rPr>
            </w:pPr>
          </w:p>
        </w:tc>
        <w:tc>
          <w:tcPr>
            <w:tcW w:w="8500" w:type="dxa"/>
            <w:vAlign w:val="bottom"/>
          </w:tcPr>
          <w:p>
            <w:pPr>
              <w:ind w:left="580"/>
              <w:spacing w:after="0" w:line="197" w:lineRule="exact"/>
              <w:rPr>
                <w:sz w:val="20"/>
                <w:szCs w:val="20"/>
                <w:color w:val="auto"/>
              </w:rPr>
            </w:pPr>
            <w:r>
              <w:rPr>
                <w:rFonts w:ascii="Times New Roman" w:cs="Times New Roman" w:eastAsia="Times New Roman" w:hAnsi="Times New Roman"/>
                <w:sz w:val="19"/>
                <w:szCs w:val="19"/>
                <w:color w:val="auto"/>
              </w:rPr>
              <w:t>Senior Notes due 2051, 4.250% Senior Notes due 2052, 6.250% Senior Notes due 2053, 5.750%</w:t>
            </w:r>
          </w:p>
        </w:tc>
      </w:tr>
      <w:tr>
        <w:trPr>
          <w:trHeight w:val="255"/>
        </w:trPr>
        <w:tc>
          <w:tcPr>
            <w:tcW w:w="1580" w:type="dxa"/>
            <w:vAlign w:val="bottom"/>
          </w:tcPr>
          <w:p>
            <w:pPr>
              <w:spacing w:after="0"/>
              <w:rPr>
                <w:sz w:val="22"/>
                <w:szCs w:val="22"/>
                <w:color w:val="auto"/>
              </w:rPr>
            </w:pP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Senior Notes due 2054 and 5.900% Senior Notes due 2064.</w:t>
            </w:r>
          </w:p>
        </w:tc>
      </w:tr>
      <w:tr>
        <w:trPr>
          <w:trHeight w:val="273"/>
        </w:trPr>
        <w:tc>
          <w:tcPr>
            <w:tcW w:w="1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SOFR</w:t>
            </w: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The secured overnight financing rate.</w:t>
            </w:r>
          </w:p>
        </w:tc>
      </w:tr>
      <w:tr>
        <w:trPr>
          <w:trHeight w:val="286"/>
        </w:trPr>
        <w:tc>
          <w:tcPr>
            <w:tcW w:w="1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TSR</w:t>
            </w: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Total stockholder return of the Company’s common stock.</w:t>
            </w:r>
          </w:p>
        </w:tc>
      </w:tr>
      <w:tr>
        <w:trPr>
          <w:trHeight w:val="288"/>
        </w:trPr>
        <w:tc>
          <w:tcPr>
            <w:tcW w:w="1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Viper</w:t>
            </w: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Viper Energy, Inc.</w:t>
            </w:r>
          </w:p>
        </w:tc>
      </w:tr>
      <w:tr>
        <w:trPr>
          <w:trHeight w:val="286"/>
        </w:trPr>
        <w:tc>
          <w:tcPr>
            <w:tcW w:w="1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Viper LLC</w:t>
            </w: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Viper Energy Partners LLC, a Delaware limited liability company and a subsidiary of Viper.</w:t>
            </w:r>
          </w:p>
        </w:tc>
      </w:tr>
      <w:tr>
        <w:trPr>
          <w:trHeight w:val="220"/>
        </w:trPr>
        <w:tc>
          <w:tcPr>
            <w:tcW w:w="1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Viper Notes</w:t>
            </w: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The outstanding senior notes issued by Viper Energy, Inc. under indentures where Viper Energy, Inc.</w:t>
            </w:r>
          </w:p>
        </w:tc>
      </w:tr>
      <w:tr>
        <w:trPr>
          <w:trHeight w:val="190"/>
        </w:trPr>
        <w:tc>
          <w:tcPr>
            <w:tcW w:w="1580" w:type="dxa"/>
            <w:vAlign w:val="bottom"/>
          </w:tcPr>
          <w:p>
            <w:pPr>
              <w:spacing w:after="0"/>
              <w:rPr>
                <w:sz w:val="16"/>
                <w:szCs w:val="16"/>
                <w:color w:val="auto"/>
              </w:rPr>
            </w:pPr>
          </w:p>
        </w:tc>
        <w:tc>
          <w:tcPr>
            <w:tcW w:w="8500" w:type="dxa"/>
            <w:vAlign w:val="bottom"/>
          </w:tcPr>
          <w:p>
            <w:pPr>
              <w:ind w:left="580"/>
              <w:spacing w:after="0" w:line="190" w:lineRule="exact"/>
              <w:rPr>
                <w:sz w:val="20"/>
                <w:szCs w:val="20"/>
                <w:color w:val="auto"/>
              </w:rPr>
            </w:pPr>
            <w:r>
              <w:rPr>
                <w:rFonts w:ascii="Times New Roman" w:cs="Times New Roman" w:eastAsia="Times New Roman" w:hAnsi="Times New Roman"/>
                <w:sz w:val="19"/>
                <w:szCs w:val="19"/>
                <w:color w:val="auto"/>
              </w:rPr>
              <w:t>is the sole guarantor, consisting of the 5.375% Senior Notes due 2027 and the 7.375% Senior Notes</w:t>
            </w:r>
          </w:p>
        </w:tc>
      </w:tr>
      <w:tr>
        <w:trPr>
          <w:trHeight w:val="255"/>
        </w:trPr>
        <w:tc>
          <w:tcPr>
            <w:tcW w:w="1580" w:type="dxa"/>
            <w:vAlign w:val="bottom"/>
          </w:tcPr>
          <w:p>
            <w:pPr>
              <w:spacing w:after="0"/>
              <w:rPr>
                <w:sz w:val="22"/>
                <w:szCs w:val="22"/>
                <w:color w:val="auto"/>
              </w:rPr>
            </w:pPr>
          </w:p>
        </w:tc>
        <w:tc>
          <w:tcPr>
            <w:tcW w:w="850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due 2031.</w:t>
            </w:r>
          </w:p>
        </w:tc>
      </w:tr>
      <w:tr>
        <w:trPr>
          <w:trHeight w:val="276"/>
        </w:trPr>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XOP</w:t>
            </w:r>
          </w:p>
        </w:tc>
        <w:tc>
          <w:tcPr>
            <w:tcW w:w="8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9"/>
                <w:szCs w:val="19"/>
                <w:color w:val="auto"/>
              </w:rPr>
              <w:t>Standard and Poor’s Oil and Gas Exploration and Production industry index.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10180"/>
          </w:cols>
          <w:pgMar w:left="980" w:top="205" w:right="1080"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CAUTIONARY STATEMENT REGARDING FORWARD-LOOKING STATEMENTS</w:t>
      </w:r>
    </w:p>
    <w:p>
      <w:pPr>
        <w:spacing w:after="0" w:line="277"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Endeavor Acquisition and the pending Double Eagle Acquisition (in each case, as defined below) discussed in this report and other acquisitions or divestitures, including the pending 2025 Drop Down);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 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2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Factors that could cause our outcomes to differ materially include (but are not limited to) the following:</w:t>
      </w:r>
    </w:p>
    <w:p>
      <w:pPr>
        <w:spacing w:after="0" w:line="250" w:lineRule="exact"/>
        <w:rPr>
          <w:sz w:val="20"/>
          <w:szCs w:val="20"/>
          <w:color w:val="auto"/>
        </w:rPr>
      </w:pPr>
    </w:p>
    <w:p>
      <w:pPr>
        <w:ind w:left="1540" w:hanging="360"/>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supply and demand levels for oil, natural gas, and natural gas liquids, and the resulting impact on the price for those commodities;</w:t>
      </w:r>
    </w:p>
    <w:p>
      <w:pPr>
        <w:spacing w:after="0" w:line="49" w:lineRule="exact"/>
        <w:rPr>
          <w:rFonts w:ascii="Times New Roman" w:cs="Times New Roman" w:eastAsia="Times New Roman" w:hAnsi="Times New Roman"/>
          <w:sz w:val="20"/>
          <w:szCs w:val="20"/>
          <w:color w:val="auto"/>
        </w:rPr>
      </w:pPr>
    </w:p>
    <w:p>
      <w:pPr>
        <w:ind w:left="1540" w:hanging="360"/>
        <w:spacing w:after="0" w:line="289"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public health crises, including epidemic or pandemic diseases and any related company or government policies or actions;</w:t>
      </w:r>
    </w:p>
    <w:p>
      <w:pPr>
        <w:spacing w:after="0" w:line="46" w:lineRule="exact"/>
        <w:rPr>
          <w:rFonts w:ascii="Times New Roman" w:cs="Times New Roman" w:eastAsia="Times New Roman" w:hAnsi="Times New Roman"/>
          <w:sz w:val="20"/>
          <w:szCs w:val="20"/>
          <w:color w:val="auto"/>
        </w:rPr>
      </w:pPr>
    </w:p>
    <w:p>
      <w:pPr>
        <w:ind w:left="1540" w:hanging="360"/>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by the members of OPEC and Russia affecting the production and pricing of oil, as well as other domestic and global political, economic, or diplomatic developments;</w:t>
      </w:r>
    </w:p>
    <w:p>
      <w:pPr>
        <w:spacing w:after="0" w:line="51" w:lineRule="exact"/>
        <w:rPr>
          <w:rFonts w:ascii="Times New Roman" w:cs="Times New Roman" w:eastAsia="Times New Roman" w:hAnsi="Times New Roman"/>
          <w:sz w:val="20"/>
          <w:szCs w:val="20"/>
          <w:color w:val="auto"/>
        </w:rPr>
      </w:pPr>
    </w:p>
    <w:p>
      <w:pPr>
        <w:ind w:left="1540" w:hanging="361"/>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general economic, business or industry conditions, including changes in foreign currency exchange rates interest rates, and inflation rates, instability in the financial sector;</w:t>
      </w:r>
    </w:p>
    <w:p>
      <w:pPr>
        <w:spacing w:after="0" w:line="47" w:lineRule="exact"/>
        <w:rPr>
          <w:rFonts w:ascii="Times New Roman" w:cs="Times New Roman" w:eastAsia="Times New Roman" w:hAnsi="Times New Roman"/>
          <w:sz w:val="20"/>
          <w:szCs w:val="20"/>
          <w:color w:val="auto"/>
        </w:rPr>
      </w:pPr>
    </w:p>
    <w:p>
      <w:pPr>
        <w:ind w:left="1540" w:hanging="361"/>
        <w:spacing w:after="0" w:line="289"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supply and demand factors, including delays, curtailment delays or interruptions of production, or governmental orders, rules or regulations that impose production limits;</w:t>
      </w:r>
    </w:p>
    <w:p>
      <w:pPr>
        <w:spacing w:after="0" w:line="48" w:lineRule="exact"/>
        <w:rPr>
          <w:rFonts w:ascii="Times New Roman" w:cs="Times New Roman" w:eastAsia="Times New Roman" w:hAnsi="Times New Roman"/>
          <w:sz w:val="20"/>
          <w:szCs w:val="20"/>
          <w:color w:val="auto"/>
        </w:rPr>
      </w:pPr>
    </w:p>
    <w:p>
      <w:pPr>
        <w:ind w:left="1540" w:hanging="361"/>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legislative and regulatory initiatives relating to hydraulic fracturing, including the effect of existing and future laws and governmental regulations;</w:t>
      </w:r>
    </w:p>
    <w:p>
      <w:pPr>
        <w:spacing w:after="0" w:line="49" w:lineRule="exact"/>
        <w:rPr>
          <w:rFonts w:ascii="Times New Roman" w:cs="Times New Roman" w:eastAsia="Times New Roman" w:hAnsi="Times New Roman"/>
          <w:sz w:val="20"/>
          <w:szCs w:val="20"/>
          <w:color w:val="auto"/>
        </w:rPr>
      </w:pPr>
    </w:p>
    <w:p>
      <w:pPr>
        <w:ind w:left="1540" w:hanging="361"/>
        <w:spacing w:after="0"/>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and transition risks relating to climate change;</w:t>
      </w:r>
    </w:p>
    <w:p>
      <w:pPr>
        <w:spacing w:after="0" w:line="129" w:lineRule="exact"/>
        <w:rPr>
          <w:rFonts w:ascii="Times New Roman" w:cs="Times New Roman" w:eastAsia="Times New Roman" w:hAnsi="Times New Roman"/>
          <w:sz w:val="20"/>
          <w:szCs w:val="20"/>
          <w:color w:val="auto"/>
        </w:rPr>
      </w:pPr>
    </w:p>
    <w:p>
      <w:pPr>
        <w:jc w:val="both"/>
        <w:ind w:left="1540" w:hanging="361"/>
        <w:spacing w:after="0" w:line="268"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20"/>
          <w:szCs w:val="20"/>
          <w:color w:val="auto"/>
        </w:rPr>
      </w:pPr>
    </w:p>
    <w:p>
      <w:pPr>
        <w:ind w:left="1540" w:hanging="361"/>
        <w:spacing w:after="0" w:line="289"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declines in prices for oil, natural gas, or natural gas liquids, which could (among other things) require recognition of significant impairment charges;</w:t>
      </w:r>
    </w:p>
    <w:p>
      <w:pPr>
        <w:spacing w:after="0" w:line="46" w:lineRule="exact"/>
        <w:rPr>
          <w:rFonts w:ascii="Times New Roman" w:cs="Times New Roman" w:eastAsia="Times New Roman" w:hAnsi="Times New Roman"/>
          <w:sz w:val="20"/>
          <w:szCs w:val="20"/>
          <w:color w:val="auto"/>
        </w:rPr>
      </w:pPr>
    </w:p>
    <w:p>
      <w:pPr>
        <w:ind w:left="1540" w:hanging="361"/>
        <w:spacing w:after="0"/>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energy, environmental, monetary and trade policies;</w:t>
      </w:r>
    </w:p>
    <w:p>
      <w:pPr>
        <w:spacing w:after="0" w:line="129" w:lineRule="exact"/>
        <w:rPr>
          <w:rFonts w:ascii="Times New Roman" w:cs="Times New Roman" w:eastAsia="Times New Roman" w:hAnsi="Times New Roman"/>
          <w:sz w:val="20"/>
          <w:szCs w:val="20"/>
          <w:color w:val="auto"/>
        </w:rPr>
      </w:pPr>
    </w:p>
    <w:p>
      <w:pPr>
        <w:ind w:left="1540" w:hanging="361"/>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the capital, financial and credit markets, including the availability and pricing of capital for drilling and development operations and our environmental and social responsibility projects;</w:t>
      </w:r>
    </w:p>
    <w:p>
      <w:pPr>
        <w:spacing w:after="0" w:line="49" w:lineRule="exact"/>
        <w:rPr>
          <w:rFonts w:ascii="Times New Roman" w:cs="Times New Roman" w:eastAsia="Times New Roman" w:hAnsi="Times New Roman"/>
          <w:sz w:val="20"/>
          <w:szCs w:val="20"/>
          <w:color w:val="auto"/>
        </w:rPr>
      </w:pPr>
    </w:p>
    <w:p>
      <w:pPr>
        <w:ind w:left="1540" w:hanging="362"/>
        <w:spacing w:after="0"/>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with employee retention and an increasingly competitive labor market due;</w:t>
      </w:r>
    </w:p>
    <w:p>
      <w:pPr>
        <w:spacing w:after="0" w:line="129" w:lineRule="exact"/>
        <w:rPr>
          <w:rFonts w:ascii="Times New Roman" w:cs="Times New Roman" w:eastAsia="Times New Roman" w:hAnsi="Times New Roman"/>
          <w:sz w:val="20"/>
          <w:szCs w:val="20"/>
          <w:color w:val="auto"/>
        </w:rPr>
      </w:pPr>
    </w:p>
    <w:p>
      <w:pPr>
        <w:ind w:left="1540" w:hanging="361"/>
        <w:spacing w:after="0"/>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availability or cost of rigs, equipment, raw materials, supplies, oilfield services;</w:t>
      </w:r>
    </w:p>
    <w:p>
      <w:pPr>
        <w:spacing w:after="0" w:line="129" w:lineRule="exact"/>
        <w:rPr>
          <w:rFonts w:ascii="Times New Roman" w:cs="Times New Roman" w:eastAsia="Times New Roman" w:hAnsi="Times New Roman"/>
          <w:sz w:val="20"/>
          <w:szCs w:val="20"/>
          <w:color w:val="auto"/>
        </w:rPr>
      </w:pPr>
    </w:p>
    <w:p>
      <w:pPr>
        <w:ind w:left="1540" w:hanging="361"/>
        <w:spacing w:after="0" w:line="286"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safety, health, environmental, tax, and other regulations or requirements (including those addressing air emissions, water management, or the impact of global climate change);</w:t>
      </w:r>
    </w:p>
    <w:p>
      <w:pPr>
        <w:spacing w:after="0" w:line="51" w:lineRule="exact"/>
        <w:rPr>
          <w:rFonts w:ascii="Times New Roman" w:cs="Times New Roman" w:eastAsia="Times New Roman" w:hAnsi="Times New Roman"/>
          <w:sz w:val="20"/>
          <w:szCs w:val="20"/>
          <w:color w:val="auto"/>
        </w:rPr>
      </w:pPr>
    </w:p>
    <w:p>
      <w:pPr>
        <w:jc w:val="both"/>
        <w:ind w:left="1540" w:hanging="361"/>
        <w:spacing w:after="0" w:line="268"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20"/>
          <w:szCs w:val="20"/>
          <w:color w:val="auto"/>
        </w:rPr>
      </w:pPr>
    </w:p>
    <w:p>
      <w:pPr>
        <w:ind w:left="1540" w:hanging="361"/>
        <w:spacing w:after="0" w:line="289"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or disruption in, access to adequate and reliable transportation, processing, storage and other facilities for our oil, natural gas, and natural gas liquids;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10180"/>
          </w:cols>
          <w:pgMar w:left="980" w:top="205" w:right="1080"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540" w:hanging="360"/>
        <w:spacing w:after="0" w:line="268"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obtaining necessary approvals and permits;</w:t>
      </w:r>
    </w:p>
    <w:p>
      <w:pPr>
        <w:spacing w:after="0" w:line="129"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weather conditions and natural disasters;</w:t>
      </w:r>
    </w:p>
    <w:p>
      <w:pPr>
        <w:spacing w:after="0" w:line="129"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war or terrorist acts and the governmental or military response thereto;</w:t>
      </w:r>
    </w:p>
    <w:p>
      <w:pPr>
        <w:spacing w:after="0" w:line="129"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financial strength of counterparties to our credit agreement and hedging contracts;</w:t>
      </w:r>
    </w:p>
    <w:p>
      <w:pPr>
        <w:spacing w:after="0" w:line="129"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credit rating;</w:t>
      </w:r>
    </w:p>
    <w:p>
      <w:pPr>
        <w:spacing w:after="0" w:line="129" w:lineRule="exact"/>
        <w:rPr>
          <w:rFonts w:ascii="Times New Roman" w:cs="Times New Roman" w:eastAsia="Times New Roman" w:hAnsi="Times New Roman"/>
          <w:sz w:val="20"/>
          <w:szCs w:val="20"/>
          <w:color w:val="auto"/>
        </w:rPr>
      </w:pPr>
    </w:p>
    <w:p>
      <w:pPr>
        <w:ind w:left="1540" w:hanging="360"/>
        <w:spacing w:after="0" w:line="286"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recently completed Endeavor Acquisition, the pending Double Eagle Acquisition and the pending 2025 Drop Down; and</w:t>
      </w:r>
    </w:p>
    <w:p>
      <w:pPr>
        <w:spacing w:after="0" w:line="51" w:lineRule="exact"/>
        <w:rPr>
          <w:rFonts w:ascii="Times New Roman" w:cs="Times New Roman" w:eastAsia="Times New Roman" w:hAnsi="Times New Roman"/>
          <w:sz w:val="20"/>
          <w:szCs w:val="20"/>
          <w:color w:val="auto"/>
        </w:rPr>
      </w:pPr>
    </w:p>
    <w:p>
      <w:pPr>
        <w:ind w:left="1540" w:hanging="360"/>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risk and factors discussed in this report.</w:t>
      </w:r>
    </w:p>
    <w:p>
      <w:pPr>
        <w:spacing w:after="0" w:line="370"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vi</w:t>
      </w:r>
    </w:p>
    <w:p>
      <w:pPr>
        <w:sectPr>
          <w:pgSz w:w="12240" w:h="15840" w:orient="portrait"/>
          <w:cols w:equalWidth="0" w:num="1">
            <w:col w:w="10180"/>
          </w:cols>
          <w:pgMar w:left="980" w:top="205" w:right="1080"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61" w:lineRule="exact"/>
        <w:rPr>
          <w:sz w:val="20"/>
          <w:szCs w:val="20"/>
          <w:color w:val="auto"/>
        </w:rPr>
      </w:pPr>
    </w:p>
    <w:p>
      <w:pPr>
        <w:jc w:val="both"/>
        <w:ind w:left="100" w:firstLine="720"/>
        <w:spacing w:after="0" w:line="266" w:lineRule="auto"/>
        <w:rPr>
          <w:sz w:val="20"/>
          <w:szCs w:val="20"/>
          <w:color w:val="auto"/>
        </w:rPr>
      </w:pPr>
      <w:r>
        <w:rPr>
          <w:rFonts w:ascii="Times New Roman" w:cs="Times New Roman" w:eastAsia="Times New Roman" w:hAnsi="Times New Roman"/>
          <w:sz w:val="20"/>
          <w:szCs w:val="20"/>
          <w:i w:val="1"/>
          <w:iCs w:val="1"/>
          <w:color w:val="auto"/>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ITEMS 1 and 2. BUSINESS AND PROPERTIES</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are an independent oil and natural gas company focused on the acquisition, development, exploration and exploitation of unconventional, onshore oil and natural gas reserves primarily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spacing w:after="0" w:line="202"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202"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At December 31, 2024, our total acreage position in the Permian Basin was approximately 1,077,697 gross (860,719 net) acres, which consisted primarily of 910,991 gross (737,181 net) acres in the Midland Basin and 161,981 gross (123,218 net) acres in the Delaware Basin.</w:t>
      </w:r>
    </w:p>
    <w:p>
      <w:pPr>
        <w:spacing w:after="0" w:line="18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 addition, our publicly traded subsidiary Viper Energy, Inc., which we refer to as Viper, owns mineral interests primarily in the Permian Basin. At December 31, 2024, we owned approximately 45% of Viper’s outstanding shares of common stock.</w:t>
      </w:r>
    </w:p>
    <w:p>
      <w:pPr>
        <w:spacing w:after="0" w:line="18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our estimated proved oil and natural gas reserves were 3,557,416 MBOE (which includes estimated reserves of 195,873 MBOE attributable to the mineral interests owned by Viper). As of December 31, 2024, approximately 67% are classified as proved developed producing. Proved undeveloped, or PUD, reserves included in this estimate are from 1,381 gross (1,258 net) horizontal well locations in which we have a working interest. As of December 31, 2024, our estimated proved reserves were approximately 50% oil, 23% natural gas and 27% natural gas liquids.</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Significant Acquisitions and Divestitures</w:t>
      </w:r>
    </w:p>
    <w:p>
      <w:pPr>
        <w:spacing w:after="0" w:line="2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Diamondback Acquisition and Divestiture</w:t>
      </w:r>
    </w:p>
    <w:p>
      <w:pPr>
        <w:spacing w:after="0" w:line="2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Endeavor Acquisition</w:t>
      </w:r>
    </w:p>
    <w:p>
      <w:pPr>
        <w:spacing w:after="0" w:line="244" w:lineRule="exact"/>
        <w:rPr>
          <w:sz w:val="20"/>
          <w:szCs w:val="20"/>
          <w:color w:val="auto"/>
        </w:rPr>
      </w:pPr>
    </w:p>
    <w:p>
      <w:pPr>
        <w:jc w:val="both"/>
        <w:ind w:left="100" w:firstLine="719"/>
        <w:spacing w:after="0" w:line="257" w:lineRule="auto"/>
        <w:rPr>
          <w:sz w:val="20"/>
          <w:szCs w:val="20"/>
          <w:color w:val="auto"/>
        </w:rPr>
      </w:pPr>
      <w:r>
        <w:rPr>
          <w:rFonts w:ascii="Times New Roman" w:cs="Times New Roman" w:eastAsia="Times New Roman" w:hAnsi="Times New Roman"/>
          <w:sz w:val="20"/>
          <w:szCs w:val="20"/>
          <w:color w:val="auto"/>
        </w:rPr>
        <w:t>On September 10, 2024, we completed our acquisition of Endeavor Parent, LLC (“Endeavor”) (the “Endeavor Acquisition”) for consideration consisting of $7.3 billion in cash, subject to certain customary post-closing adjustments, and approximately 117.27 million shares of our common stock. The Endeavor Acquisition included approximately 500,849 gross (361,927 net) acres, which are primarily located in the Permian Basin. See Note 5—Endeavor Energy Resources, LP Acquisition in Item 8. Financial Statements and Supplementary Data of this report for additional discussion of the Endeavor Acquisition.</w:t>
      </w:r>
    </w:p>
    <w:p>
      <w:pPr>
        <w:spacing w:after="0" w:line="2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Pending Double Eagle Acquisition</w:t>
      </w:r>
    </w:p>
    <w:p>
      <w:pPr>
        <w:spacing w:after="0" w:line="24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February 14, 2025, we entered into a definitive securities purchase agreement with Double Eagle IV Midco, LCC (“Double Eagle”), to acquire all of the issued and outstanding interests of DE Permian, LLC, DE IV Combo, LLC, and DE IV Operating, LLC, each of which are wholly owned subsidiaries of Double Eagle (the “Double Eagle Acquisition”) for consideration consisting of $3.0 billion in cash and approximately 6.9 million shares of our common stock, subject to customary adjustments. The pending Double Eagle Acquisition consists of approximately 67,700 gross (40,000 net) acres, which are primarily located in the Midland Basin, and approximately 407 gross (342 net) horizontal locations in primary development targets. The pending Double Eagle Acquisition is expected to close in the second quarter of 2025, subject to the satisfaction of customary closing conditions and regulatory approval.</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180"/>
          </w:cols>
          <w:pgMar w:left="980" w:top="205" w:right="1080"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Pending 2025 Drop Down Transaction</w:t>
      </w:r>
    </w:p>
    <w:p>
      <w:pPr>
        <w:spacing w:after="0" w:line="249"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On January 30, 2025, Endeavor Energy Resources, LP (“EER LP”) and 1979 Royalties, LP and 1979 Royalties GP, LLC (collectively, the “Endeavor Subsidiaries”), each of which is our subsidiary, entered into a definitive equity purchase agreement with Viper and Viper LLC to divest the Endeavor Subsidiaries from EER LP to Viper in exchange for consideration consisting of (i) $1.0 billion in cash and (ii) the issuance of 69.63 million Viper LLC units and an equal number of shares of Viper’s Class B common stock, in each case subject to customary closing adjustments, including, among other things, for net title benefits (such transaction, the “pending 2025 Drop Down”). The pending 2025 Drop Down is expected to close in the second quarter of 2025, subject to certain conditions.</w:t>
      </w:r>
    </w:p>
    <w:p>
      <w:pPr>
        <w:spacing w:after="0" w:line="205"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See Note 17—Subsequent Events in Item 8. Financial Statements and Supplementary Data of this report for further discussion of the pending Double Eagle Acquisition and the pending 2025 Drop Down.</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Viper Acquisitions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Tumbleweed Acquisitions</w:t>
      </w:r>
    </w:p>
    <w:p>
      <w:pPr>
        <w:spacing w:after="0" w:line="249"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In September and October of 2024, Viper completed a series of related acquisitions including the Viper TWR Acquisition, the Viper Q Acquisition and the Viper M Acquisition, collectively the (“Viper Tumbleweed Acquisitions”) as defined and discussed below.</w:t>
      </w:r>
    </w:p>
    <w:p>
      <w:pPr>
        <w:spacing w:after="0" w:line="190" w:lineRule="exact"/>
        <w:rPr>
          <w:sz w:val="20"/>
          <w:szCs w:val="20"/>
          <w:color w:val="auto"/>
        </w:rPr>
      </w:pPr>
    </w:p>
    <w:p>
      <w:pPr>
        <w:jc w:val="both"/>
        <w:ind w:left="100" w:firstLine="721"/>
        <w:spacing w:after="0" w:line="255" w:lineRule="auto"/>
        <w:rPr>
          <w:sz w:val="20"/>
          <w:szCs w:val="20"/>
          <w:color w:val="auto"/>
        </w:rPr>
      </w:pPr>
      <w:r>
        <w:rPr>
          <w:rFonts w:ascii="Times New Roman" w:cs="Times New Roman" w:eastAsia="Times New Roman" w:hAnsi="Times New Roman"/>
          <w:sz w:val="20"/>
          <w:szCs w:val="20"/>
          <w:color w:val="auto"/>
        </w:rPr>
        <w:t>On October 1, 2024 Viper acquired all of the issued and outstanding equity interests in TWR IV, LLC and TWR IV SellCo, LLC from Tumbleweed Royalty IV, LLC (“TWR IV”) and TWR IV SellCo Parent, LLC (the “Viper TWR Acquisition”) . The Viper TWR Acquisition consideration consisted of approximately (i) $464 million in cash, (ii) 10.09 million Viper LLC units, including transaction costs and certain customary post-closing adjustments, (iii) an option for TWR IV to acquire up to 10.09 million shares of Viper’s Class B Common Stock (the “TWR Class B Option”), and (iv) contingent cash consideration of up to $41 million, payable in January of 2026. The mineral and royalty interests acquired in the Viper TWR Acquisition represent approximately 3,067 net royalty acres located primarily in the Permian Basin.</w:t>
      </w:r>
    </w:p>
    <w:p>
      <w:pPr>
        <w:spacing w:after="0" w:line="205"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September 3, 2024 Viper acquired all of the issued and outstanding equity interests in (i) Tumbleweed-Q Royalties, LLC (the “Viper Q Acquisition”) for a purchase price of $114 million in cash, including transaction costs and certain customary post-closing adjustments, and contingent cash consideration of up to $5 million payable in January of 2026, and (ii) MC TWR Royalties, LP and MC TWR Intermediate, LLC (the “Viper M Acquisition” and together with the Viper Q Acquisition, the ”Viper Q &amp; M Acquisitions”) for a purchase price of $76 million in cash, including transaction costs and certain customary post-closing adjustments, and contingent cash consideration of up to $ 4 million payable in January of 2026. The mineral and royalty interests acquired in the Viper Q &amp; M Acquisitions represent approximately 406 and 267 net royalty acres located primarily in the Permian Basin, respectively.</w:t>
      </w:r>
    </w:p>
    <w:p>
      <w:pPr>
        <w:spacing w:after="0" w:line="208"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See Note 4—Acquisitions and Divestitures in Item 8. Financial Statements and Supplementary Data of this report for additional discussion of our acquisitions and divestitures during 2024.</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Our Business Strategy</w:t>
      </w:r>
    </w:p>
    <w:p>
      <w:pPr>
        <w:spacing w:after="0" w:line="2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business strategy includes the following:</w:t>
      </w:r>
    </w:p>
    <w:p>
      <w:pPr>
        <w:spacing w:after="0" w:line="247" w:lineRule="exact"/>
        <w:rPr>
          <w:sz w:val="20"/>
          <w:szCs w:val="20"/>
          <w:color w:val="auto"/>
        </w:rPr>
      </w:pPr>
    </w:p>
    <w:p>
      <w:pPr>
        <w:jc w:val="both"/>
        <w:ind w:left="1180" w:hanging="360"/>
        <w:spacing w:after="0" w:line="256" w:lineRule="auto"/>
        <w:tabs>
          <w:tab w:leader="none" w:pos="11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Capital Discipline. </w:t>
      </w:r>
      <w:r>
        <w:rPr>
          <w:rFonts w:ascii="Times New Roman" w:cs="Times New Roman" w:eastAsia="Times New Roman" w:hAnsi="Times New Roman"/>
          <w:sz w:val="20"/>
          <w:szCs w:val="20"/>
          <w:color w:val="auto"/>
        </w:rPr>
        <w:t>During 2024, we continued building on our execution track record, generating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free cash flow while keeping capital costs under control. Our efficiency gains, particularly in the Midland Basin drilling and completion programs, enabled us to mitigate certain inflationary pressures on variable well costs, which led to a total capital expenditure amount of $2.9 billion, consistent with our guidance presented in November 2024. We expect to continue to exercise capital discipline, with a focus on capital efficiency over volume growth, and after giving effect to the pending Double Eagle Acquisition, plan to spend between $3.80 billion and $4.20 billion in 2025.</w:t>
      </w:r>
    </w:p>
    <w:p>
      <w:pPr>
        <w:spacing w:after="0" w:line="198" w:lineRule="exact"/>
        <w:rPr>
          <w:rFonts w:ascii="Times New Roman" w:cs="Times New Roman" w:eastAsia="Times New Roman" w:hAnsi="Times New Roman"/>
          <w:sz w:val="20"/>
          <w:szCs w:val="20"/>
          <w:color w:val="auto"/>
        </w:rPr>
      </w:pPr>
    </w:p>
    <w:p>
      <w:pPr>
        <w:jc w:val="both"/>
        <w:ind w:left="1180" w:hanging="360"/>
        <w:spacing w:after="0" w:line="256" w:lineRule="auto"/>
        <w:tabs>
          <w:tab w:leader="none" w:pos="11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Focus on low cost development strategy and continuous improvement in operational, capital allocation and cost efficiencies. </w:t>
      </w:r>
      <w:r>
        <w:rPr>
          <w:rFonts w:ascii="Times New Roman" w:cs="Times New Roman" w:eastAsia="Times New Roman" w:hAnsi="Times New Roman"/>
          <w:sz w:val="20"/>
          <w:szCs w:val="20"/>
          <w:color w:val="auto"/>
        </w:rPr>
        <w:t>Our acreage position is generally in contiguous blocks which allows us to develop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acreage efficiently with a “manufacturing” strategy that takes advantage of economies of scale and uses centralized production and fluid handling facilities. We are the operator of approximately 92% of our acreage, which allows us to efficiently manage our operating costs, pace of development activities and the gathering and marketing of our production. Our average 80% working interest in our acreage allows us to realize the majority of the benefits of these activities and cost efficiencies.</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180"/>
          </w:cols>
          <w:pgMar w:left="980" w:top="205" w:right="1080"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42" w:lineRule="exact"/>
        <w:rPr>
          <w:sz w:val="20"/>
          <w:szCs w:val="20"/>
          <w:color w:val="auto"/>
        </w:rPr>
      </w:pPr>
    </w:p>
    <w:p>
      <w:pPr>
        <w:jc w:val="both"/>
        <w:ind w:left="1180" w:hanging="360"/>
        <w:spacing w:after="0" w:line="262" w:lineRule="auto"/>
        <w:tabs>
          <w:tab w:leader="none" w:pos="11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Continue to deliver on our enhanced capital return program. </w:t>
      </w:r>
      <w:r>
        <w:rPr>
          <w:rFonts w:ascii="Times New Roman" w:cs="Times New Roman" w:eastAsia="Times New Roman" w:hAnsi="Times New Roman"/>
          <w:sz w:val="20"/>
          <w:szCs w:val="20"/>
          <w:color w:val="auto"/>
        </w:rPr>
        <w:t>We expect to be in a position to continue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on our enhanced capital return program, through which we intend to return at least 50% of our quarterly free cash flow to our stockholders. Our capital return program is currently focused on our sustainable base dividend and a combination of stock repurchases and variable dividends.</w:t>
      </w:r>
    </w:p>
    <w:p>
      <w:pPr>
        <w:spacing w:after="0" w:line="193" w:lineRule="exact"/>
        <w:rPr>
          <w:rFonts w:ascii="Times New Roman" w:cs="Times New Roman" w:eastAsia="Times New Roman" w:hAnsi="Times New Roman"/>
          <w:sz w:val="20"/>
          <w:szCs w:val="20"/>
          <w:color w:val="auto"/>
        </w:rPr>
      </w:pPr>
    </w:p>
    <w:p>
      <w:pPr>
        <w:jc w:val="both"/>
        <w:ind w:left="1180" w:hanging="360"/>
        <w:spacing w:after="0" w:line="252" w:lineRule="auto"/>
        <w:tabs>
          <w:tab w:leader="none" w:pos="11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Leverage our experience operating in the Permian Basin. </w:t>
      </w:r>
      <w:r>
        <w:rPr>
          <w:rFonts w:ascii="Times New Roman" w:cs="Times New Roman" w:eastAsia="Times New Roman" w:hAnsi="Times New Roman"/>
          <w:sz w:val="20"/>
          <w:szCs w:val="20"/>
          <w:color w:val="auto"/>
        </w:rPr>
        <w:t>Our executive team, which has significant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experience in the Permian Basin, intends to continue to seek ways to maximize hydrocarbon recovery by 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top operators in the area in an effort to benchmark our performance and adopt best practices compared to our peers. The successful execution of the Endeavor Acquisition has further strengthened our existing operating experience and has begun to deliver operational synergies ahead of schedule, and we expect to enhance our existing inventory and achieve additional synergies from our pending Double Eagle Acquisition.</w:t>
      </w:r>
    </w:p>
    <w:p>
      <w:pPr>
        <w:spacing w:after="0" w:line="214" w:lineRule="exact"/>
        <w:rPr>
          <w:rFonts w:ascii="Times New Roman" w:cs="Times New Roman" w:eastAsia="Times New Roman" w:hAnsi="Times New Roman"/>
          <w:sz w:val="20"/>
          <w:szCs w:val="20"/>
          <w:color w:val="auto"/>
        </w:rPr>
      </w:pPr>
    </w:p>
    <w:p>
      <w:pPr>
        <w:jc w:val="both"/>
        <w:ind w:left="1180" w:hanging="360"/>
        <w:spacing w:after="0" w:line="257" w:lineRule="auto"/>
        <w:tabs>
          <w:tab w:leader="none" w:pos="11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Pursue strategic acquisitions with substantial resource potential. </w:t>
      </w:r>
      <w:r>
        <w:rPr>
          <w:rFonts w:ascii="Times New Roman" w:cs="Times New Roman" w:eastAsia="Times New Roman" w:hAnsi="Times New Roman"/>
          <w:sz w:val="20"/>
          <w:szCs w:val="20"/>
          <w:color w:val="auto"/>
        </w:rPr>
        <w:t>We have a proven history of acquiring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leasehold positions in the Permian Basin that have substantial oil-weighted resource potential. We believe our executive team, with its extensive experience in the Permian Basin, has a competitive advantage in identifying acquisition targets and a proven ability to evaluate resource potential. We regularly review acquisition opportunities and intend to pursue acquisitions that meet our strategic and financial targets, as evidenced by our recently completed Endeavor Acquisition and the pending Double Eagle Acquisition.</w:t>
      </w:r>
    </w:p>
    <w:p>
      <w:pPr>
        <w:spacing w:after="0" w:line="197" w:lineRule="exact"/>
        <w:rPr>
          <w:rFonts w:ascii="Times New Roman" w:cs="Times New Roman" w:eastAsia="Times New Roman" w:hAnsi="Times New Roman"/>
          <w:sz w:val="20"/>
          <w:szCs w:val="20"/>
          <w:color w:val="auto"/>
        </w:rPr>
      </w:pPr>
    </w:p>
    <w:p>
      <w:pPr>
        <w:jc w:val="both"/>
        <w:ind w:left="1180" w:hanging="360"/>
        <w:spacing w:after="0" w:line="254" w:lineRule="auto"/>
        <w:tabs>
          <w:tab w:leader="none" w:pos="118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Maintain financial flexibility. </w:t>
      </w:r>
      <w:r>
        <w:rPr>
          <w:rFonts w:ascii="Times New Roman" w:cs="Times New Roman" w:eastAsia="Times New Roman" w:hAnsi="Times New Roman"/>
          <w:sz w:val="20"/>
          <w:szCs w:val="20"/>
          <w:color w:val="auto"/>
        </w:rPr>
        <w:t>We seek to maintain a conservative financial position. As of December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2024, Diamondback had $134 million of standalone cash and cash equivalents and our borrowing base was set at $2.5 billion, which was fully available for future borrowings. As of December 31, 2024, Viper had $27 million of cash and cash equivalents, $261 million in outstanding borrowings and approximately $1.0 billion available for future borrowings under its revolving credit facility. Additionally, we have a near-term target of reducing our net debt (which we define as total debt, excluding debt issuance costs, discounts, premiums and unamortized basis adjustments, less cash and cash equivalents) to $10 billion and a long-term target of maintaining our net debt between $6 billion and $8 billion, and, to that end, have announced our commitment to sell at least $1.5 billion of our non-core assets to accelerate debt reduction and maintain a strong balance sheet.</w:t>
      </w:r>
    </w:p>
    <w:p>
      <w:pPr>
        <w:spacing w:after="0" w:line="205" w:lineRule="exact"/>
        <w:rPr>
          <w:rFonts w:ascii="Times New Roman" w:cs="Times New Roman" w:eastAsia="Times New Roman" w:hAnsi="Times New Roman"/>
          <w:sz w:val="20"/>
          <w:szCs w:val="20"/>
          <w:color w:val="auto"/>
        </w:rPr>
      </w:pPr>
    </w:p>
    <w:p>
      <w:pPr>
        <w:jc w:val="both"/>
        <w:ind w:left="1180" w:hanging="361"/>
        <w:spacing w:after="0" w:line="262" w:lineRule="auto"/>
        <w:tabs>
          <w:tab w:leader="none" w:pos="11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 on our commitment to environmental, social and governance (“ESG”) performance</w:t>
      </w:r>
      <w:r>
        <w:rPr>
          <w:rFonts w:ascii="Times New Roman" w:cs="Times New Roman" w:eastAsia="Times New Roman" w:hAnsi="Times New Roman"/>
          <w:sz w:val="20"/>
          <w:szCs w:val="20"/>
          <w:color w:val="auto"/>
        </w:rPr>
        <w:t>. We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to the safe and responsible development of our resources in the Permian Basin. Our approach to ESG is evidenced through our commitment to people, safety, environmental responsibility, community and sound governance practices.</w:t>
      </w:r>
    </w:p>
    <w:p>
      <w:pPr>
        <w:spacing w:after="0" w:line="1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Our Strengths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We believe the following strengths will help us achieve our business goals:</w:t>
      </w:r>
    </w:p>
    <w:p>
      <w:pPr>
        <w:spacing w:after="0" w:line="247" w:lineRule="exact"/>
        <w:rPr>
          <w:sz w:val="20"/>
          <w:szCs w:val="20"/>
          <w:color w:val="auto"/>
        </w:rPr>
      </w:pPr>
    </w:p>
    <w:p>
      <w:pPr>
        <w:jc w:val="both"/>
        <w:ind w:left="1180" w:hanging="361"/>
        <w:spacing w:after="0" w:line="270" w:lineRule="auto"/>
        <w:tabs>
          <w:tab w:leader="none" w:pos="11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Oil rich resource base in one of North America’s leading resource plays. </w:t>
      </w:r>
      <w:r>
        <w:rPr>
          <w:rFonts w:ascii="Times New Roman" w:cs="Times New Roman" w:eastAsia="Times New Roman" w:hAnsi="Times New Roman"/>
          <w:sz w:val="20"/>
          <w:szCs w:val="20"/>
          <w:color w:val="auto"/>
        </w:rPr>
        <w:t>Substantially all of our leasehold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acreage is located in one of the most prolific oil plays in North America, the Permian Basin in West Texas. The majority of our current properties are well positioned in the core of the Permian Basin.</w:t>
      </w:r>
    </w:p>
    <w:p>
      <w:pPr>
        <w:spacing w:after="0" w:line="183" w:lineRule="exact"/>
        <w:rPr>
          <w:rFonts w:ascii="Times New Roman" w:cs="Times New Roman" w:eastAsia="Times New Roman" w:hAnsi="Times New Roman"/>
          <w:sz w:val="20"/>
          <w:szCs w:val="20"/>
          <w:color w:val="auto"/>
        </w:rPr>
      </w:pPr>
    </w:p>
    <w:p>
      <w:pPr>
        <w:jc w:val="both"/>
        <w:ind w:left="1180" w:hanging="361"/>
        <w:spacing w:after="0" w:line="253" w:lineRule="auto"/>
        <w:tabs>
          <w:tab w:leader="none" w:pos="11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Multi-year drilling inventory in one of North America’s leading oil resource plays. </w:t>
      </w:r>
      <w:r>
        <w:rPr>
          <w:rFonts w:ascii="Times New Roman" w:cs="Times New Roman" w:eastAsia="Times New Roman" w:hAnsi="Times New Roman"/>
          <w:sz w:val="20"/>
          <w:szCs w:val="20"/>
          <w:color w:val="auto"/>
        </w:rPr>
        <w:t>We have identified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multi-year inventory of potential drilling locations for our oil-weighted reserves that we believe provides attractive growth and return opportunities. At an assumed economic price of approximately $50.00 per Bbl WTI, we currently have approximately 9,188 gross (7,130 net) identified potential horizontal drilling locations on our acreage, based on our evaluation of applicable geologic and engineering data. These gross identified economic potential horizontal locations have an average lateral length of approximately 10,215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16,557 square miles of licensed 3-D seismic data covering our acreage. This data facilitates the evaluation of</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180"/>
          </w:cols>
          <w:pgMar w:left="980" w:top="205" w:right="1080"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180" w:right="40"/>
        <w:spacing w:after="0" w:line="268" w:lineRule="auto"/>
        <w:rPr>
          <w:sz w:val="20"/>
          <w:szCs w:val="20"/>
          <w:color w:val="auto"/>
        </w:rPr>
      </w:pPr>
      <w:r>
        <w:rPr>
          <w:rFonts w:ascii="Times New Roman" w:cs="Times New Roman" w:eastAsia="Times New Roman" w:hAnsi="Times New Roman"/>
          <w:sz w:val="20"/>
          <w:szCs w:val="20"/>
          <w:color w:val="auto"/>
        </w:rPr>
        <w:t>our existing drilling inventory and provides insight into future development activity, including additional horizontal drilling opportunities and strategic leasehold acquisitions. We expect that this multi-year inventory will be further enhanced through our pending Double Eagle Acquisition once completed.</w:t>
      </w:r>
    </w:p>
    <w:p>
      <w:pPr>
        <w:spacing w:after="0" w:line="184" w:lineRule="exact"/>
        <w:rPr>
          <w:sz w:val="20"/>
          <w:szCs w:val="20"/>
          <w:color w:val="auto"/>
        </w:rPr>
      </w:pPr>
    </w:p>
    <w:p>
      <w:pPr>
        <w:jc w:val="both"/>
        <w:ind w:left="1180" w:right="40" w:hanging="360"/>
        <w:spacing w:after="0" w:line="262" w:lineRule="auto"/>
        <w:tabs>
          <w:tab w:leader="none" w:pos="11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Experienced, incentivized and proven management team. </w:t>
      </w:r>
      <w:r>
        <w:rPr>
          <w:rFonts w:ascii="Times New Roman" w:cs="Times New Roman" w:eastAsia="Times New Roman" w:hAnsi="Times New Roman"/>
          <w:sz w:val="20"/>
          <w:szCs w:val="20"/>
          <w:color w:val="auto"/>
        </w:rPr>
        <w:t>Our executive team has a proven track record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executing on multi-rig development drilling programs and extensive experience in the Permian Basin. Our executive team has significant experience with both drilling and completing horizontal wells in addition to horizontal well reservoir and geologic expertise.</w:t>
      </w:r>
    </w:p>
    <w:p>
      <w:pPr>
        <w:spacing w:after="0" w:line="193" w:lineRule="exact"/>
        <w:rPr>
          <w:rFonts w:ascii="Times New Roman" w:cs="Times New Roman" w:eastAsia="Times New Roman" w:hAnsi="Times New Roman"/>
          <w:sz w:val="20"/>
          <w:szCs w:val="20"/>
          <w:color w:val="auto"/>
        </w:rPr>
      </w:pPr>
    </w:p>
    <w:p>
      <w:pPr>
        <w:jc w:val="both"/>
        <w:ind w:left="1180" w:right="40" w:hanging="360"/>
        <w:spacing w:after="0" w:line="259" w:lineRule="auto"/>
        <w:tabs>
          <w:tab w:leader="none" w:pos="11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Favorable operating environment. </w:t>
      </w:r>
      <w:r>
        <w:rPr>
          <w:rFonts w:ascii="Times New Roman" w:cs="Times New Roman" w:eastAsia="Times New Roman" w:hAnsi="Times New Roman"/>
          <w:sz w:val="20"/>
          <w:szCs w:val="20"/>
          <w:color w:val="auto"/>
        </w:rPr>
        <w:t>We have focused our drilling and development operations in the Permian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Basin, one of the longest operating hydrocarbon basins in the United States, with a long and well-established production history and developed infrastructure. We believe that the geological and regulatory environment of the Permian Basin is stable and predictable and that we are faced with less operational risks in the Permian Basin when compared to other emerging hydrocarbon basins.</w:t>
      </w:r>
    </w:p>
    <w:p>
      <w:pPr>
        <w:spacing w:after="0" w:line="196" w:lineRule="exact"/>
        <w:rPr>
          <w:rFonts w:ascii="Times New Roman" w:cs="Times New Roman" w:eastAsia="Times New Roman" w:hAnsi="Times New Roman"/>
          <w:sz w:val="20"/>
          <w:szCs w:val="20"/>
          <w:color w:val="auto"/>
        </w:rPr>
      </w:pPr>
    </w:p>
    <w:p>
      <w:pPr>
        <w:jc w:val="both"/>
        <w:ind w:left="1180" w:right="40" w:hanging="360"/>
        <w:spacing w:after="0" w:line="257" w:lineRule="auto"/>
        <w:tabs>
          <w:tab w:leader="none" w:pos="11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High degree of operational control. </w:t>
      </w:r>
      <w:r>
        <w:rPr>
          <w:rFonts w:ascii="Times New Roman" w:cs="Times New Roman" w:eastAsia="Times New Roman" w:hAnsi="Times New Roman"/>
          <w:sz w:val="20"/>
          <w:szCs w:val="20"/>
          <w:color w:val="auto"/>
        </w:rPr>
        <w:t>We are the operator of approximately 92% of our Permian Basin acreage.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operating control allows 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decrease our capital expenditure program based on commodity price outlooks. This operating control also enables us to obtain data needed for efficient exploration of horizontal prospects.</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Our Properties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Location and Land</w:t>
      </w:r>
    </w:p>
    <w:p>
      <w:pPr>
        <w:spacing w:after="0" w:line="251" w:lineRule="exact"/>
        <w:rPr>
          <w:sz w:val="20"/>
          <w:szCs w:val="20"/>
          <w:color w:val="auto"/>
        </w:rPr>
      </w:pPr>
    </w:p>
    <w:p>
      <w:pPr>
        <w:jc w:val="both"/>
        <w:ind w:left="100" w:right="40" w:firstLine="720"/>
        <w:spacing w:after="0" w:line="257" w:lineRule="auto"/>
        <w:rPr>
          <w:sz w:val="20"/>
          <w:szCs w:val="20"/>
          <w:color w:val="auto"/>
        </w:rPr>
      </w:pPr>
      <w:r>
        <w:rPr>
          <w:rFonts w:ascii="Times New Roman" w:cs="Times New Roman" w:eastAsia="Times New Roman" w:hAnsi="Times New Roman"/>
          <w:sz w:val="20"/>
          <w:szCs w:val="20"/>
          <w:color w:val="auto"/>
        </w:rPr>
        <w:t>The Permian Basin area covers a significant portion of western Texas and eastern New Mexico and is considered one of the major producing basins in the United States. As of December 31, 2024, our total acreage position in the Permian Basin was approximately 1,077,697 gross (860,719 net) acres, which consisted primarily of 910,991 gross (737,181 net) acres in the Midland Basin and 161,981 gross (123,218 net) acres in the Delaware Basin. In addition, as of December 31, 2024, our publicly traded subsidiary, Viper, owned mineral interests underlying approximately 987,861 gross acres (35,671 net) royalty acres in the Permian Basin. Approximately 52% of these net royalty acres are operated by us.</w:t>
      </w:r>
    </w:p>
    <w:p>
      <w:pPr>
        <w:spacing w:after="0" w:line="200" w:lineRule="exact"/>
        <w:rPr>
          <w:sz w:val="20"/>
          <w:szCs w:val="20"/>
          <w:color w:val="auto"/>
        </w:rPr>
      </w:pPr>
    </w:p>
    <w:p>
      <w:pPr>
        <w:jc w:val="both"/>
        <w:ind w:left="100" w:right="40" w:firstLine="720"/>
        <w:spacing w:after="0" w:line="258" w:lineRule="auto"/>
        <w:rPr>
          <w:sz w:val="20"/>
          <w:szCs w:val="20"/>
          <w:color w:val="auto"/>
        </w:rPr>
      </w:pPr>
      <w:r>
        <w:rPr>
          <w:rFonts w:ascii="Times New Roman" w:cs="Times New Roman" w:eastAsia="Times New Roman" w:hAnsi="Times New Roman"/>
          <w:sz w:val="20"/>
          <w:szCs w:val="20"/>
          <w:color w:val="auto"/>
        </w:rPr>
        <w:t>We have been developing multiple pay intervals primarily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2024:</w:t>
      </w: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840" w:type="dxa"/>
            <w:vAlign w:val="bottom"/>
            <w:tcBorders>
              <w:bottom w:val="single" w:sz="8" w:color="auto"/>
            </w:tcBorders>
          </w:tcPr>
          <w:p>
            <w:pPr>
              <w:spacing w:after="0"/>
              <w:rPr>
                <w:sz w:val="21"/>
                <w:szCs w:val="21"/>
                <w:color w:val="auto"/>
              </w:rPr>
            </w:pPr>
          </w:p>
        </w:tc>
        <w:tc>
          <w:tcPr>
            <w:tcW w:w="6840" w:type="dxa"/>
            <w:vAlign w:val="bottom"/>
            <w:tcBorders>
              <w:bottom w:val="single" w:sz="8" w:color="auto"/>
            </w:tcBorders>
          </w:tcPr>
          <w:p>
            <w:pPr>
              <w:jc w:val="center"/>
              <w:ind w:right="743"/>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2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Number of Horizontal Wells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Midland </w:t>
            </w:r>
            <w:r>
              <w:rPr>
                <w:rFonts w:ascii="Times New Roman" w:cs="Times New Roman" w:eastAsia="Times New Roman" w:hAnsi="Times New Roman"/>
                <w:sz w:val="20"/>
                <w:szCs w:val="20"/>
                <w:color w:val="B3B3B3"/>
                <w:w w:val="97"/>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6"/>
              </w:rPr>
              <w:t>Delaware</w:t>
            </w:r>
            <w:r>
              <w:rPr>
                <w:rFonts w:ascii="Times New Roman" w:cs="Times New Roman" w:eastAsia="Times New Roman" w:hAnsi="Times New Roman"/>
                <w:sz w:val="20"/>
                <w:szCs w:val="20"/>
                <w:color w:val="B3B3B3"/>
                <w:w w:val="96"/>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40" w:type="dxa"/>
            <w:vAlign w:val="bottom"/>
          </w:tcPr>
          <w:p>
            <w:pPr>
              <w:ind w:left="220"/>
              <w:spacing w:after="0"/>
              <w:rPr>
                <w:sz w:val="20"/>
                <w:szCs w:val="20"/>
                <w:color w:val="auto"/>
              </w:rPr>
            </w:pPr>
            <w:r>
              <w:rPr>
                <w:rFonts w:ascii="Times New Roman" w:cs="Times New Roman" w:eastAsia="Times New Roman" w:hAnsi="Times New Roman"/>
                <w:sz w:val="2"/>
                <w:szCs w:val="2"/>
                <w:color w:val="auto"/>
                <w:w w:val="79"/>
              </w:rPr>
              <w:t>Other</w:t>
            </w:r>
            <w:r>
              <w:rPr>
                <w:rFonts w:ascii="Times New Roman" w:cs="Times New Roman" w:eastAsia="Times New Roman" w:hAnsi="Times New Roman"/>
                <w:sz w:val="2"/>
                <w:szCs w:val="2"/>
                <w:color w:val="B3B3B3"/>
                <w:w w:val="79"/>
              </w:rPr>
              <w:t>..............................................................................................................................................</w:t>
            </w:r>
          </w:p>
        </w:tc>
        <w:tc>
          <w:tcPr>
            <w:tcW w:w="6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0" w:type="dxa"/>
            <w:vAlign w:val="bottom"/>
            <w:vMerge w:val="restart"/>
          </w:tcPr>
          <w:p>
            <w:pPr>
              <w:ind w:left="280"/>
              <w:spacing w:after="0" w:line="216" w:lineRule="exact"/>
              <w:rPr>
                <w:sz w:val="20"/>
                <w:szCs w:val="20"/>
                <w:color w:val="auto"/>
              </w:rPr>
            </w:pPr>
            <w:r>
              <w:rPr>
                <w:rFonts w:ascii="Times New Roman" w:cs="Times New Roman" w:eastAsia="Times New Roman" w:hAnsi="Times New Roman"/>
                <w:sz w:val="20"/>
                <w:szCs w:val="20"/>
                <w:color w:val="auto"/>
                <w:w w:val="87"/>
              </w:rPr>
              <w:t>Total</w:t>
            </w:r>
            <w:r>
              <w:rPr>
                <w:rFonts w:ascii="Times New Roman" w:cs="Times New Roman" w:eastAsia="Times New Roman" w:hAnsi="Times New Roman"/>
                <w:sz w:val="25"/>
                <w:szCs w:val="25"/>
                <w:color w:val="auto"/>
                <w:w w:val="87"/>
                <w:vertAlign w:val="superscript"/>
              </w:rPr>
              <w:t>(1)</w:t>
            </w:r>
          </w:p>
        </w:tc>
        <w:tc>
          <w:tcPr>
            <w:tcW w:w="6840" w:type="dxa"/>
            <w:vAlign w:val="bottom"/>
            <w:vMerge w:val="continue"/>
          </w:tcPr>
          <w:p>
            <w:pPr>
              <w:spacing w:after="0"/>
              <w:rPr>
                <w:sz w:val="13"/>
                <w:szCs w:val="13"/>
                <w:color w:val="auto"/>
              </w:rPr>
            </w:pPr>
          </w:p>
        </w:tc>
        <w:tc>
          <w:tcPr>
            <w:tcW w:w="2400" w:type="dxa"/>
            <w:vAlign w:val="bottom"/>
            <w:vMerge w:val="restart"/>
          </w:tcPr>
          <w:p>
            <w:pPr>
              <w:jc w:val="right"/>
              <w:spacing w:after="0" w:line="216" w:lineRule="exact"/>
              <w:rPr>
                <w:sz w:val="20"/>
                <w:szCs w:val="20"/>
                <w:color w:val="auto"/>
              </w:rPr>
            </w:pPr>
            <w:r>
              <w:rPr>
                <w:rFonts w:ascii="Times New Roman" w:cs="Times New Roman" w:eastAsia="Times New Roman" w:hAnsi="Times New Roman"/>
                <w:sz w:val="20"/>
                <w:szCs w:val="20"/>
                <w:color w:val="auto"/>
              </w:rPr>
              <w:t>6,590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40" w:type="dxa"/>
            <w:vAlign w:val="bottom"/>
            <w:vMerge w:val="continue"/>
          </w:tcPr>
          <w:p>
            <w:pPr>
              <w:spacing w:after="0"/>
              <w:rPr>
                <w:sz w:val="5"/>
                <w:szCs w:val="5"/>
                <w:color w:val="auto"/>
              </w:rPr>
            </w:pPr>
          </w:p>
        </w:tc>
        <w:tc>
          <w:tcPr>
            <w:tcW w:w="6840" w:type="dxa"/>
            <w:vAlign w:val="bottom"/>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right="100" w:hanging="360"/>
        <w:spacing w:after="0" w:line="289" w:lineRule="auto"/>
        <w:tabs>
          <w:tab w:leader="none" w:pos="46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these 6,590 total horizontal producing wells, we are the operator of 4,723 wells and have a non-operated working interest in 1,867 additional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20"/>
          </w:cols>
          <w:pgMar w:left="980" w:top="205" w:right="1040"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12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the average number of days in which we were able to drill our horizontal wells to total depth specified below during the year ended December 31, 2024:</w:t>
      </w:r>
    </w:p>
    <w:p>
      <w:pPr>
        <w:spacing w:after="0" w:line="33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u w:val="single" w:color="auto"/>
          <w:color w:val="auto"/>
        </w:rPr>
        <w:t>Average Days to Total Depth</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Midland Basin</w:t>
      </w:r>
    </w:p>
    <w:p>
      <w:pPr>
        <w:spacing w:after="0" w:line="26" w:lineRule="exact"/>
        <w:rPr>
          <w:sz w:val="20"/>
          <w:szCs w:val="20"/>
          <w:color w:val="auto"/>
        </w:rPr>
      </w:pPr>
    </w:p>
    <w:p>
      <w:pPr>
        <w:ind w:left="380"/>
        <w:spacing w:after="0"/>
        <w:tabs>
          <w:tab w:leader="dot" w:pos="9980" w:val="left"/>
        </w:tabs>
        <w:rPr>
          <w:sz w:val="20"/>
          <w:szCs w:val="20"/>
          <w:color w:val="auto"/>
        </w:rPr>
      </w:pPr>
      <w:r>
        <w:rPr>
          <w:rFonts w:ascii="Times New Roman" w:cs="Times New Roman" w:eastAsia="Times New Roman" w:hAnsi="Times New Roman"/>
          <w:sz w:val="20"/>
          <w:szCs w:val="20"/>
          <w:color w:val="auto"/>
        </w:rPr>
        <w:t>7,500 foot lateral</w:t>
      </w:r>
      <w:r>
        <w:rPr>
          <w:sz w:val="20"/>
          <w:szCs w:val="20"/>
          <w:color w:val="auto"/>
        </w:rPr>
        <w:tab/>
      </w:r>
      <w:r>
        <w:rPr>
          <w:rFonts w:ascii="Times New Roman" w:cs="Times New Roman" w:eastAsia="Times New Roman" w:hAnsi="Times New Roman"/>
          <w:sz w:val="20"/>
          <w:szCs w:val="20"/>
          <w:color w:val="auto"/>
        </w:rPr>
        <w:t>8</w:t>
      </w:r>
    </w:p>
    <w:p>
      <w:pPr>
        <w:spacing w:after="0" w:line="27" w:lineRule="exact"/>
        <w:rPr>
          <w:sz w:val="20"/>
          <w:szCs w:val="20"/>
          <w:color w:val="auto"/>
        </w:rPr>
      </w:pPr>
    </w:p>
    <w:p>
      <w:pPr>
        <w:ind w:left="380"/>
        <w:spacing w:after="0"/>
        <w:tabs>
          <w:tab w:leader="dot" w:pos="9980" w:val="left"/>
        </w:tabs>
        <w:rPr>
          <w:sz w:val="20"/>
          <w:szCs w:val="20"/>
          <w:color w:val="auto"/>
        </w:rPr>
      </w:pPr>
      <w:r>
        <w:rPr>
          <w:rFonts w:ascii="Times New Roman" w:cs="Times New Roman" w:eastAsia="Times New Roman" w:hAnsi="Times New Roman"/>
          <w:sz w:val="20"/>
          <w:szCs w:val="20"/>
          <w:color w:val="auto"/>
        </w:rPr>
        <w:t>10,000 foot lateral</w:t>
      </w:r>
      <w:r>
        <w:rPr>
          <w:sz w:val="20"/>
          <w:szCs w:val="20"/>
          <w:color w:val="auto"/>
        </w:rPr>
        <w:tab/>
      </w:r>
      <w:r>
        <w:rPr>
          <w:rFonts w:ascii="Times New Roman" w:cs="Times New Roman" w:eastAsia="Times New Roman" w:hAnsi="Times New Roman"/>
          <w:sz w:val="20"/>
          <w:szCs w:val="20"/>
          <w:color w:val="auto"/>
        </w:rPr>
        <w:t>9</w:t>
      </w:r>
    </w:p>
    <w:p>
      <w:pPr>
        <w:spacing w:after="0" w:line="24"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13,000 foot lateral</w:t>
      </w:r>
      <w:r>
        <w:rPr>
          <w:sz w:val="20"/>
          <w:szCs w:val="20"/>
          <w:color w:val="auto"/>
        </w:rPr>
        <w:tab/>
      </w:r>
      <w:r>
        <w:rPr>
          <w:rFonts w:ascii="Times New Roman" w:cs="Times New Roman" w:eastAsia="Times New Roman" w:hAnsi="Times New Roman"/>
          <w:sz w:val="20"/>
          <w:szCs w:val="20"/>
          <w:color w:val="auto"/>
        </w:rPr>
        <w:t>10</w:t>
      </w:r>
    </w:p>
    <w:p>
      <w:pPr>
        <w:spacing w:after="0" w:line="24"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15,000 foot lateral</w:t>
      </w:r>
      <w:r>
        <w:rPr>
          <w:sz w:val="20"/>
          <w:szCs w:val="20"/>
          <w:color w:val="auto"/>
        </w:rPr>
        <w:tab/>
      </w:r>
      <w:r>
        <w:rPr>
          <w:rFonts w:ascii="Times New Roman" w:cs="Times New Roman" w:eastAsia="Times New Roman" w:hAnsi="Times New Roman"/>
          <w:sz w:val="20"/>
          <w:szCs w:val="20"/>
          <w:color w:val="auto"/>
        </w:rPr>
        <w:t>10</w:t>
      </w:r>
    </w:p>
    <w:p>
      <w:pPr>
        <w:spacing w:after="0" w:line="24"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18,000 foot lateral</w:t>
      </w:r>
      <w:r>
        <w:rPr>
          <w:sz w:val="20"/>
          <w:szCs w:val="20"/>
          <w:color w:val="auto"/>
        </w:rPr>
        <w:tab/>
      </w:r>
      <w:r>
        <w:rPr>
          <w:rFonts w:ascii="Times New Roman" w:cs="Times New Roman" w:eastAsia="Times New Roman" w:hAnsi="Times New Roman"/>
          <w:sz w:val="20"/>
          <w:szCs w:val="20"/>
          <w:color w:val="auto"/>
        </w:rPr>
        <w:t>13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Delaware Basin</w:t>
      </w:r>
    </w:p>
    <w:p>
      <w:pPr>
        <w:spacing w:after="0" w:line="26"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10,000 foot lateral</w:t>
      </w:r>
      <w:r>
        <w:rPr>
          <w:sz w:val="20"/>
          <w:szCs w:val="20"/>
          <w:color w:val="auto"/>
        </w:rPr>
        <w:tab/>
      </w:r>
      <w:r>
        <w:rPr>
          <w:rFonts w:ascii="Times New Roman" w:cs="Times New Roman" w:eastAsia="Times New Roman" w:hAnsi="Times New Roman"/>
          <w:sz w:val="20"/>
          <w:szCs w:val="20"/>
          <w:color w:val="auto"/>
        </w:rPr>
        <w:t>16</w:t>
      </w:r>
    </w:p>
    <w:p>
      <w:pPr>
        <w:spacing w:after="0" w:line="24"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13,000 foot lateral</w:t>
      </w:r>
      <w:r>
        <w:rPr>
          <w:sz w:val="20"/>
          <w:szCs w:val="20"/>
          <w:color w:val="auto"/>
        </w:rPr>
        <w:tab/>
      </w:r>
      <w:r>
        <w:rPr>
          <w:rFonts w:ascii="Times New Roman" w:cs="Times New Roman" w:eastAsia="Times New Roman" w:hAnsi="Times New Roman"/>
          <w:sz w:val="20"/>
          <w:szCs w:val="20"/>
          <w:color w:val="auto"/>
        </w:rPr>
        <w:t>16</w:t>
      </w:r>
    </w:p>
    <w:p>
      <w:pPr>
        <w:spacing w:after="0" w:line="24" w:lineRule="exact"/>
        <w:rPr>
          <w:sz w:val="20"/>
          <w:szCs w:val="20"/>
          <w:color w:val="auto"/>
        </w:rPr>
      </w:pPr>
    </w:p>
    <w:p>
      <w:pPr>
        <w:ind w:left="380"/>
        <w:spacing w:after="0"/>
        <w:tabs>
          <w:tab w:leader="dot" w:pos="9880" w:val="left"/>
        </w:tabs>
        <w:rPr>
          <w:sz w:val="20"/>
          <w:szCs w:val="20"/>
          <w:color w:val="auto"/>
        </w:rPr>
      </w:pPr>
      <w:r>
        <w:rPr>
          <w:rFonts w:ascii="Times New Roman" w:cs="Times New Roman" w:eastAsia="Times New Roman" w:hAnsi="Times New Roman"/>
          <w:sz w:val="20"/>
          <w:szCs w:val="20"/>
          <w:color w:val="auto"/>
        </w:rPr>
        <w:t>15,000 foot lateral</w:t>
      </w:r>
      <w:r>
        <w:rPr>
          <w:sz w:val="20"/>
          <w:szCs w:val="20"/>
          <w:color w:val="auto"/>
        </w:rPr>
        <w:tab/>
      </w:r>
      <w:r>
        <w:rPr>
          <w:rFonts w:ascii="Times New Roman" w:cs="Times New Roman" w:eastAsia="Times New Roman" w:hAnsi="Times New Roman"/>
          <w:sz w:val="20"/>
          <w:szCs w:val="20"/>
          <w:color w:val="auto"/>
        </w:rPr>
        <w:t>20</w:t>
      </w:r>
    </w:p>
    <w:p>
      <w:pPr>
        <w:spacing w:after="0" w:line="325"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Further advances in drilling and completion technology may result in economic development of zones that are not currently viable.</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Area History</w:t>
      </w:r>
    </w:p>
    <w:p>
      <w:pPr>
        <w:spacing w:after="0" w:line="25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Our proved reserves are located in the Permian Basin of West Texas, in particular in the Clearfork, Spraberry, Bone Spring, Wolfcamp, Strawn, Atoka, Barnett and Woodford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20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Wolfcamp formation is a long-established reservoir in West Texas, first found in the 1950s as wells aiming for deeper targets occasionally intersected slump blocks or debris flows with good reservoir properties. Exploration using 2 -D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99"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By mid -2010,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2024, we held working interests in 10,277 gross (7,891 net) producing wells and only royalty interests in 20,651 additional wells.</w:t>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Geology</w:t>
      </w:r>
    </w:p>
    <w:p>
      <w:pPr>
        <w:spacing w:after="0" w:line="253"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lead to deposits of organically rich mudstone such as the Devonian Woodford and Mississippian Barnett. These formations are important sources and, more recently, reservoirs within the present-day Greater Permian Basin.</w:t>
      </w:r>
    </w:p>
    <w:p>
      <w:pPr>
        <w:spacing w:after="0" w:line="21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w:t>
      </w: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180"/>
          </w:cols>
          <w:pgMar w:left="980" w:top="205" w:right="1080"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spacing w:after="0" w:line="197"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We have successfully developed several hybrid reservoir intervals within the Clearfork, Spraberry/Bone Spring, Wolfcamp, Barnett and Woodford formations since we began horizontal drilling in 2012. The mudstones and some clastics exhibit low permeabilities which necessitate the need for hydraulic fracture stimulation to unlock the vast storage of hydrocarbons in these targets.</w:t>
      </w:r>
    </w:p>
    <w:p>
      <w:pPr>
        <w:spacing w:after="0" w:line="197"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We possess, or are in the process of acquiring, 3-D seismic data over substantially all of our major asset areas. Our extensive geophysical database currently includes approximately 16,557 square miles of 3-D data, a significant portion of which is attributable to the Endeavor Acquisition. This data will continue to be utilized in the development of our horizontal drilling program and identification of additional resources to be exploited.</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Recent and Future Activity</w:t>
      </w:r>
    </w:p>
    <w:p>
      <w:pPr>
        <w:spacing w:after="0" w:line="25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During 2025, we expect to drill an estimated 446 to 471 gross (406 to 428 net) operated horizontal wells and complete an estimated 557 to 592 gross (526 to 560 net) operated horizontal wells on our acreage. We currently estimate that our capital expenditures in 2025, which gives effect to the pending Double Eagle Acquisition, will be between $3.80 billion and $4.20 billion, consisting of $3.13 billion to $3.44 billion for horizontal drilling and completions, $280 million to $320 million non-operated activity and capital workovers and $390 million to $440 million for infrastructure, midstream and environmental capital expenditures. During the year ended December 31, 2024, we drilled 372 gross (351 net) and completed 410 gross (386 net) operated horizontal wells and incurred capital expenditures for drilling, completing and equipping wells, infrastructure and midstream additions to oil and natural gas properties of $2.9 billion.</w:t>
      </w:r>
    </w:p>
    <w:p>
      <w:pPr>
        <w:spacing w:after="0" w:line="20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We were operating 19 drilling rigs and four completion crews at December 31, 2024 and currently intend to operate between 13 and 19 rigs and four and six completion crews on average in 2025. We will continue monitoring the ongoing commodity price environment and expect to retain the financial flexibility to adjust our drilling and completion plans in response to market conditions.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Oil and Natural Gas Data</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Proved Reserves</w:t>
      </w:r>
    </w:p>
    <w:p>
      <w:pPr>
        <w:spacing w:after="0" w:line="2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Evaluation and Review of Reserves</w:t>
      </w:r>
    </w:p>
    <w:p>
      <w:pPr>
        <w:spacing w:after="0" w:line="24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estimated reserves as of December 31, 2024, 2023 and 2022 are based on reserve estimates prepared by our internal reservoir engineers and audited by Ryder Scott, an independent petroleum engineering firm.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audits was to provide additional assurance on the reasonableness of internally prepared reserve estimates and covered 100% of our total proved reserves for 2024, 2023 and 2022.</w:t>
      </w:r>
    </w:p>
    <w:p>
      <w:pPr>
        <w:spacing w:after="0" w:line="20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2024 were estimated using a deterministic method.</w:t>
      </w:r>
    </w:p>
    <w:p>
      <w:pPr>
        <w:spacing w:after="0" w:line="207" w:lineRule="exact"/>
        <w:rPr>
          <w:sz w:val="20"/>
          <w:szCs w:val="20"/>
          <w:color w:val="auto"/>
        </w:rPr>
      </w:pPr>
    </w:p>
    <w:p>
      <w:pPr>
        <w:jc w:val="both"/>
        <w:ind w:left="100" w:firstLine="720"/>
        <w:spacing w:after="0" w:line="249" w:lineRule="auto"/>
        <w:rPr>
          <w:sz w:val="20"/>
          <w:szCs w:val="20"/>
          <w:color w:val="auto"/>
        </w:rPr>
      </w:pPr>
      <w:r>
        <w:rPr>
          <w:rFonts w:ascii="Times New Roman" w:cs="Times New Roman" w:eastAsia="Times New Roman" w:hAnsi="Times New Roman"/>
          <w:sz w:val="20"/>
          <w:szCs w:val="20"/>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w:t>
      </w:r>
    </w:p>
    <w:p>
      <w:pPr>
        <w:spacing w:after="0" w:line="2" w:lineRule="exact"/>
        <w:rPr>
          <w:sz w:val="20"/>
          <w:szCs w:val="20"/>
          <w:color w:val="auto"/>
        </w:rPr>
      </w:pPr>
    </w:p>
    <w:p>
      <w:pPr>
        <w:jc w:val="center"/>
        <w:ind w:left="5040" w:right="60" w:hanging="4940"/>
        <w:spacing w:after="0" w:line="423" w:lineRule="auto"/>
        <w:tabs>
          <w:tab w:leader="none" w:pos="4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volumetric-based methods and (iii) analogy. These methods may be used singularly or in combination by the reserve 6</w:t>
      </w:r>
    </w:p>
    <w:p>
      <w:pPr>
        <w:sectPr>
          <w:pgSz w:w="12240" w:h="15840" w:orient="portrait"/>
          <w:cols w:equalWidth="0" w:num="1">
            <w:col w:w="10180"/>
          </w:cols>
          <w:pgMar w:left="980" w:top="205" w:right="1080" w:bottom="94"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3" w:lineRule="auto"/>
        <w:rPr>
          <w:sz w:val="20"/>
          <w:szCs w:val="20"/>
          <w:color w:val="auto"/>
        </w:rPr>
      </w:pPr>
      <w:r>
        <w:rPr>
          <w:rFonts w:ascii="Times New Roman" w:cs="Times New Roman" w:eastAsia="Times New Roman" w:hAnsi="Times New Roman"/>
          <w:sz w:val="20"/>
          <w:szCs w:val="20"/>
          <w:color w:val="auto"/>
        </w:rPr>
        <w:t>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was inadequate historical performance data to establish a definitive trend and where the use of production performance data as a basis for the reserve estimates was considered to be inappropriate. All proved undeveloped reserves were estimated by the analogy method.</w:t>
      </w:r>
    </w:p>
    <w:p>
      <w:pPr>
        <w:spacing w:after="0" w:line="214"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20"/>
          <w:szCs w:val="20"/>
          <w:color w:val="auto"/>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included production and well test data, downhole completion information, geologic data, electrical logs, radioactivity logs, core analyses, available seismic data and historical well cost and operating expense data.</w:t>
      </w:r>
    </w:p>
    <w:p>
      <w:pPr>
        <w:spacing w:after="0" w:line="204"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process of estimating oil, natural gas and natural gas liquids reserves is complex and requires significant judgment, as discussed in Item 1A. Risk Factors and Item 7. Management Discussion and Analysis—Critical Accounting Estimates of this report. As a result, we maintain an internal staff of petroleum engineers and geoscience professionals that have an internal control process to ensure the integrity, accuracy and timeliness of the data used to calculate our proved reserves. Our internal technical staff met with our independent reserve auditor periodically during their audit of the period covered by the reserve reports to discuss the assumptions and methods used in our proved reserve estimation process. As part of the audit process, we provide historical information to the independent reserve engineers for our properties such as ownership interest, oil and natural gas production, well test data, commodity prices and operating and development costs.</w:t>
      </w:r>
    </w:p>
    <w:p>
      <w:pPr>
        <w:spacing w:after="0" w:line="208"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Executive Vice President and Chief Engineer is primarily responsible for overseeing the preparation of all our reserve estimates and overseeing communications with our independent reserve auditor. The Executive Vice President and Chief Engineer is a petroleum engineer with over 21 years of reservoir and operations experience and our geoscience staff has an average of approximately 16 years of industry experience per person. Our technical staff uses historical information for our properties such as ownership interest, oil and natural gas production, well test data, commodity prices and operating and development costs. Ryder Scott performed an independent analysis during its audit of our estimated reserves for 2024 and any differences were reviewed with our Executive Vice President and Chief Engineer. For 2024, our reserve auditor’s estimates of our proved reserves did not materially differ from our estimates by more than the established audit tolerance guidelines of ten percent.</w:t>
      </w:r>
    </w:p>
    <w:p>
      <w:pPr>
        <w:spacing w:after="0" w:line="205"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The internal control procedures utilized in the preparation of our proved reserve estimates are intended to ensure reliability of reserve estimations, and include the following:</w:t>
      </w:r>
    </w:p>
    <w:p>
      <w:pPr>
        <w:spacing w:after="0" w:line="166" w:lineRule="exact"/>
        <w:rPr>
          <w:sz w:val="20"/>
          <w:szCs w:val="20"/>
          <w:color w:val="auto"/>
        </w:rPr>
      </w:pPr>
    </w:p>
    <w:p>
      <w:pPr>
        <w:ind w:left="1180" w:hanging="360"/>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verification of historical production data, which is based on actual production as reported by us;</w:t>
      </w:r>
    </w:p>
    <w:p>
      <w:pPr>
        <w:spacing w:after="0" w:line="70" w:lineRule="exact"/>
        <w:rPr>
          <w:rFonts w:ascii="Times New Roman" w:cs="Times New Roman" w:eastAsia="Times New Roman" w:hAnsi="Times New Roman"/>
          <w:sz w:val="20"/>
          <w:szCs w:val="20"/>
          <w:color w:val="auto"/>
        </w:rPr>
      </w:pPr>
    </w:p>
    <w:p>
      <w:pPr>
        <w:ind w:left="1180" w:hanging="360"/>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reserve estimates by the primary reserve engineers or under their direct supervision;</w:t>
      </w:r>
    </w:p>
    <w:p>
      <w:pPr>
        <w:spacing w:after="0" w:line="70" w:lineRule="exact"/>
        <w:rPr>
          <w:rFonts w:ascii="Times New Roman" w:cs="Times New Roman" w:eastAsia="Times New Roman" w:hAnsi="Times New Roman"/>
          <w:sz w:val="20"/>
          <w:szCs w:val="20"/>
          <w:color w:val="auto"/>
        </w:rPr>
      </w:pPr>
    </w:p>
    <w:p>
      <w:pPr>
        <w:ind w:left="1180" w:hanging="360"/>
        <w:spacing w:after="0" w:line="280" w:lineRule="auto"/>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by the primary reserve engineers of all of our reported proved reserves at the close of each quarter, including the review of all significant reserve changes and all new proved undeveloped reserves additions;</w:t>
      </w:r>
    </w:p>
    <w:p>
      <w:pPr>
        <w:spacing w:after="0" w:line="1" w:lineRule="exact"/>
        <w:rPr>
          <w:rFonts w:ascii="Times New Roman" w:cs="Times New Roman" w:eastAsia="Times New Roman" w:hAnsi="Times New Roman"/>
          <w:sz w:val="20"/>
          <w:szCs w:val="20"/>
          <w:color w:val="auto"/>
        </w:rPr>
      </w:pPr>
    </w:p>
    <w:p>
      <w:pPr>
        <w:ind w:left="1180" w:hanging="360"/>
        <w:spacing w:after="0" w:line="281" w:lineRule="auto"/>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historical realized commodity prices and differentials from index prices compared to the differentials used in the reserves database;</w:t>
      </w:r>
    </w:p>
    <w:p>
      <w:pPr>
        <w:spacing w:after="0" w:line="1" w:lineRule="exact"/>
        <w:rPr>
          <w:rFonts w:ascii="Times New Roman" w:cs="Times New Roman" w:eastAsia="Times New Roman" w:hAnsi="Times New Roman"/>
          <w:sz w:val="20"/>
          <w:szCs w:val="20"/>
          <w:color w:val="auto"/>
        </w:rPr>
      </w:pPr>
    </w:p>
    <w:p>
      <w:pPr>
        <w:ind w:left="1180" w:hanging="360"/>
        <w:spacing w:after="0" w:line="281" w:lineRule="auto"/>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reporting responsibilities by our Executive Vice President and Chief Engineer to our Executive Vice President—Operations;</w:t>
      </w:r>
    </w:p>
    <w:p>
      <w:pPr>
        <w:spacing w:after="0" w:line="1" w:lineRule="exact"/>
        <w:rPr>
          <w:rFonts w:ascii="Times New Roman" w:cs="Times New Roman" w:eastAsia="Times New Roman" w:hAnsi="Times New Roman"/>
          <w:sz w:val="20"/>
          <w:szCs w:val="20"/>
          <w:color w:val="auto"/>
        </w:rPr>
      </w:pPr>
    </w:p>
    <w:p>
      <w:pPr>
        <w:jc w:val="both"/>
        <w:ind w:left="1180" w:hanging="360"/>
        <w:spacing w:after="0" w:line="284" w:lineRule="auto"/>
        <w:tabs>
          <w:tab w:leader="none" w:pos="11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finalizing the reserve report, a review of our preliminary proved reserve estimates by our Chief Executive Officer, President and Chief Financial Officer, Executive Vice President and Chief Operating Officer, Executive Vice President and Chief Engineer and our primary reserves engineers takes place on an annual basis;</w:t>
      </w:r>
    </w:p>
    <w:p>
      <w:pPr>
        <w:spacing w:after="0" w:line="2" w:lineRule="exact"/>
        <w:rPr>
          <w:rFonts w:ascii="Times New Roman" w:cs="Times New Roman" w:eastAsia="Times New Roman" w:hAnsi="Times New Roman"/>
          <w:sz w:val="19"/>
          <w:szCs w:val="19"/>
          <w:color w:val="auto"/>
        </w:rPr>
      </w:pPr>
    </w:p>
    <w:p>
      <w:pPr>
        <w:ind w:left="1180" w:hanging="359"/>
        <w:spacing w:after="0" w:line="280" w:lineRule="auto"/>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our proved reserve estimates by our Audit Committee with our executive team and Ryder Scott on an annual basis;</w:t>
      </w:r>
    </w:p>
    <w:p>
      <w:pPr>
        <w:spacing w:after="0" w:line="1" w:lineRule="exact"/>
        <w:rPr>
          <w:rFonts w:ascii="Times New Roman" w:cs="Times New Roman" w:eastAsia="Times New Roman" w:hAnsi="Times New Roman"/>
          <w:sz w:val="20"/>
          <w:szCs w:val="20"/>
          <w:color w:val="auto"/>
        </w:rPr>
      </w:pPr>
    </w:p>
    <w:p>
      <w:pPr>
        <w:ind w:left="1180" w:hanging="359"/>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verification of property ownership by our land department; and</w:t>
      </w:r>
    </w:p>
    <w:p>
      <w:pPr>
        <w:spacing w:after="0" w:line="70" w:lineRule="exact"/>
        <w:rPr>
          <w:rFonts w:ascii="Times New Roman" w:cs="Times New Roman" w:eastAsia="Times New Roman" w:hAnsi="Times New Roman"/>
          <w:sz w:val="20"/>
          <w:szCs w:val="20"/>
          <w:color w:val="auto"/>
        </w:rPr>
      </w:pPr>
    </w:p>
    <w:p>
      <w:pPr>
        <w:ind w:left="1180" w:hanging="359"/>
        <w:spacing w:after="0"/>
        <w:tabs>
          <w:tab w:leader="none" w:pos="1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employee’s compensation is tied to the amount of reserves booked.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180"/>
          </w:cols>
          <w:pgMar w:left="980" w:top="205" w:right="1080"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For estimates and further discussion of our proved developed and proved undeveloped reserves, see Note 19— Supplemental Information on Oil and Natural Gas Operations in Item 8. Financial Statements and Supplementary Data of this report.</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Potential Drilling Locations</w:t>
      </w:r>
    </w:p>
    <w:p>
      <w:pPr>
        <w:spacing w:after="0" w:line="251"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We have identified a multi-year inventory of potential drilling locations for our oil-weighted reserves that we believe provides attractive growth and return opportunities. At an assumed price of approximately $50.00 per Bbl WTI, we currently have approximately 9,188 gross (7,130 net) identified economic potential horizontal drilling locations on our acreage based on our evaluation of applicable geologic and engineering data.</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following table presents the number of gross identified economic potential horizontal drilling locations by basin:</w:t>
      </w:r>
    </w:p>
    <w:p>
      <w:pPr>
        <w:spacing w:after="0" w:line="35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Number of Identified Economic</w:t>
      </w:r>
    </w:p>
    <w:p>
      <w:pPr>
        <w:ind w:left="7700"/>
        <w:spacing w:after="0" w:line="205" w:lineRule="auto"/>
        <w:rPr>
          <w:sz w:val="20"/>
          <w:szCs w:val="20"/>
          <w:color w:val="auto"/>
        </w:rPr>
      </w:pPr>
      <w:r>
        <w:rPr>
          <w:rFonts w:ascii="Times New Roman" w:cs="Times New Roman" w:eastAsia="Times New Roman" w:hAnsi="Times New Roman"/>
          <w:sz w:val="18"/>
          <w:szCs w:val="18"/>
          <w:b w:val="1"/>
          <w:bCs w:val="1"/>
          <w:color w:val="auto"/>
        </w:rPr>
        <w:t>Potential Horizontal Drilling</w:t>
      </w:r>
    </w:p>
    <w:p>
      <w:pPr>
        <w:spacing w:after="0" w:line="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Locations</w:t>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Midland Basin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4721225</wp:posOffset>
                </wp:positionH>
                <wp:positionV relativeFrom="paragraph">
                  <wp:posOffset>-124460</wp:posOffset>
                </wp:positionV>
                <wp:extent cx="17430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75pt,-9.7999pt" to="509pt,-9.7999pt" o:allowincell="f" strokecolor="#000000" strokeweight="1pt"/>
            </w:pict>
          </mc:Fallback>
        </mc:AlternateConten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Lower Spraberry</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9"/>
          <w:szCs w:val="19"/>
          <w:color w:val="auto"/>
        </w:rPr>
        <w:t>1,226</w: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Middle Spraberry</w:t>
      </w:r>
      <w:r>
        <w:rPr>
          <w:rFonts w:ascii="Times New Roman" w:cs="Times New Roman" w:eastAsia="Times New Roman" w:hAnsi="Times New Roman"/>
          <w:sz w:val="25"/>
          <w:szCs w:val="25"/>
          <w:color w:val="auto"/>
          <w:vertAlign w:val="superscript"/>
        </w:rPr>
        <w:t>(1)</w:t>
      </w:r>
      <w:r>
        <w:rPr>
          <w:sz w:val="20"/>
          <w:szCs w:val="20"/>
          <w:color w:val="auto"/>
        </w:rPr>
        <w:tab/>
      </w:r>
      <w:r>
        <w:rPr>
          <w:rFonts w:ascii="Times New Roman" w:cs="Times New Roman" w:eastAsia="Times New Roman" w:hAnsi="Times New Roman"/>
          <w:sz w:val="19"/>
          <w:szCs w:val="19"/>
          <w:color w:val="auto"/>
        </w:rPr>
        <w:t>1,512</w: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Wolfcamp A</w:t>
      </w:r>
      <w:r>
        <w:rPr>
          <w:rFonts w:ascii="Times New Roman" w:cs="Times New Roman" w:eastAsia="Times New Roman" w:hAnsi="Times New Roman"/>
          <w:sz w:val="25"/>
          <w:szCs w:val="25"/>
          <w:color w:val="auto"/>
          <w:vertAlign w:val="superscript"/>
        </w:rPr>
        <w:t>(2)</w:t>
      </w:r>
      <w:r>
        <w:rPr>
          <w:sz w:val="20"/>
          <w:szCs w:val="20"/>
          <w:color w:val="auto"/>
        </w:rPr>
        <w:tab/>
      </w:r>
      <w:r>
        <w:rPr>
          <w:rFonts w:ascii="Times New Roman" w:cs="Times New Roman" w:eastAsia="Times New Roman" w:hAnsi="Times New Roman"/>
          <w:sz w:val="19"/>
          <w:szCs w:val="19"/>
          <w:color w:val="auto"/>
        </w:rPr>
        <w:t>1,091</w: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Wolfcamp B</w:t>
      </w:r>
      <w:r>
        <w:rPr>
          <w:rFonts w:ascii="Times New Roman" w:cs="Times New Roman" w:eastAsia="Times New Roman" w:hAnsi="Times New Roman"/>
          <w:sz w:val="25"/>
          <w:szCs w:val="25"/>
          <w:color w:val="auto"/>
          <w:vertAlign w:val="superscript"/>
        </w:rPr>
        <w:t>(2)</w:t>
      </w:r>
      <w:r>
        <w:rPr>
          <w:sz w:val="20"/>
          <w:szCs w:val="20"/>
          <w:color w:val="auto"/>
        </w:rPr>
        <w:tab/>
      </w:r>
      <w:r>
        <w:rPr>
          <w:rFonts w:ascii="Times New Roman" w:cs="Times New Roman" w:eastAsia="Times New Roman" w:hAnsi="Times New Roman"/>
          <w:sz w:val="19"/>
          <w:szCs w:val="19"/>
          <w:color w:val="auto"/>
        </w:rPr>
        <w:t>1,338</w: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Wolfcamp D</w:t>
      </w:r>
      <w:r>
        <w:rPr>
          <w:rFonts w:ascii="Times New Roman" w:cs="Times New Roman" w:eastAsia="Times New Roman" w:hAnsi="Times New Roman"/>
          <w:sz w:val="25"/>
          <w:szCs w:val="25"/>
          <w:color w:val="auto"/>
          <w:vertAlign w:val="superscript"/>
        </w:rPr>
        <w:t>(3)</w:t>
      </w:r>
      <w:r>
        <w:rPr>
          <w:sz w:val="20"/>
          <w:szCs w:val="20"/>
          <w:color w:val="auto"/>
        </w:rPr>
        <w:tab/>
      </w:r>
      <w:r>
        <w:rPr>
          <w:rFonts w:ascii="Times New Roman" w:cs="Times New Roman" w:eastAsia="Times New Roman" w:hAnsi="Times New Roman"/>
          <w:sz w:val="19"/>
          <w:szCs w:val="19"/>
          <w:color w:val="auto"/>
        </w:rPr>
        <w:t>1,182</w:t>
      </w:r>
    </w:p>
    <w:p>
      <w:pPr>
        <w:ind w:left="400"/>
        <w:spacing w:after="0"/>
        <w:tabs>
          <w:tab w:leader="dot" w:pos="9680" w:val="left"/>
        </w:tabs>
        <w:rPr>
          <w:sz w:val="20"/>
          <w:szCs w:val="20"/>
          <w:color w:val="auto"/>
        </w:rPr>
      </w:pPr>
      <w:r>
        <w:rPr>
          <w:rFonts w:ascii="Times New Roman" w:cs="Times New Roman" w:eastAsia="Times New Roman" w:hAnsi="Times New Roman"/>
          <w:sz w:val="20"/>
          <w:szCs w:val="20"/>
          <w:color w:val="auto"/>
        </w:rPr>
        <w:t>Other</w:t>
      </w:r>
      <w:r>
        <w:rPr>
          <w:sz w:val="20"/>
          <w:szCs w:val="20"/>
          <w:color w:val="auto"/>
        </w:rPr>
        <w:tab/>
      </w:r>
      <w:r>
        <w:rPr>
          <w:rFonts w:ascii="Times New Roman" w:cs="Times New Roman" w:eastAsia="Times New Roman" w:hAnsi="Times New Roman"/>
          <w:sz w:val="19"/>
          <w:szCs w:val="19"/>
          <w:color w:val="auto"/>
        </w:rPr>
        <w:t>1,639</w:t>
      </w:r>
    </w:p>
    <w:p>
      <w:pPr>
        <w:spacing w:after="0" w:line="32" w:lineRule="exact"/>
        <w:rPr>
          <w:sz w:val="20"/>
          <w:szCs w:val="20"/>
          <w:color w:val="auto"/>
        </w:rPr>
      </w:pPr>
    </w:p>
    <w:p>
      <w:pPr>
        <w:ind w:left="520"/>
        <w:spacing w:after="0"/>
        <w:tabs>
          <w:tab w:leader="dot" w:pos="9680" w:val="left"/>
        </w:tabs>
        <w:rPr>
          <w:sz w:val="20"/>
          <w:szCs w:val="20"/>
          <w:color w:val="auto"/>
        </w:rPr>
      </w:pPr>
      <w:r>
        <w:rPr>
          <w:rFonts w:ascii="Times New Roman" w:cs="Times New Roman" w:eastAsia="Times New Roman" w:hAnsi="Times New Roman"/>
          <w:sz w:val="20"/>
          <w:szCs w:val="20"/>
          <w:color w:val="auto"/>
        </w:rPr>
        <w:t>Total Midland Basin</w:t>
      </w:r>
      <w:r>
        <w:rPr>
          <w:sz w:val="20"/>
          <w:szCs w:val="20"/>
          <w:color w:val="auto"/>
        </w:rPr>
        <w:tab/>
      </w:r>
      <w:r>
        <w:rPr>
          <w:rFonts w:ascii="Times New Roman" w:cs="Times New Roman" w:eastAsia="Times New Roman" w:hAnsi="Times New Roman"/>
          <w:sz w:val="19"/>
          <w:szCs w:val="19"/>
          <w:color w:val="auto"/>
        </w:rPr>
        <w:t>7,988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4721225</wp:posOffset>
                </wp:positionH>
                <wp:positionV relativeFrom="paragraph">
                  <wp:posOffset>-133350</wp:posOffset>
                </wp:positionV>
                <wp:extent cx="17430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75pt,-10.4999pt" to="509pt,-10.4999pt" o:allowincell="f" strokecolor="#000000" strokeweight="1pt"/>
            </w:pict>
          </mc:Fallback>
        </mc:AlternateConten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Delaware Basin</w:t>
      </w:r>
    </w:p>
    <w:p>
      <w:pPr>
        <w:ind w:left="600"/>
        <w:spacing w:after="0"/>
        <w:tabs>
          <w:tab w:leader="dot" w:pos="9840" w:val="left"/>
        </w:tabs>
        <w:rPr>
          <w:sz w:val="20"/>
          <w:szCs w:val="20"/>
          <w:color w:val="auto"/>
        </w:rPr>
      </w:pPr>
      <w:r>
        <w:rPr>
          <w:rFonts w:ascii="Times New Roman" w:cs="Times New Roman" w:eastAsia="Times New Roman" w:hAnsi="Times New Roman"/>
          <w:sz w:val="20"/>
          <w:szCs w:val="20"/>
          <w:color w:val="auto"/>
        </w:rPr>
        <w:t>2nd Bone Springs</w:t>
      </w:r>
      <w:r>
        <w:rPr>
          <w:rFonts w:ascii="Times New Roman" w:cs="Times New Roman" w:eastAsia="Times New Roman" w:hAnsi="Times New Roman"/>
          <w:sz w:val="25"/>
          <w:szCs w:val="25"/>
          <w:color w:val="auto"/>
          <w:vertAlign w:val="superscript"/>
        </w:rPr>
        <w:t>(3)</w:t>
      </w:r>
      <w:r>
        <w:rPr>
          <w:sz w:val="20"/>
          <w:szCs w:val="20"/>
          <w:color w:val="auto"/>
        </w:rPr>
        <w:tab/>
      </w:r>
      <w:r>
        <w:rPr>
          <w:rFonts w:ascii="Times New Roman" w:cs="Times New Roman" w:eastAsia="Times New Roman" w:hAnsi="Times New Roman"/>
          <w:sz w:val="18"/>
          <w:szCs w:val="18"/>
          <w:color w:val="auto"/>
        </w:rPr>
        <w:t>376</w:t>
      </w:r>
    </w:p>
    <w:p>
      <w:pPr>
        <w:ind w:left="600"/>
        <w:spacing w:after="0"/>
        <w:tabs>
          <w:tab w:leader="dot" w:pos="9840" w:val="left"/>
        </w:tabs>
        <w:rPr>
          <w:sz w:val="20"/>
          <w:szCs w:val="20"/>
          <w:color w:val="auto"/>
        </w:rPr>
      </w:pPr>
      <w:r>
        <w:rPr>
          <w:rFonts w:ascii="Times New Roman" w:cs="Times New Roman" w:eastAsia="Times New Roman" w:hAnsi="Times New Roman"/>
          <w:sz w:val="20"/>
          <w:szCs w:val="20"/>
          <w:color w:val="auto"/>
        </w:rPr>
        <w:t>3rd Bone Springs</w:t>
      </w:r>
      <w:r>
        <w:rPr>
          <w:rFonts w:ascii="Times New Roman" w:cs="Times New Roman" w:eastAsia="Times New Roman" w:hAnsi="Times New Roman"/>
          <w:sz w:val="25"/>
          <w:szCs w:val="25"/>
          <w:color w:val="auto"/>
          <w:vertAlign w:val="superscript"/>
        </w:rPr>
        <w:t>(3)</w:t>
      </w:r>
      <w:r>
        <w:rPr>
          <w:sz w:val="20"/>
          <w:szCs w:val="20"/>
          <w:color w:val="auto"/>
        </w:rPr>
        <w:tab/>
      </w:r>
      <w:r>
        <w:rPr>
          <w:rFonts w:ascii="Times New Roman" w:cs="Times New Roman" w:eastAsia="Times New Roman" w:hAnsi="Times New Roman"/>
          <w:sz w:val="18"/>
          <w:szCs w:val="18"/>
          <w:color w:val="auto"/>
        </w:rPr>
        <w:t>363</w:t>
      </w:r>
    </w:p>
    <w:p>
      <w:pPr>
        <w:ind w:left="600"/>
        <w:spacing w:after="0"/>
        <w:tabs>
          <w:tab w:leader="dot" w:pos="9840" w:val="left"/>
        </w:tabs>
        <w:rPr>
          <w:sz w:val="20"/>
          <w:szCs w:val="20"/>
          <w:color w:val="auto"/>
        </w:rPr>
      </w:pPr>
      <w:r>
        <w:rPr>
          <w:rFonts w:ascii="Times New Roman" w:cs="Times New Roman" w:eastAsia="Times New Roman" w:hAnsi="Times New Roman"/>
          <w:sz w:val="20"/>
          <w:szCs w:val="20"/>
          <w:color w:val="auto"/>
        </w:rPr>
        <w:t>Wolfcamp A</w:t>
      </w:r>
      <w:r>
        <w:rPr>
          <w:rFonts w:ascii="Times New Roman" w:cs="Times New Roman" w:eastAsia="Times New Roman" w:hAnsi="Times New Roman"/>
          <w:sz w:val="25"/>
          <w:szCs w:val="25"/>
          <w:color w:val="auto"/>
          <w:vertAlign w:val="superscript"/>
        </w:rPr>
        <w:t>(3)</w:t>
      </w:r>
      <w:r>
        <w:rPr>
          <w:sz w:val="20"/>
          <w:szCs w:val="20"/>
          <w:color w:val="auto"/>
        </w:rPr>
        <w:tab/>
      </w:r>
      <w:r>
        <w:rPr>
          <w:rFonts w:ascii="Times New Roman" w:cs="Times New Roman" w:eastAsia="Times New Roman" w:hAnsi="Times New Roman"/>
          <w:sz w:val="18"/>
          <w:szCs w:val="18"/>
          <w:color w:val="auto"/>
        </w:rPr>
        <w:t>141</w:t>
      </w:r>
    </w:p>
    <w:p>
      <w:pPr>
        <w:ind w:left="600"/>
        <w:spacing w:after="0"/>
        <w:tabs>
          <w:tab w:leader="dot" w:pos="9840" w:val="left"/>
        </w:tabs>
        <w:rPr>
          <w:sz w:val="20"/>
          <w:szCs w:val="20"/>
          <w:color w:val="auto"/>
        </w:rPr>
      </w:pPr>
      <w:r>
        <w:rPr>
          <w:rFonts w:ascii="Times New Roman" w:cs="Times New Roman" w:eastAsia="Times New Roman" w:hAnsi="Times New Roman"/>
          <w:sz w:val="20"/>
          <w:szCs w:val="20"/>
          <w:color w:val="auto"/>
        </w:rPr>
        <w:t>Wolfcamp B</w:t>
      </w:r>
      <w:r>
        <w:rPr>
          <w:rFonts w:ascii="Times New Roman" w:cs="Times New Roman" w:eastAsia="Times New Roman" w:hAnsi="Times New Roman"/>
          <w:sz w:val="25"/>
          <w:szCs w:val="25"/>
          <w:color w:val="auto"/>
          <w:vertAlign w:val="superscript"/>
        </w:rPr>
        <w:t>(3)</w:t>
      </w:r>
      <w:r>
        <w:rPr>
          <w:sz w:val="20"/>
          <w:szCs w:val="20"/>
          <w:color w:val="auto"/>
        </w:rPr>
        <w:tab/>
      </w:r>
      <w:r>
        <w:rPr>
          <w:rFonts w:ascii="Times New Roman" w:cs="Times New Roman" w:eastAsia="Times New Roman" w:hAnsi="Times New Roman"/>
          <w:sz w:val="18"/>
          <w:szCs w:val="18"/>
          <w:color w:val="auto"/>
        </w:rPr>
        <w:t>302</w:t>
      </w:r>
    </w:p>
    <w:p>
      <w:pPr>
        <w:spacing w:after="0" w:line="1" w:lineRule="exact"/>
        <w:rPr>
          <w:sz w:val="20"/>
          <w:szCs w:val="20"/>
          <w:color w:val="auto"/>
        </w:rPr>
      </w:pPr>
    </w:p>
    <w:p>
      <w:pPr>
        <w:ind w:left="600"/>
        <w:spacing w:after="0"/>
        <w:tabs>
          <w:tab w:leader="dot" w:pos="9920" w:val="left"/>
        </w:tabs>
        <w:rPr>
          <w:sz w:val="20"/>
          <w:szCs w:val="20"/>
          <w:color w:val="auto"/>
        </w:rPr>
      </w:pPr>
      <w:r>
        <w:rPr>
          <w:rFonts w:ascii="Times New Roman" w:cs="Times New Roman" w:eastAsia="Times New Roman" w:hAnsi="Times New Roman"/>
          <w:sz w:val="20"/>
          <w:szCs w:val="20"/>
          <w:color w:val="auto"/>
        </w:rPr>
        <w:t>Other</w:t>
      </w:r>
      <w:r>
        <w:rPr>
          <w:sz w:val="20"/>
          <w:szCs w:val="20"/>
          <w:color w:val="auto"/>
        </w:rPr>
        <w:tab/>
      </w:r>
      <w:r>
        <w:rPr>
          <w:rFonts w:ascii="Times New Roman" w:cs="Times New Roman" w:eastAsia="Times New Roman" w:hAnsi="Times New Roman"/>
          <w:sz w:val="20"/>
          <w:szCs w:val="20"/>
          <w:color w:val="auto"/>
        </w:rPr>
        <w:t>18</w:t>
      </w:r>
    </w:p>
    <w:p>
      <w:pPr>
        <w:spacing w:after="0" w:line="22" w:lineRule="exact"/>
        <w:rPr>
          <w:sz w:val="20"/>
          <w:szCs w:val="20"/>
          <w:color w:val="auto"/>
        </w:rPr>
      </w:pPr>
    </w:p>
    <w:p>
      <w:pPr>
        <w:ind w:left="740"/>
        <w:spacing w:after="0"/>
        <w:tabs>
          <w:tab w:leader="dot" w:pos="9680" w:val="left"/>
        </w:tabs>
        <w:rPr>
          <w:sz w:val="20"/>
          <w:szCs w:val="20"/>
          <w:color w:val="auto"/>
        </w:rPr>
      </w:pPr>
      <w:r>
        <w:rPr>
          <w:rFonts w:ascii="Times New Roman" w:cs="Times New Roman" w:eastAsia="Times New Roman" w:hAnsi="Times New Roman"/>
          <w:sz w:val="20"/>
          <w:szCs w:val="20"/>
          <w:color w:val="auto"/>
        </w:rPr>
        <w:t>Total Delaware Basin</w:t>
      </w:r>
      <w:r>
        <w:rPr>
          <w:sz w:val="20"/>
          <w:szCs w:val="20"/>
          <w:color w:val="auto"/>
        </w:rPr>
        <w:tab/>
      </w:r>
      <w:r>
        <w:rPr>
          <w:rFonts w:ascii="Times New Roman" w:cs="Times New Roman" w:eastAsia="Times New Roman" w:hAnsi="Times New Roman"/>
          <w:sz w:val="19"/>
          <w:szCs w:val="19"/>
          <w:color w:val="auto"/>
        </w:rPr>
        <w:t>1,200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4725035</wp:posOffset>
                </wp:positionH>
                <wp:positionV relativeFrom="paragraph">
                  <wp:posOffset>-136525</wp:posOffset>
                </wp:positionV>
                <wp:extent cx="174371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71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05pt,-10.7499pt" to="509.35pt,-10.7499pt" o:allowincell="f" strokecolor="#000000" strokeweight="0.9599pt"/>
            </w:pict>
          </mc:Fallback>
        </mc:AlternateContent>
      </w:r>
    </w:p>
    <w:p>
      <w:pPr>
        <w:spacing w:after="0" w:line="7" w:lineRule="exact"/>
        <w:rPr>
          <w:sz w:val="20"/>
          <w:szCs w:val="20"/>
          <w:color w:val="auto"/>
        </w:rPr>
      </w:pPr>
    </w:p>
    <w:p>
      <w:pPr>
        <w:ind w:left="1020"/>
        <w:spacing w:after="0"/>
        <w:tabs>
          <w:tab w:leader="dot" w:pos="9680" w:val="left"/>
        </w:tabs>
        <w:rPr>
          <w:sz w:val="20"/>
          <w:szCs w:val="20"/>
          <w:color w:val="auto"/>
        </w:rPr>
      </w:pPr>
      <w:r>
        <w:rPr>
          <w:rFonts w:ascii="Times New Roman" w:cs="Times New Roman" w:eastAsia="Times New Roman" w:hAnsi="Times New Roman"/>
          <w:sz w:val="20"/>
          <w:szCs w:val="20"/>
          <w:color w:val="auto"/>
        </w:rPr>
        <w:t>Total</w:t>
      </w:r>
      <w:r>
        <w:rPr>
          <w:sz w:val="20"/>
          <w:szCs w:val="20"/>
          <w:color w:val="auto"/>
        </w:rPr>
        <w:tab/>
      </w:r>
      <w:r>
        <w:rPr>
          <w:rFonts w:ascii="Times New Roman" w:cs="Times New Roman" w:eastAsia="Times New Roman" w:hAnsi="Times New Roman"/>
          <w:sz w:val="19"/>
          <w:szCs w:val="19"/>
          <w:color w:val="auto"/>
        </w:rPr>
        <w:t>9,188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4725035</wp:posOffset>
                </wp:positionH>
                <wp:positionV relativeFrom="paragraph">
                  <wp:posOffset>-137795</wp:posOffset>
                </wp:positionV>
                <wp:extent cx="174371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71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05pt,-10.8499pt" to="509.35pt,-10.8499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4716145</wp:posOffset>
                </wp:positionH>
                <wp:positionV relativeFrom="paragraph">
                  <wp:posOffset>36830</wp:posOffset>
                </wp:positionV>
                <wp:extent cx="1752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35pt,2.9pt" to="509.35pt,2.9pt" o:allowincell="f" strokecolor="#000000" strokeweight="0.959pt"/>
            </w:pict>
          </mc:Fallback>
        </mc:AlternateContent>
        <mc:AlternateContent>
          <mc:Choice Requires="wps">
            <w:drawing>
              <wp:anchor simplePos="0" relativeHeight="251657728" behindDoc="1" locked="0" layoutInCell="0" allowOverlap="1">
                <wp:simplePos x="0" y="0"/>
                <wp:positionH relativeFrom="column">
                  <wp:posOffset>4716145</wp:posOffset>
                </wp:positionH>
                <wp:positionV relativeFrom="paragraph">
                  <wp:posOffset>12065</wp:posOffset>
                </wp:positionV>
                <wp:extent cx="17526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35pt,0.95pt" to="509.35pt,0.95pt" o:allowincell="f" strokecolor="#000000" strokeweight="0.96pt"/>
            </w:pict>
          </mc:Fallback>
        </mc:AlternateContent>
      </w:r>
    </w:p>
    <w:p>
      <w:pPr>
        <w:spacing w:after="0" w:line="52" w:lineRule="exact"/>
        <w:rPr>
          <w:sz w:val="20"/>
          <w:szCs w:val="20"/>
          <w:color w:val="auto"/>
        </w:rPr>
      </w:pPr>
    </w:p>
    <w:p>
      <w:pPr>
        <w:ind w:left="460" w:right="120" w:hanging="360"/>
        <w:spacing w:after="0" w:line="249" w:lineRule="auto"/>
        <w:tabs>
          <w:tab w:leader="none" w:pos="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location count is based on 660 foot to 880 foot spacing in Midland, Martin and northeast Andrews counties, depending on the prospect area and 880 foot spacing in all other counties.</w:t>
      </w:r>
    </w:p>
    <w:p>
      <w:pPr>
        <w:ind w:left="460" w:right="180" w:hanging="360"/>
        <w:spacing w:after="0" w:line="250" w:lineRule="auto"/>
        <w:tabs>
          <w:tab w:leader="none" w:pos="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location count is based on 660 foot to 880 foot spacing in Midland and Howard counties, depending on the prospect area and 880 foot spacing in all other counties.</w:t>
      </w:r>
    </w:p>
    <w:p>
      <w:pPr>
        <w:ind w:left="460" w:hanging="360"/>
        <w:spacing w:after="0"/>
        <w:tabs>
          <w:tab w:leader="none" w:pos="4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location count is based on 880 foot to 1,320 foot spacing.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180"/>
          </w:cols>
          <w:pgMar w:left="980" w:top="205" w:right="1080"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Oil and Natural Gas Production and Price History</w:t>
      </w:r>
    </w:p>
    <w:p>
      <w:pPr>
        <w:spacing w:after="0" w:line="253" w:lineRule="exact"/>
        <w:rPr>
          <w:sz w:val="20"/>
          <w:szCs w:val="20"/>
          <w:color w:val="auto"/>
        </w:rPr>
      </w:pPr>
    </w:p>
    <w:p>
      <w:pPr>
        <w:jc w:val="both"/>
        <w:ind w:left="100" w:right="2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tables set forth information regarding our net production of oil, natural gas and natural gas liquids by basin for the fields containing 15% or more along with other production from fields containing less than 15% of our total proved reserves:</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4260" w:type="dxa"/>
            <w:vAlign w:val="bottom"/>
          </w:tcPr>
          <w:p>
            <w:pPr>
              <w:spacing w:after="0"/>
              <w:rPr>
                <w:sz w:val="21"/>
                <w:szCs w:val="21"/>
                <w:color w:val="auto"/>
              </w:rPr>
            </w:pPr>
          </w:p>
        </w:tc>
        <w:tc>
          <w:tcPr>
            <w:tcW w:w="1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Midland Basin</w:t>
            </w:r>
          </w:p>
        </w:tc>
        <w:tc>
          <w:tcPr>
            <w:tcW w:w="1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Delaware Basin</w:t>
            </w:r>
          </w:p>
        </w:tc>
        <w:tc>
          <w:tcPr>
            <w:tcW w:w="14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Oil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104,875</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18,325</w:t>
            </w: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125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123,325</w:t>
            </w:r>
          </w:p>
        </w:tc>
      </w:tr>
      <w:tr>
        <w:trPr>
          <w:trHeight w:val="25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222,574</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52,349</w:t>
            </w: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757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275,680</w:t>
            </w:r>
          </w:p>
        </w:tc>
      </w:tr>
      <w:tr>
        <w:trPr>
          <w:trHeight w:val="242"/>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Natural gas liquids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41,559</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8,084</w:t>
            </w: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57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49,700</w:t>
            </w:r>
          </w:p>
        </w:tc>
      </w:tr>
      <w:tr>
        <w:trPr>
          <w:trHeight w:val="266"/>
        </w:trPr>
        <w:tc>
          <w:tcPr>
            <w:tcW w:w="42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7"/>
              </w:rPr>
              <w:t>Total (MBOE)</w:t>
            </w:r>
            <w:r>
              <w:rPr>
                <w:rFonts w:ascii="Times New Roman" w:cs="Times New Roman" w:eastAsia="Times New Roman" w:hAnsi="Times New Roman"/>
                <w:sz w:val="20"/>
                <w:szCs w:val="20"/>
                <w:color w:val="B3B3B3"/>
                <w:w w:val="97"/>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183,530</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35,134</w:t>
            </w:r>
          </w:p>
        </w:tc>
        <w:tc>
          <w:tcPr>
            <w:tcW w:w="14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308</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218,972</w:t>
            </w:r>
          </w:p>
        </w:tc>
      </w:tr>
      <w:tr>
        <w:trPr>
          <w:trHeight w:val="5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Oil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75,859</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20,246</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71</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96,176</w:t>
            </w:r>
          </w:p>
        </w:tc>
      </w:tr>
      <w:tr>
        <w:trPr>
          <w:trHeight w:val="25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140,721</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57,129</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267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198,117</w:t>
            </w:r>
          </w:p>
        </w:tc>
      </w:tr>
      <w:tr>
        <w:trPr>
          <w:trHeight w:val="242"/>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Natural gas liquids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25,899</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8,296</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34,217</w:t>
            </w:r>
          </w:p>
        </w:tc>
      </w:tr>
      <w:tr>
        <w:trPr>
          <w:trHeight w:val="266"/>
        </w:trPr>
        <w:tc>
          <w:tcPr>
            <w:tcW w:w="42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7"/>
              </w:rPr>
              <w:t>Total (MBOE)</w:t>
            </w:r>
            <w:r>
              <w:rPr>
                <w:rFonts w:ascii="Times New Roman" w:cs="Times New Roman" w:eastAsia="Times New Roman" w:hAnsi="Times New Roman"/>
                <w:sz w:val="20"/>
                <w:szCs w:val="20"/>
                <w:color w:val="B3B3B3"/>
                <w:w w:val="97"/>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125,212</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38,064</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138</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163,413</w:t>
            </w:r>
          </w:p>
        </w:tc>
      </w:tr>
      <w:tr>
        <w:trPr>
          <w:trHeight w:val="5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Oil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58,803</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22,681</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132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81,616</w:t>
            </w:r>
          </w:p>
        </w:tc>
      </w:tr>
      <w:tr>
        <w:trPr>
          <w:trHeight w:val="25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Natural gas (MMcf)</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116,579</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59,338</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459</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176,376</w:t>
            </w:r>
          </w:p>
        </w:tc>
      </w:tr>
      <w:tr>
        <w:trPr>
          <w:trHeight w:val="242"/>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Natural gas liquids (MBbls) </w:t>
            </w:r>
            <w:r>
              <w:rPr>
                <w:rFonts w:ascii="Times New Roman" w:cs="Times New Roman" w:eastAsia="Times New Roman" w:hAnsi="Times New Roman"/>
                <w:sz w:val="20"/>
                <w:szCs w:val="20"/>
                <w:color w:val="B3B3B3"/>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20,800</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9,016</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64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29,880</w:t>
            </w:r>
          </w:p>
        </w:tc>
      </w:tr>
      <w:tr>
        <w:trPr>
          <w:trHeight w:val="266"/>
        </w:trPr>
        <w:tc>
          <w:tcPr>
            <w:tcW w:w="42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7"/>
              </w:rPr>
              <w:t>Total (MBOE)</w:t>
            </w:r>
            <w:r>
              <w:rPr>
                <w:rFonts w:ascii="Times New Roman" w:cs="Times New Roman" w:eastAsia="Times New Roman" w:hAnsi="Times New Roman"/>
                <w:sz w:val="20"/>
                <w:szCs w:val="20"/>
                <w:color w:val="B3B3B3"/>
                <w:w w:val="97"/>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99,033</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41,587</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273</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140,892</w:t>
            </w:r>
          </w:p>
        </w:tc>
      </w:tr>
    </w:tbl>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following table sets forth certain price and cost information for each of the periods indicated:</w:t>
      </w:r>
    </w:p>
    <w:p>
      <w:pPr>
        <w:spacing w:after="0" w:line="39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4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08"/>
        </w:trPr>
        <w:tc>
          <w:tcPr>
            <w:tcW w:w="4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5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2"/>
        </w:trPr>
        <w:tc>
          <w:tcPr>
            <w:tcW w:w="48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77"/>
              </w:rPr>
              <w:t>Oil ($ per Bbl)</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20" w:type="dxa"/>
            <w:vAlign w:val="bottom"/>
          </w:tcPr>
          <w:p>
            <w:pPr>
              <w:spacing w:after="0"/>
              <w:rPr>
                <w:sz w:val="21"/>
                <w:szCs w:val="21"/>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4"/>
        </w:trPr>
        <w:tc>
          <w:tcPr>
            <w:tcW w:w="48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77"/>
              </w:rPr>
              <w:t>Natural gas ($ per Mcf)</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0" w:type="dxa"/>
            <w:vAlign w:val="bottom"/>
          </w:tcPr>
          <w:p>
            <w:pPr>
              <w:spacing w:after="0"/>
              <w:rPr>
                <w:sz w:val="22"/>
                <w:szCs w:val="22"/>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8"/>
        </w:trPr>
        <w:tc>
          <w:tcPr>
            <w:tcW w:w="48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77"/>
              </w:rPr>
              <w:t>Natural gas liquids ($ per Bbl)</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20" w:type="dxa"/>
            <w:vAlign w:val="bottom"/>
          </w:tcPr>
          <w:p>
            <w:pPr>
              <w:spacing w:after="0"/>
              <w:rPr>
                <w:sz w:val="22"/>
                <w:szCs w:val="22"/>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6"/>
        </w:trPr>
        <w:tc>
          <w:tcPr>
            <w:tcW w:w="48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77"/>
              </w:rPr>
              <w:t>Combined ($ per BOE)</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w:t>
            </w:r>
          </w:p>
        </w:tc>
        <w:tc>
          <w:tcPr>
            <w:tcW w:w="20" w:type="dxa"/>
            <w:vAlign w:val="bottom"/>
          </w:tcPr>
          <w:p>
            <w:pPr>
              <w:spacing w:after="0"/>
              <w:rPr>
                <w:sz w:val="23"/>
                <w:szCs w:val="23"/>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81"/>
        </w:trPr>
        <w:tc>
          <w:tcPr>
            <w:tcW w:w="48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76"/>
              </w:rPr>
              <w:t>Oil, hedged ($ per Bbl)</w:t>
            </w:r>
            <w:r>
              <w:rPr>
                <w:rFonts w:ascii="Times New Roman" w:cs="Times New Roman" w:eastAsia="Times New Roman" w:hAnsi="Times New Roman"/>
                <w:sz w:val="25"/>
                <w:szCs w:val="25"/>
                <w:color w:val="auto"/>
                <w:w w:val="76"/>
                <w:vertAlign w:val="superscript"/>
              </w:rPr>
              <w:t>(1)</w:t>
            </w:r>
            <w:r>
              <w:rPr>
                <w:rFonts w:ascii="Times New Roman" w:cs="Times New Roman" w:eastAsia="Times New Roman" w:hAnsi="Times New Roman"/>
                <w:sz w:val="20"/>
                <w:szCs w:val="20"/>
                <w:color w:val="auto"/>
                <w:w w:val="76"/>
              </w:rPr>
              <w:t xml:space="preserve"> </w:t>
            </w:r>
            <w:r>
              <w:rPr>
                <w:rFonts w:ascii="Times New Roman" w:cs="Times New Roman" w:eastAsia="Times New Roman" w:hAnsi="Times New Roman"/>
                <w:sz w:val="20"/>
                <w:szCs w:val="20"/>
                <w:color w:val="B3B3B3"/>
                <w:w w:val="76"/>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72.68</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74.72</w:t>
            </w:r>
          </w:p>
        </w:tc>
        <w:tc>
          <w:tcPr>
            <w:tcW w:w="20" w:type="dxa"/>
            <w:vAlign w:val="bottom"/>
          </w:tcPr>
          <w:p>
            <w:pPr>
              <w:spacing w:after="0"/>
              <w:rPr>
                <w:sz w:val="24"/>
                <w:szCs w:val="24"/>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4"/>
        </w:trPr>
        <w:tc>
          <w:tcPr>
            <w:tcW w:w="4880" w:type="dxa"/>
            <w:vAlign w:val="bottom"/>
          </w:tcPr>
          <w:p>
            <w:pPr>
              <w:ind w:left="300"/>
              <w:spacing w:after="0" w:line="254" w:lineRule="exact"/>
              <w:rPr>
                <w:sz w:val="20"/>
                <w:szCs w:val="20"/>
                <w:color w:val="auto"/>
              </w:rPr>
            </w:pPr>
            <w:r>
              <w:rPr>
                <w:rFonts w:ascii="Times New Roman" w:cs="Times New Roman" w:eastAsia="Times New Roman" w:hAnsi="Times New Roman"/>
                <w:sz w:val="20"/>
                <w:szCs w:val="20"/>
                <w:color w:val="auto"/>
                <w:w w:val="76"/>
              </w:rPr>
              <w:t>Natural gas, hedged ($ per Mcf)</w:t>
            </w:r>
            <w:r>
              <w:rPr>
                <w:rFonts w:ascii="Times New Roman" w:cs="Times New Roman" w:eastAsia="Times New Roman" w:hAnsi="Times New Roman"/>
                <w:sz w:val="25"/>
                <w:szCs w:val="25"/>
                <w:color w:val="auto"/>
                <w:w w:val="76"/>
                <w:vertAlign w:val="superscript"/>
              </w:rPr>
              <w:t>(1)</w:t>
            </w:r>
            <w:r>
              <w:rPr>
                <w:rFonts w:ascii="Times New Roman" w:cs="Times New Roman" w:eastAsia="Times New Roman" w:hAnsi="Times New Roman"/>
                <w:sz w:val="20"/>
                <w:szCs w:val="20"/>
                <w:color w:val="auto"/>
                <w:w w:val="76"/>
              </w:rPr>
              <w:t xml:space="preserve"> </w:t>
            </w:r>
            <w:r>
              <w:rPr>
                <w:rFonts w:ascii="Times New Roman" w:cs="Times New Roman" w:eastAsia="Times New Roman" w:hAnsi="Times New Roman"/>
                <w:sz w:val="20"/>
                <w:szCs w:val="20"/>
                <w:color w:val="B3B3B3"/>
                <w:w w:val="76"/>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0.91</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tcPr>
          <w:p>
            <w:pPr>
              <w:spacing w:after="0"/>
              <w:rPr>
                <w:sz w:val="22"/>
                <w:szCs w:val="22"/>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4"/>
        </w:trPr>
        <w:tc>
          <w:tcPr>
            <w:tcW w:w="4880" w:type="dxa"/>
            <w:vAlign w:val="bottom"/>
          </w:tcPr>
          <w:p>
            <w:pPr>
              <w:ind w:left="280"/>
              <w:spacing w:after="0" w:line="254" w:lineRule="exact"/>
              <w:rPr>
                <w:sz w:val="20"/>
                <w:szCs w:val="20"/>
                <w:color w:val="auto"/>
              </w:rPr>
            </w:pPr>
            <w:r>
              <w:rPr>
                <w:rFonts w:ascii="Times New Roman" w:cs="Times New Roman" w:eastAsia="Times New Roman" w:hAnsi="Times New Roman"/>
                <w:sz w:val="20"/>
                <w:szCs w:val="20"/>
                <w:color w:val="auto"/>
                <w:w w:val="76"/>
              </w:rPr>
              <w:t>Natural gas liquids, hedged ($ per Bbl)</w:t>
            </w:r>
            <w:r>
              <w:rPr>
                <w:rFonts w:ascii="Times New Roman" w:cs="Times New Roman" w:eastAsia="Times New Roman" w:hAnsi="Times New Roman"/>
                <w:sz w:val="25"/>
                <w:szCs w:val="25"/>
                <w:color w:val="auto"/>
                <w:w w:val="76"/>
                <w:vertAlign w:val="superscript"/>
              </w:rPr>
              <w:t>(1)</w:t>
            </w:r>
            <w:r>
              <w:rPr>
                <w:rFonts w:ascii="Times New Roman" w:cs="Times New Roman" w:eastAsia="Times New Roman" w:hAnsi="Times New Roman"/>
                <w:sz w:val="20"/>
                <w:szCs w:val="20"/>
                <w:color w:val="auto"/>
                <w:w w:val="76"/>
              </w:rPr>
              <w:t xml:space="preserve"> </w:t>
            </w:r>
            <w:r>
              <w:rPr>
                <w:rFonts w:ascii="Times New Roman" w:cs="Times New Roman" w:eastAsia="Times New Roman" w:hAnsi="Times New Roman"/>
                <w:sz w:val="20"/>
                <w:szCs w:val="20"/>
                <w:color w:val="B3B3B3"/>
                <w:w w:val="76"/>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20" w:type="dxa"/>
            <w:vAlign w:val="bottom"/>
          </w:tcPr>
          <w:p>
            <w:pPr>
              <w:spacing w:after="0"/>
              <w:rPr>
                <w:sz w:val="22"/>
                <w:szCs w:val="22"/>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54"/>
        </w:trPr>
        <w:tc>
          <w:tcPr>
            <w:tcW w:w="48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76"/>
              </w:rPr>
              <w:t>Average price, hedged ($ per BOE)</w:t>
            </w:r>
            <w:r>
              <w:rPr>
                <w:rFonts w:ascii="Times New Roman" w:cs="Times New Roman" w:eastAsia="Times New Roman" w:hAnsi="Times New Roman"/>
                <w:sz w:val="25"/>
                <w:szCs w:val="25"/>
                <w:color w:val="auto"/>
                <w:w w:val="76"/>
                <w:vertAlign w:val="superscript"/>
              </w:rPr>
              <w:t>(1)</w:t>
            </w:r>
            <w:r>
              <w:rPr>
                <w:rFonts w:ascii="Times New Roman" w:cs="Times New Roman" w:eastAsia="Times New Roman" w:hAnsi="Times New Roman"/>
                <w:sz w:val="20"/>
                <w:szCs w:val="20"/>
                <w:color w:val="B3B3B3"/>
                <w:w w:val="76"/>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46.38</w:t>
            </w:r>
          </w:p>
        </w:tc>
        <w:tc>
          <w:tcPr>
            <w:tcW w:w="380" w:type="dxa"/>
            <w:vAlign w:val="bottom"/>
            <w:gridSpan w:val="6"/>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49.98</w:t>
            </w:r>
          </w:p>
        </w:tc>
        <w:tc>
          <w:tcPr>
            <w:tcW w:w="20" w:type="dxa"/>
            <w:vAlign w:val="bottom"/>
          </w:tcPr>
          <w:p>
            <w:pPr>
              <w:spacing w:after="0"/>
              <w:rPr>
                <w:sz w:val="24"/>
                <w:szCs w:val="24"/>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7"/>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Costs per BOE:</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8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77"/>
              </w:rPr>
              <w:t>Lease operating expenses</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380" w:type="dxa"/>
            <w:vAlign w:val="bottom"/>
            <w:gridSpan w:val="6"/>
          </w:tcPr>
          <w:p>
            <w:pPr>
              <w:jc w:val="right"/>
              <w:ind w:right="2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20" w:type="dxa"/>
            <w:vAlign w:val="bottom"/>
          </w:tcPr>
          <w:p>
            <w:pPr>
              <w:spacing w:after="0"/>
              <w:rPr>
                <w:sz w:val="22"/>
                <w:szCs w:val="22"/>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4"/>
        </w:trPr>
        <w:tc>
          <w:tcPr>
            <w:tcW w:w="6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9"/>
              </w:rPr>
              <w:t>Production and ad valorem taxes</w:t>
            </w:r>
            <w:r>
              <w:rPr>
                <w:rFonts w:ascii="Times New Roman" w:cs="Times New Roman" w:eastAsia="Times New Roman" w:hAnsi="Times New Roman"/>
                <w:sz w:val="20"/>
                <w:szCs w:val="20"/>
                <w:color w:val="B3B3B3"/>
                <w:w w:val="99"/>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2"/>
        </w:trPr>
        <w:tc>
          <w:tcPr>
            <w:tcW w:w="61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9"/>
              </w:rPr>
              <w:t xml:space="preserve">Gathering, processing and transportation expense </w:t>
            </w:r>
            <w:r>
              <w:rPr>
                <w:rFonts w:ascii="Times New Roman" w:cs="Times New Roman" w:eastAsia="Times New Roman" w:hAnsi="Times New Roman"/>
                <w:sz w:val="20"/>
                <w:szCs w:val="20"/>
                <w:color w:val="B3B3B3"/>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6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9"/>
              </w:rPr>
              <w:t>General and administrative - cash component</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0.63</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2"/>
        </w:trPr>
        <w:tc>
          <w:tcPr>
            <w:tcW w:w="6220" w:type="dxa"/>
            <w:vAlign w:val="bottom"/>
            <w:gridSpan w:val="5"/>
          </w:tcPr>
          <w:p>
            <w:pPr>
              <w:ind w:left="360"/>
              <w:spacing w:after="0" w:line="222"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Totaloperatingexpense-cash</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11.09</w:t>
            </w:r>
          </w:p>
        </w:tc>
        <w:tc>
          <w:tcPr>
            <w:tcW w:w="20" w:type="dxa"/>
            <w:vAlign w:val="bottom"/>
          </w:tcPr>
          <w:p>
            <w:pPr>
              <w:spacing w:after="0"/>
              <w:rPr>
                <w:sz w:val="19"/>
                <w:szCs w:val="19"/>
                <w:color w:val="auto"/>
              </w:rPr>
            </w:pPr>
          </w:p>
        </w:tc>
        <w:tc>
          <w:tcPr>
            <w:tcW w:w="120" w:type="dxa"/>
            <w:vAlign w:val="bottom"/>
            <w:gridSpan w:val="4"/>
          </w:tcPr>
          <w:p>
            <w:pPr>
              <w:spacing w:after="0"/>
              <w:rPr>
                <w:sz w:val="19"/>
                <w:szCs w:val="19"/>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10.90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340" w:type="dxa"/>
            <w:vAlign w:val="bottom"/>
          </w:tcPr>
          <w:p>
            <w:pPr>
              <w:jc w:val="right"/>
              <w:ind w:right="14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11.43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r>
      <w:tr>
        <w:trPr>
          <w:trHeight w:val="440"/>
        </w:trPr>
        <w:tc>
          <w:tcPr>
            <w:tcW w:w="48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77"/>
              </w:rPr>
              <w:t>General and administrative - non-cash component</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4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380" w:type="dxa"/>
            <w:vAlign w:val="bottom"/>
            <w:gridSpan w:val="6"/>
          </w:tcPr>
          <w:p>
            <w:pPr>
              <w:jc w:val="right"/>
              <w:ind w:right="2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20" w:type="dxa"/>
            <w:vAlign w:val="bottom"/>
          </w:tcPr>
          <w:p>
            <w:pPr>
              <w:spacing w:after="0"/>
              <w:rPr>
                <w:sz w:val="24"/>
                <w:szCs w:val="24"/>
                <w:color w:val="auto"/>
              </w:rPr>
            </w:pPr>
          </w:p>
        </w:tc>
        <w:tc>
          <w:tcPr>
            <w:tcW w:w="4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4"/>
        </w:trPr>
        <w:tc>
          <w:tcPr>
            <w:tcW w:w="61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9"/>
              </w:rPr>
              <w:t xml:space="preserve">Depreciation, depletion, amortization and accretion </w:t>
            </w:r>
            <w:r>
              <w:rPr>
                <w:rFonts w:ascii="Times New Roman" w:cs="Times New Roman" w:eastAsia="Times New Roman" w:hAnsi="Times New Roman"/>
                <w:sz w:val="20"/>
                <w:szCs w:val="20"/>
                <w:color w:val="B3B3B3"/>
                <w:w w:val="99"/>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2"/>
        </w:trPr>
        <w:tc>
          <w:tcPr>
            <w:tcW w:w="6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8"/>
              </w:rPr>
              <w:t>Interest expense, net</w:t>
            </w:r>
            <w:r>
              <w:rPr>
                <w:rFonts w:ascii="Times New Roman" w:cs="Times New Roman" w:eastAsia="Times New Roman" w:hAnsi="Times New Roman"/>
                <w:sz w:val="20"/>
                <w:szCs w:val="20"/>
                <w:color w:val="B3B3B3"/>
                <w:w w:val="98"/>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2"/>
        </w:trPr>
        <w:tc>
          <w:tcPr>
            <w:tcW w:w="61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9"/>
              </w:rPr>
              <w:t>Merger and integration expense</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2"/>
        </w:trPr>
        <w:tc>
          <w:tcPr>
            <w:tcW w:w="6180" w:type="dxa"/>
            <w:vAlign w:val="bottom"/>
            <w:gridSpan w:val="3"/>
          </w:tcPr>
          <w:p>
            <w:pPr>
              <w:ind w:left="360"/>
              <w:spacing w:after="0" w:line="222" w:lineRule="exact"/>
              <w:rPr>
                <w:sz w:val="20"/>
                <w:szCs w:val="20"/>
                <w:color w:val="auto"/>
              </w:rPr>
            </w:pPr>
            <w:r>
              <w:rPr>
                <w:rFonts w:ascii="Times New Roman" w:cs="Times New Roman" w:eastAsia="Times New Roman" w:hAnsi="Times New Roman"/>
                <w:sz w:val="20"/>
                <w:szCs w:val="20"/>
                <w:color w:val="auto"/>
              </w:rPr>
              <w:t>Total operating expense - non-cash</w:t>
            </w:r>
            <w:r>
              <w:rPr>
                <w:rFonts w:ascii="Times New Roman" w:cs="Times New Roman" w:eastAsia="Times New Roman" w:hAnsi="Times New Roman"/>
                <w:sz w:val="20"/>
                <w:szCs w:val="20"/>
                <w:color w:val="B3B3B3"/>
              </w:rPr>
              <w:t>...........................................................</w:t>
            </w:r>
          </w:p>
        </w:tc>
        <w:tc>
          <w:tcPr>
            <w:tcW w:w="4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jc w:val="right"/>
              <w:ind w:right="69"/>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15.32</w:t>
            </w:r>
          </w:p>
        </w:tc>
        <w:tc>
          <w:tcPr>
            <w:tcW w:w="2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29"/>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12.05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11.12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
        </w:trPr>
        <w:tc>
          <w:tcPr>
            <w:tcW w:w="488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gridSpan w:val="3"/>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gridSpan w:val="3"/>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595"/>
        </w:trPr>
        <w:tc>
          <w:tcPr>
            <w:tcW w:w="488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77"/>
              </w:rPr>
              <w:t>Production Costs</w:t>
            </w:r>
            <w:r>
              <w:rPr>
                <w:rFonts w:ascii="Times New Roman" w:cs="Times New Roman" w:eastAsia="Times New Roman" w:hAnsi="Times New Roman"/>
                <w:sz w:val="25"/>
                <w:szCs w:val="25"/>
                <w:color w:val="auto"/>
                <w:w w:val="77"/>
                <w:vertAlign w:val="superscript"/>
              </w:rPr>
              <w:t>(2)</w:t>
            </w:r>
            <w:r>
              <w:rPr>
                <w:rFonts w:ascii="Times New Roman" w:cs="Times New Roman" w:eastAsia="Times New Roman" w:hAnsi="Times New Roman"/>
                <w:sz w:val="20"/>
                <w:szCs w:val="20"/>
                <w:color w:val="auto"/>
                <w:w w:val="77"/>
              </w:rPr>
              <w:t xml:space="preserve"> </w:t>
            </w:r>
            <w:r>
              <w:rPr>
                <w:rFonts w:ascii="Times New Roman" w:cs="Times New Roman" w:eastAsia="Times New Roman" w:hAnsi="Times New Roman"/>
                <w:sz w:val="20"/>
                <w:szCs w:val="20"/>
                <w:color w:val="B3B3B3"/>
                <w:w w:val="77"/>
              </w:rPr>
              <w:t>.......................................................................................</w:t>
            </w:r>
          </w:p>
        </w:tc>
        <w:tc>
          <w:tcPr>
            <w:tcW w:w="1600" w:type="dxa"/>
            <w:vAlign w:val="bottom"/>
            <w:gridSpan w:val="5"/>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7.50</w:t>
            </w:r>
          </w:p>
        </w:tc>
        <w:tc>
          <w:tcPr>
            <w:tcW w:w="380" w:type="dxa"/>
            <w:vAlign w:val="bottom"/>
            <w:gridSpan w:val="6"/>
          </w:tcPr>
          <w:p>
            <w:pPr>
              <w:jc w:val="right"/>
              <w:ind w:right="69"/>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20" w:type="dxa"/>
            <w:vAlign w:val="bottom"/>
          </w:tcPr>
          <w:p>
            <w:pPr>
              <w:spacing w:after="0"/>
              <w:rPr>
                <w:sz w:val="24"/>
                <w:szCs w:val="24"/>
                <w:color w:val="auto"/>
              </w:rPr>
            </w:pPr>
          </w:p>
        </w:tc>
        <w:tc>
          <w:tcPr>
            <w:tcW w:w="4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5"/>
        </w:trPr>
        <w:tc>
          <w:tcPr>
            <w:tcW w:w="4880" w:type="dxa"/>
            <w:vAlign w:val="bottom"/>
          </w:tcPr>
          <w:p>
            <w:pPr>
              <w:spacing w:after="0"/>
              <w:rPr>
                <w:sz w:val="24"/>
                <w:szCs w:val="24"/>
                <w:color w:val="auto"/>
              </w:rPr>
            </w:pPr>
          </w:p>
        </w:tc>
        <w:tc>
          <w:tcPr>
            <w:tcW w:w="1280" w:type="dxa"/>
            <w:vAlign w:val="bottom"/>
          </w:tcPr>
          <w:p>
            <w:pPr>
              <w:jc w:val="right"/>
              <w:ind w:right="1080"/>
              <w:spacing w:after="0"/>
              <w:rPr>
                <w:sz w:val="20"/>
                <w:szCs w:val="20"/>
                <w:color w:val="auto"/>
              </w:rPr>
            </w:pPr>
            <w:r>
              <w:rPr>
                <w:rFonts w:ascii="Times New Roman" w:cs="Times New Roman" w:eastAsia="Times New Roman" w:hAnsi="Times New Roman"/>
                <w:sz w:val="20"/>
                <w:szCs w:val="20"/>
                <w:color w:val="auto"/>
                <w:w w:val="79"/>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2240" w:h="15840" w:orient="portrait"/>
          <w:cols w:equalWidth="0" w:num="1">
            <w:col w:w="10200"/>
          </w:cols>
          <w:pgMar w:left="980" w:top="205" w:right="1060"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460" w:right="40" w:hanging="360"/>
        <w:spacing w:after="0" w:line="249" w:lineRule="auto"/>
        <w:tabs>
          <w:tab w:leader="none" w:pos="4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1" w:lineRule="exact"/>
        <w:rPr>
          <w:rFonts w:ascii="Times New Roman" w:cs="Times New Roman" w:eastAsia="Times New Roman" w:hAnsi="Times New Roman"/>
          <w:sz w:val="20"/>
          <w:szCs w:val="20"/>
          <w:color w:val="auto"/>
        </w:rPr>
      </w:pPr>
    </w:p>
    <w:p>
      <w:pPr>
        <w:ind w:left="460" w:hanging="360"/>
        <w:spacing w:after="0"/>
        <w:tabs>
          <w:tab w:leader="none" w:pos="4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production costs is comprised of lease operating expenses and gathering, processing and transportation expense.</w:t>
      </w:r>
    </w:p>
    <w:p>
      <w:pPr>
        <w:spacing w:after="0" w:line="2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Wells Drilled and Completed in 2024</w:t>
      </w:r>
    </w:p>
    <w:p>
      <w:pPr>
        <w:spacing w:after="0" w:line="251" w:lineRule="exact"/>
        <w:rPr>
          <w:sz w:val="20"/>
          <w:szCs w:val="20"/>
          <w:color w:val="auto"/>
        </w:rPr>
      </w:pPr>
    </w:p>
    <w:p>
      <w:pPr>
        <w:ind w:left="100" w:right="32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sets forth the total number of operated horizontal wells drilled and completed during the year ended December 31, 2024:</w:t>
      </w: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3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Area:</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B3B3B3"/>
                <w:w w:val="79"/>
              </w:rPr>
              <w:t>...............................................................................................</w:t>
            </w:r>
            <w:r>
              <w:rPr>
                <w:rFonts w:ascii="Times New Roman" w:cs="Times New Roman" w:eastAsia="Times New Roman" w:hAnsi="Times New Roman"/>
                <w:sz w:val="15"/>
                <w:szCs w:val="15"/>
                <w:color w:val="000000"/>
                <w:w w:val="79"/>
              </w:rPr>
              <w:t>MidlandBasin</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342</w:t>
            </w:r>
          </w:p>
        </w:tc>
        <w:tc>
          <w:tcPr>
            <w:tcW w:w="1020" w:type="dxa"/>
            <w:vAlign w:val="bottom"/>
            <w:gridSpan w:val="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325</w:t>
            </w:r>
          </w:p>
        </w:tc>
        <w:tc>
          <w:tcPr>
            <w:tcW w:w="1020" w:type="dxa"/>
            <w:vAlign w:val="bottom"/>
            <w:gridSpan w:val="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391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w w:val="78"/>
              </w:rPr>
              <w:t>Delaware Basin</w:t>
            </w:r>
            <w:r>
              <w:rPr>
                <w:rFonts w:ascii="Times New Roman" w:cs="Times New Roman" w:eastAsia="Times New Roman" w:hAnsi="Times New Roman"/>
                <w:sz w:val="15"/>
                <w:szCs w:val="15"/>
                <w:color w:val="B3B3B3"/>
                <w:w w:val="78"/>
              </w:rPr>
              <w:t>.............................................................................................</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c>
          <w:tcPr>
            <w:tcW w:w="10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26</w:t>
            </w: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58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B3B3B3"/>
                <w:w w:val="77"/>
              </w:rPr>
              <w:t>.........................................................................................................</w:t>
            </w:r>
            <w:r>
              <w:rPr>
                <w:rFonts w:ascii="Times New Roman" w:cs="Times New Roman" w:eastAsia="Times New Roman" w:hAnsi="Times New Roman"/>
                <w:sz w:val="15"/>
                <w:szCs w:val="15"/>
                <w:color w:val="000000"/>
                <w:w w:val="77"/>
              </w:rPr>
              <w:t>Total</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4"/>
          </w:tcPr>
          <w:p>
            <w:pPr>
              <w:jc w:val="right"/>
              <w:ind w:right="80"/>
              <w:spacing w:after="0" w:line="211" w:lineRule="exact"/>
              <w:rPr>
                <w:sz w:val="20"/>
                <w:szCs w:val="20"/>
                <w:color w:val="auto"/>
              </w:rPr>
            </w:pPr>
            <w:r>
              <w:rPr>
                <w:rFonts w:ascii="Times New Roman" w:cs="Times New Roman" w:eastAsia="Times New Roman" w:hAnsi="Times New Roman"/>
                <w:sz w:val="20"/>
                <w:szCs w:val="20"/>
                <w:color w:val="auto"/>
              </w:rPr>
              <w:t>372</w:t>
            </w:r>
          </w:p>
        </w:tc>
        <w:tc>
          <w:tcPr>
            <w:tcW w:w="960" w:type="dxa"/>
            <w:vAlign w:val="bottom"/>
            <w:gridSpan w:val="3"/>
          </w:tcPr>
          <w:p>
            <w:pPr>
              <w:jc w:val="right"/>
              <w:ind w:right="20"/>
              <w:spacing w:after="0" w:line="211" w:lineRule="exact"/>
              <w:rPr>
                <w:sz w:val="20"/>
                <w:szCs w:val="20"/>
                <w:color w:val="auto"/>
              </w:rPr>
            </w:pPr>
            <w:r>
              <w:rPr>
                <w:rFonts w:ascii="Times New Roman" w:cs="Times New Roman" w:eastAsia="Times New Roman" w:hAnsi="Times New Roman"/>
                <w:sz w:val="20"/>
                <w:szCs w:val="20"/>
                <w:color w:val="auto"/>
              </w:rPr>
              <w:t>351</w:t>
            </w:r>
          </w:p>
        </w:tc>
        <w:tc>
          <w:tcPr>
            <w:tcW w:w="60" w:type="dxa"/>
            <w:vAlign w:val="bottom"/>
          </w:tcPr>
          <w:p>
            <w:pPr>
              <w:spacing w:after="0"/>
              <w:rPr>
                <w:sz w:val="18"/>
                <w:szCs w:val="18"/>
                <w:color w:val="auto"/>
              </w:rPr>
            </w:pPr>
          </w:p>
        </w:tc>
        <w:tc>
          <w:tcPr>
            <w:tcW w:w="960" w:type="dxa"/>
            <w:vAlign w:val="bottom"/>
            <w:gridSpan w:val="2"/>
          </w:tcPr>
          <w:p>
            <w:pPr>
              <w:ind w:left="660"/>
              <w:spacing w:after="0" w:line="211" w:lineRule="exact"/>
              <w:rPr>
                <w:sz w:val="20"/>
                <w:szCs w:val="20"/>
                <w:color w:val="auto"/>
              </w:rPr>
            </w:pPr>
            <w:r>
              <w:rPr>
                <w:rFonts w:ascii="Times New Roman" w:cs="Times New Roman" w:eastAsia="Times New Roman" w:hAnsi="Times New Roman"/>
                <w:sz w:val="20"/>
                <w:szCs w:val="20"/>
                <w:color w:val="auto"/>
                <w:w w:val="93"/>
              </w:rPr>
              <w:t>410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3"/>
              <w:spacing w:after="0" w:line="211" w:lineRule="exact"/>
              <w:rPr>
                <w:sz w:val="20"/>
                <w:szCs w:val="20"/>
                <w:color w:val="auto"/>
              </w:rPr>
            </w:pPr>
            <w:r>
              <w:rPr>
                <w:rFonts w:ascii="Times New Roman" w:cs="Times New Roman" w:eastAsia="Times New Roman" w:hAnsi="Times New Roman"/>
                <w:sz w:val="20"/>
                <w:szCs w:val="20"/>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88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As of December 31, 2024, we operated the following wells:</w:t>
            </w: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01"/>
        </w:trPr>
        <w:tc>
          <w:tcPr>
            <w:tcW w:w="4880" w:type="dxa"/>
            <w:vAlign w:val="bottom"/>
            <w:gridSpan w:val="6"/>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Vertical Wells</w:t>
            </w: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Horizontal Wells</w:t>
            </w: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Area:</w:t>
            </w:r>
          </w:p>
        </w:tc>
        <w:tc>
          <w:tcPr>
            <w:tcW w:w="20" w:type="dxa"/>
            <w:vAlign w:val="bottom"/>
          </w:tcPr>
          <w:p>
            <w:pPr>
              <w:spacing w:after="0"/>
              <w:rPr>
                <w:sz w:val="20"/>
                <w:szCs w:val="20"/>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9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3"/>
              </w:rPr>
              <w:t>Gross</w:t>
            </w: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ind w:left="60"/>
              <w:spacing w:after="0" w:line="218"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MidlandBasin</w:t>
            </w:r>
          </w:p>
        </w:tc>
        <w:tc>
          <w:tcPr>
            <w:tcW w:w="20" w:type="dxa"/>
            <w:vAlign w:val="bottom"/>
          </w:tcPr>
          <w:p>
            <w:pPr>
              <w:spacing w:after="0"/>
              <w:rPr>
                <w:sz w:val="18"/>
                <w:szCs w:val="18"/>
                <w:color w:val="auto"/>
              </w:rPr>
            </w:pPr>
          </w:p>
        </w:tc>
        <w:tc>
          <w:tcPr>
            <w:tcW w:w="100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3,066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2,902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4,102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3,850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7,168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6,752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Delaware Basin</w:t>
            </w:r>
            <w:r>
              <w:rPr>
                <w:rFonts w:ascii="Times New Roman" w:cs="Times New Roman" w:eastAsia="Times New Roman" w:hAnsi="Times New Roman"/>
                <w:sz w:val="20"/>
                <w:szCs w:val="20"/>
                <w:color w:val="B3B3B3"/>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1020" w:type="dxa"/>
            <w:vAlign w:val="bottom"/>
            <w:gridSpan w:val="2"/>
          </w:tcPr>
          <w:p>
            <w:pPr>
              <w:jc w:val="right"/>
              <w:ind w:right="7"/>
              <w:spacing w:after="0" w:line="207" w:lineRule="exact"/>
              <w:rPr>
                <w:sz w:val="20"/>
                <w:szCs w:val="20"/>
                <w:color w:val="auto"/>
              </w:rPr>
            </w:pPr>
            <w:r>
              <w:rPr>
                <w:rFonts w:ascii="Times New Roman" w:cs="Times New Roman" w:eastAsia="Times New Roman" w:hAnsi="Times New Roman"/>
                <w:sz w:val="20"/>
                <w:szCs w:val="20"/>
                <w:color w:val="auto"/>
              </w:rPr>
              <w:t>3,219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3,038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4,723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4,425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7,942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7,463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Productive Wells</w:t>
      </w:r>
    </w:p>
    <w:p>
      <w:pPr>
        <w:spacing w:after="0" w:line="253" w:lineRule="exact"/>
        <w:rPr>
          <w:sz w:val="20"/>
          <w:szCs w:val="20"/>
          <w:color w:val="auto"/>
        </w:rPr>
      </w:pPr>
    </w:p>
    <w:p>
      <w:pPr>
        <w:jc w:val="both"/>
        <w:ind w:left="100" w:right="4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2024, we owned an interest in a total of 30,928 gross productive wells with an average unweighted 77% working interest in 10,277 gross (7,891 net) wells and an average 2.1% royalty interest in 20,651 additional wells. Through our subsidiary, Viper, we own an average 2.7% net revenue interest in 14,707 of the total 30,928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information regarding productive wells by basin as of December 31, 2024:</w:t>
      </w:r>
    </w:p>
    <w:p>
      <w:pPr>
        <w:spacing w:after="0" w:line="200" w:lineRule="exact"/>
        <w:rPr>
          <w:sz w:val="20"/>
          <w:szCs w:val="20"/>
          <w:color w:val="auto"/>
        </w:rPr>
      </w:pP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23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Wells</w:t>
            </w: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8"/>
                <w:szCs w:val="18"/>
                <w:b w:val="1"/>
                <w:bCs w:val="1"/>
                <w:color w:val="auto"/>
              </w:rPr>
              <w:t>Net Wells</w:t>
            </w: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2340" w:type="dxa"/>
            <w:vAlign w:val="bottom"/>
          </w:tcPr>
          <w:p>
            <w:pPr>
              <w:spacing w:after="0"/>
              <w:rPr>
                <w:sz w:val="20"/>
                <w:szCs w:val="20"/>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Oil</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Oil</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r>
      <w:tr>
        <w:trPr>
          <w:trHeight w:val="275"/>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Midland Basin</w:t>
            </w:r>
            <w:r>
              <w:rPr>
                <w:rFonts w:ascii="Times New Roman" w:cs="Times New Roman" w:eastAsia="Times New Roman" w:hAnsi="Times New Roman"/>
                <w:sz w:val="20"/>
                <w:szCs w:val="20"/>
                <w:color w:val="B3B3B3"/>
                <w:w w:val="97"/>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23,975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7,099</w:t>
            </w:r>
          </w:p>
        </w:tc>
        <w:tc>
          <w:tcPr>
            <w:tcW w:w="40" w:type="dxa"/>
            <w:vAlign w:val="bottom"/>
          </w:tcPr>
          <w:p>
            <w:pPr>
              <w:spacing w:after="0"/>
              <w:rPr>
                <w:sz w:val="23"/>
                <w:szCs w:val="23"/>
                <w:color w:val="auto"/>
              </w:rPr>
            </w:pPr>
          </w:p>
        </w:tc>
      </w:tr>
      <w:tr>
        <w:trPr>
          <w:trHeight w:val="284"/>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xml:space="preserve">Delaware Basin </w:t>
            </w:r>
            <w:r>
              <w:rPr>
                <w:rFonts w:ascii="Times New Roman" w:cs="Times New Roman" w:eastAsia="Times New Roman" w:hAnsi="Times New Roman"/>
                <w:sz w:val="20"/>
                <w:szCs w:val="20"/>
                <w:color w:val="B3B3B3"/>
                <w:w w:val="96"/>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5,440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40" w:type="dxa"/>
            <w:vAlign w:val="bottom"/>
          </w:tcPr>
          <w:p>
            <w:pPr>
              <w:spacing w:after="0"/>
              <w:rPr>
                <w:sz w:val="24"/>
                <w:szCs w:val="24"/>
                <w:color w:val="auto"/>
              </w:rPr>
            </w:pPr>
          </w:p>
        </w:tc>
      </w:tr>
      <w:tr>
        <w:trPr>
          <w:trHeight w:val="258"/>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xml:space="preserve">Midcon Basin </w:t>
            </w:r>
            <w:r>
              <w:rPr>
                <w:rFonts w:ascii="Times New Roman" w:cs="Times New Roman" w:eastAsia="Times New Roman" w:hAnsi="Times New Roman"/>
                <w:sz w:val="20"/>
                <w:szCs w:val="20"/>
                <w:color w:val="B3B3B3"/>
                <w:w w:val="9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 w:type="dxa"/>
            <w:vAlign w:val="bottom"/>
          </w:tcPr>
          <w:p>
            <w:pPr>
              <w:spacing w:after="0"/>
              <w:rPr>
                <w:sz w:val="22"/>
                <w:szCs w:val="22"/>
                <w:color w:val="auto"/>
              </w:rPr>
            </w:pPr>
          </w:p>
        </w:tc>
      </w:tr>
      <w:tr>
        <w:trPr>
          <w:trHeight w:val="266"/>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Williston Basin</w:t>
            </w:r>
            <w:r>
              <w:rPr>
                <w:rFonts w:ascii="Times New Roman" w:cs="Times New Roman" w:eastAsia="Times New Roman" w:hAnsi="Times New Roman"/>
                <w:sz w:val="20"/>
                <w:szCs w:val="20"/>
                <w:color w:val="B3B3B3"/>
                <w:w w:val="96"/>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3"/>
                <w:szCs w:val="23"/>
                <w:color w:val="auto"/>
              </w:rPr>
            </w:pPr>
          </w:p>
        </w:tc>
      </w:tr>
      <w:tr>
        <w:trPr>
          <w:trHeight w:val="304"/>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3B3B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40" w:type="dxa"/>
            <w:vAlign w:val="bottom"/>
          </w:tcPr>
          <w:p>
            <w:pPr>
              <w:spacing w:after="0"/>
              <w:rPr>
                <w:sz w:val="24"/>
                <w:szCs w:val="24"/>
                <w:color w:val="auto"/>
              </w:rPr>
            </w:pPr>
          </w:p>
        </w:tc>
      </w:tr>
      <w:tr>
        <w:trPr>
          <w:trHeight w:val="240"/>
        </w:trPr>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productive wells </w:t>
            </w:r>
            <w:r>
              <w:rPr>
                <w:rFonts w:ascii="Times New Roman" w:cs="Times New Roman" w:eastAsia="Times New Roman" w:hAnsi="Times New Roman"/>
                <w:sz w:val="20"/>
                <w:szCs w:val="20"/>
                <w:color w:val="B3B3B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30,928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7,891</w:t>
            </w:r>
          </w:p>
        </w:tc>
        <w:tc>
          <w:tcPr>
            <w:tcW w:w="40" w:type="dxa"/>
            <w:vAlign w:val="bottom"/>
          </w:tcPr>
          <w:p>
            <w:pPr>
              <w:spacing w:after="0"/>
              <w:rPr>
                <w:sz w:val="20"/>
                <w:szCs w:val="20"/>
                <w:color w:val="auto"/>
              </w:rPr>
            </w:pPr>
          </w:p>
        </w:tc>
      </w:tr>
      <w:tr>
        <w:trPr>
          <w:trHeight w:val="36"/>
        </w:trPr>
        <w:tc>
          <w:tcPr>
            <w:tcW w:w="2340" w:type="dxa"/>
            <w:vAlign w:val="bottom"/>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20"/>
          </w:cols>
          <w:pgMar w:left="980" w:top="205" w:right="1040"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Drilling Results</w:t>
      </w:r>
    </w:p>
    <w:p>
      <w:pPr>
        <w:spacing w:after="0" w:line="253" w:lineRule="exact"/>
        <w:rPr>
          <w:sz w:val="20"/>
          <w:szCs w:val="20"/>
          <w:color w:val="auto"/>
        </w:rPr>
      </w:pPr>
    </w:p>
    <w:p>
      <w:pPr>
        <w:jc w:val="both"/>
        <w:ind w:left="100" w:right="60"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36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164465</wp:posOffset>
                </wp:positionH>
                <wp:positionV relativeFrom="paragraph">
                  <wp:posOffset>32385</wp:posOffset>
                </wp:positionV>
                <wp:extent cx="634238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5pt,2.55pt" to="512.35pt,2.5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6502400</wp:posOffset>
                </wp:positionH>
                <wp:positionV relativeFrom="paragraph">
                  <wp:posOffset>27940</wp:posOffset>
                </wp:positionV>
                <wp:extent cx="0" cy="177673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73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pt,2.2pt" to="512pt,142.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168910</wp:posOffset>
                </wp:positionH>
                <wp:positionV relativeFrom="paragraph">
                  <wp:posOffset>27940</wp:posOffset>
                </wp:positionV>
                <wp:extent cx="0" cy="177673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730"/>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pt,2.2pt" to="13.3pt,142.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215900</wp:posOffset>
                </wp:positionH>
                <wp:positionV relativeFrom="paragraph">
                  <wp:posOffset>43815</wp:posOffset>
                </wp:positionV>
                <wp:extent cx="625411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11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pt,3.45pt" to="509.45pt,3.45pt" o:allowincell="f" strokecolor="#000000" strokeweight="0.9599pt"/>
            </w:pict>
          </mc:Fallback>
        </mc:AlternateContent>
      </w:r>
    </w:p>
    <w:p>
      <w:pPr>
        <w:sectPr>
          <w:pgSz w:w="12240" w:h="15840" w:orient="portrait"/>
          <w:cols w:equalWidth="0" w:num="1">
            <w:col w:w="10240"/>
          </w:cols>
          <w:pgMar w:left="980" w:top="205" w:right="1020" w:bottom="0" w:gutter="0" w:footer="0" w:header="0"/>
        </w:sectPr>
      </w:pPr>
    </w:p>
    <w:p>
      <w:pPr>
        <w:spacing w:after="0" w:line="64" w:lineRule="exact"/>
        <w:rPr>
          <w:sz w:val="20"/>
          <w:szCs w:val="20"/>
          <w:color w:val="auto"/>
        </w:rPr>
      </w:pPr>
    </w:p>
    <w:p>
      <w:pPr>
        <w:ind w:left="57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Midland Basin</w:t>
      </w:r>
      <w:r>
        <w:rPr>
          <w:sz w:val="20"/>
          <w:szCs w:val="20"/>
          <w:color w:val="auto"/>
        </w:rPr>
        <w:tab/>
      </w:r>
      <w:r>
        <w:rPr>
          <w:rFonts w:ascii="Times New Roman" w:cs="Times New Roman" w:eastAsia="Times New Roman" w:hAnsi="Times New Roman"/>
          <w:sz w:val="17"/>
          <w:szCs w:val="17"/>
          <w:b w:val="1"/>
          <w:bCs w:val="1"/>
          <w:color w:val="auto"/>
        </w:rPr>
        <w:t>Delaware Basin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215900</wp:posOffset>
                </wp:positionH>
                <wp:positionV relativeFrom="paragraph">
                  <wp:posOffset>33020</wp:posOffset>
                </wp:positionV>
                <wp:extent cx="625411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11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pt,2.6pt" to="509.45pt,2.6pt" o:allowincell="f" strokecolor="#000000" strokeweight="0.96pt"/>
            </w:pict>
          </mc:Fallback>
        </mc:AlternateContent>
      </w:r>
    </w:p>
    <w:p>
      <w:pPr>
        <w:spacing w:after="0" w:line="33" w:lineRule="exact"/>
        <w:rPr>
          <w:sz w:val="20"/>
          <w:szCs w:val="20"/>
          <w:color w:val="auto"/>
        </w:rPr>
      </w:pPr>
    </w:p>
    <w:p>
      <w:pPr>
        <w:ind w:left="5740"/>
        <w:spacing w:after="0"/>
        <w:tabs>
          <w:tab w:leader="none" w:pos="6580" w:val="left"/>
          <w:tab w:leader="none" w:pos="7280" w:val="left"/>
          <w:tab w:leader="none" w:pos="8120" w:val="left"/>
        </w:tabs>
        <w:rPr>
          <w:sz w:val="20"/>
          <w:szCs w:val="20"/>
          <w:color w:val="auto"/>
        </w:rPr>
      </w:pPr>
      <w:r>
        <w:rPr>
          <w:rFonts w:ascii="Times New Roman" w:cs="Times New Roman" w:eastAsia="Times New Roman" w:hAnsi="Times New Roman"/>
          <w:sz w:val="18"/>
          <w:szCs w:val="18"/>
          <w:color w:val="auto"/>
        </w:rPr>
        <w:t>Gross</w:t>
      </w:r>
      <w:r>
        <w:rPr>
          <w:sz w:val="20"/>
          <w:szCs w:val="20"/>
          <w:color w:val="auto"/>
        </w:rPr>
        <w:tab/>
      </w:r>
      <w:r>
        <w:rPr>
          <w:rFonts w:ascii="Times New Roman" w:cs="Times New Roman" w:eastAsia="Times New Roman" w:hAnsi="Times New Roman"/>
          <w:sz w:val="18"/>
          <w:szCs w:val="18"/>
          <w:color w:val="auto"/>
        </w:rPr>
        <w:t>Net</w:t>
      </w:r>
      <w:r>
        <w:rPr>
          <w:sz w:val="20"/>
          <w:szCs w:val="20"/>
          <w:color w:val="auto"/>
        </w:rPr>
        <w:tab/>
      </w:r>
      <w:r>
        <w:rPr>
          <w:rFonts w:ascii="Times New Roman" w:cs="Times New Roman" w:eastAsia="Times New Roman" w:hAnsi="Times New Roman"/>
          <w:sz w:val="18"/>
          <w:szCs w:val="18"/>
          <w:color w:val="auto"/>
        </w:rPr>
        <w:t>Gross</w:t>
      </w:r>
      <w:r>
        <w:rPr>
          <w:sz w:val="20"/>
          <w:szCs w:val="20"/>
          <w:color w:val="auto"/>
        </w:rPr>
        <w:tab/>
      </w:r>
      <w:r>
        <w:rPr>
          <w:rFonts w:ascii="Times New Roman" w:cs="Times New Roman" w:eastAsia="Times New Roman" w:hAnsi="Times New Roman"/>
          <w:sz w:val="18"/>
          <w:szCs w:val="18"/>
          <w:color w:val="auto"/>
        </w:rPr>
        <w:t>Net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firstLine="396"/>
        <w:spacing w:after="0" w:line="326" w:lineRule="auto"/>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16"/>
          <w:szCs w:val="16"/>
          <w:color w:val="auto"/>
        </w:rPr>
        <w:t>Gross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w:t>
      </w:r>
    </w:p>
    <w:p>
      <w:pPr>
        <w:spacing w:after="0" w:line="57" w:lineRule="exact"/>
        <w:rPr>
          <w:sz w:val="20"/>
          <w:szCs w:val="20"/>
          <w:color w:val="auto"/>
        </w:rPr>
      </w:pPr>
    </w:p>
    <w:p>
      <w:pPr>
        <w:sectPr>
          <w:pgSz w:w="12240" w:h="15840" w:orient="portrait"/>
          <w:cols w:equalWidth="0" w:num="3">
            <w:col w:w="8480" w:space="380"/>
            <w:col w:w="780" w:space="80"/>
            <w:col w:w="520"/>
          </w:cols>
          <w:pgMar w:left="980" w:top="205" w:right="1020" w:bottom="0" w:gutter="0" w:footer="0" w:header="0"/>
          <w:type w:val="continuous"/>
        </w:sectPr>
      </w:pPr>
    </w:p>
    <w:p>
      <w:pPr>
        <w:ind w:left="320" w:hanging="170"/>
        <w:spacing w:after="0"/>
        <w:tabs>
          <w:tab w:leader="none" w:pos="3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4531360</wp:posOffset>
                </wp:positionH>
                <wp:positionV relativeFrom="paragraph">
                  <wp:posOffset>-137160</wp:posOffset>
                </wp:positionV>
                <wp:extent cx="193865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655"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8pt,-10.7999pt" to="509.45pt,-10.7999pt" o:allowincell="f" strokecolor="#000000" strokeweight="0.959pt"/>
            </w:pict>
          </mc:Fallback>
        </mc:AlternateContent>
      </w:r>
    </w:p>
    <w:tbl>
      <w:tblPr>
        <w:tblLayout w:type="fixed"/>
        <w:tblInd w:w="160" w:type="dxa"/>
        <w:tblCellMar>
          <w:top w:w="0" w:type="dxa"/>
          <w:left w:w="0" w:type="dxa"/>
          <w:bottom w:w="0" w:type="dxa"/>
          <w:right w:w="0" w:type="dxa"/>
        </w:tblCellMar>
      </w:tblPr>
      <w:tr>
        <w:trPr>
          <w:trHeight w:val="243"/>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322</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308</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30</w:t>
            </w:r>
          </w:p>
        </w:tc>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26</w:t>
            </w:r>
          </w:p>
        </w:tc>
        <w:tc>
          <w:tcPr>
            <w:tcW w:w="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352</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60" w:type="dxa"/>
            <w:vAlign w:val="bottom"/>
          </w:tcPr>
          <w:p>
            <w:pPr>
              <w:spacing w:after="0"/>
              <w:rPr>
                <w:sz w:val="21"/>
                <w:szCs w:val="21"/>
                <w:color w:val="auto"/>
              </w:rPr>
            </w:pPr>
          </w:p>
        </w:tc>
      </w:tr>
      <w:tr>
        <w:trPr>
          <w:trHeight w:val="256"/>
        </w:trPr>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5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 ploratory:</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20</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17</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1"/>
                <w:szCs w:val="21"/>
                <w:color w:val="auto"/>
              </w:rPr>
            </w:pPr>
          </w:p>
        </w:tc>
      </w:tr>
      <w:tr>
        <w:trPr>
          <w:trHeight w:val="254"/>
        </w:trPr>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5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tal:</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342</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325</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30</w:t>
            </w:r>
          </w:p>
        </w:tc>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26</w:t>
            </w:r>
          </w:p>
        </w:tc>
        <w:tc>
          <w:tcPr>
            <w:tcW w:w="9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372</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60" w:type="dxa"/>
            <w:vAlign w:val="bottom"/>
          </w:tcPr>
          <w:p>
            <w:pPr>
              <w:spacing w:after="0"/>
              <w:rPr>
                <w:sz w:val="21"/>
                <w:szCs w:val="21"/>
                <w:color w:val="auto"/>
              </w:rPr>
            </w:pPr>
          </w:p>
        </w:tc>
      </w:tr>
      <w:tr>
        <w:trPr>
          <w:trHeight w:val="252"/>
        </w:trPr>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574"/>
        </w:trPr>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8"/>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Midland Basin</w:t>
            </w:r>
          </w:p>
        </w:tc>
        <w:tc>
          <w:tcPr>
            <w:tcW w:w="1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Delaware Basin</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20" w:type="dxa"/>
            <w:vAlign w:val="bottom"/>
          </w:tcPr>
          <w:p>
            <w:pPr>
              <w:jc w:val="right"/>
              <w:ind w:right="163"/>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720" w:type="dxa"/>
            <w:vAlign w:val="bottom"/>
          </w:tcPr>
          <w:p>
            <w:pPr>
              <w:jc w:val="right"/>
              <w:ind w:right="183"/>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8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7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9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jc w:val="right"/>
              <w:ind w:right="122"/>
              <w:spacing w:after="0" w:line="202" w:lineRule="exact"/>
              <w:rPr>
                <w:sz w:val="20"/>
                <w:szCs w:val="20"/>
                <w:color w:val="auto"/>
              </w:rPr>
            </w:pPr>
            <w:r>
              <w:rPr>
                <w:rFonts w:ascii="Times New Roman" w:cs="Times New Roman" w:eastAsia="Times New Roman" w:hAnsi="Times New Roman"/>
                <w:sz w:val="18"/>
                <w:szCs w:val="18"/>
                <w:color w:val="auto"/>
                <w:w w:val="99"/>
              </w:rPr>
              <w:t>Net</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6502400</wp:posOffset>
                </wp:positionH>
                <wp:positionV relativeFrom="paragraph">
                  <wp:posOffset>-313055</wp:posOffset>
                </wp:positionV>
                <wp:extent cx="0" cy="177609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0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pt,-24.6499pt" to="512pt,115.2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168910</wp:posOffset>
                </wp:positionH>
                <wp:positionV relativeFrom="paragraph">
                  <wp:posOffset>-313055</wp:posOffset>
                </wp:positionV>
                <wp:extent cx="0" cy="177609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0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pt,-24.6499pt" to="13.3pt,115.2pt" o:allowincell="f" strokecolor="#000000" strokeweight="0.75pt"/>
            </w:pict>
          </mc:Fallback>
        </mc:AlternateContent>
      </w:r>
    </w:p>
    <w:p>
      <w:pPr>
        <w:ind w:left="320" w:hanging="170"/>
        <w:spacing w:after="0"/>
        <w:tabs>
          <w:tab w:leader="none" w:pos="3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4531360</wp:posOffset>
                </wp:positionH>
                <wp:positionV relativeFrom="paragraph">
                  <wp:posOffset>-130810</wp:posOffset>
                </wp:positionV>
                <wp:extent cx="193865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8pt,-10.2999pt" to="509.45pt,-10.2999pt" o:allowincell="f" strokecolor="#000000" strokeweight="0.96pt"/>
            </w:pict>
          </mc:Fallback>
        </mc:AlternateContent>
      </w:r>
    </w:p>
    <w:tbl>
      <w:tblPr>
        <w:tblLayout w:type="fixed"/>
        <w:tblInd w:w="160" w:type="dxa"/>
        <w:tblCellMar>
          <w:top w:w="0" w:type="dxa"/>
          <w:left w:w="0" w:type="dxa"/>
          <w:bottom w:w="0" w:type="dxa"/>
          <w:right w:w="0" w:type="dxa"/>
        </w:tblCellMar>
      </w:tblPr>
      <w:tr>
        <w:trPr>
          <w:trHeight w:val="243"/>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192</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179</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29</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25</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221</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0" w:type="dxa"/>
            <w:vAlign w:val="bottom"/>
          </w:tcPr>
          <w:p>
            <w:pPr>
              <w:spacing w:after="0"/>
              <w:rPr>
                <w:sz w:val="21"/>
                <w:szCs w:val="21"/>
                <w:color w:val="auto"/>
              </w:rPr>
            </w:pPr>
          </w:p>
        </w:tc>
      </w:tr>
      <w:tr>
        <w:trPr>
          <w:trHeight w:val="254"/>
        </w:trPr>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43"/>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5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 ploratory:</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123</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106</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6</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5</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129</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1"/>
                <w:szCs w:val="21"/>
                <w:color w:val="auto"/>
              </w:rPr>
            </w:pPr>
          </w:p>
        </w:tc>
      </w:tr>
      <w:tr>
        <w:trPr>
          <w:trHeight w:val="257"/>
        </w:trPr>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43"/>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5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tal:</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1"/>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315</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285</w:t>
            </w: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35</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30</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350</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60" w:type="dxa"/>
            <w:vAlign w:val="bottom"/>
          </w:tcPr>
          <w:p>
            <w:pPr>
              <w:spacing w:after="0"/>
              <w:rPr>
                <w:sz w:val="20"/>
                <w:szCs w:val="20"/>
                <w:color w:val="auto"/>
              </w:rPr>
            </w:pPr>
          </w:p>
        </w:tc>
      </w:tr>
      <w:tr>
        <w:trPr>
          <w:trHeight w:val="253"/>
        </w:trPr>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w w:val="98"/>
              </w:rPr>
              <w:t xml:space="preserve">Dry </w:t>
            </w:r>
            <w:r>
              <w:rPr>
                <w:rFonts w:ascii="Times New Roman" w:cs="Times New Roman" w:eastAsia="Times New Roman" w:hAnsi="Times New Roman"/>
                <w:sz w:val="20"/>
                <w:szCs w:val="20"/>
                <w:color w:val="B3B3B3"/>
                <w:w w:val="98"/>
              </w:rPr>
              <w:t>................................................................................................</w:t>
            </w:r>
          </w:p>
        </w:tc>
        <w:tc>
          <w:tcPr>
            <w:tcW w:w="8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813"/>
        </w:trPr>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8"/>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Midland Basin</w:t>
            </w:r>
          </w:p>
        </w:tc>
        <w:tc>
          <w:tcPr>
            <w:tcW w:w="15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Delaware Basin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20" w:type="dxa"/>
            <w:vAlign w:val="bottom"/>
          </w:tcPr>
          <w:p>
            <w:pPr>
              <w:jc w:val="right"/>
              <w:ind w:right="163"/>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720" w:type="dxa"/>
            <w:vAlign w:val="bottom"/>
          </w:tcPr>
          <w:p>
            <w:pPr>
              <w:jc w:val="right"/>
              <w:ind w:right="183"/>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8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740" w:type="dxa"/>
            <w:vAlign w:val="bottom"/>
          </w:tcPr>
          <w:p>
            <w:pPr>
              <w:jc w:val="right"/>
              <w:ind w:right="202"/>
              <w:spacing w:after="0" w:line="202" w:lineRule="exact"/>
              <w:rPr>
                <w:sz w:val="20"/>
                <w:szCs w:val="20"/>
                <w:color w:val="auto"/>
              </w:rPr>
            </w:pPr>
            <w:r>
              <w:rPr>
                <w:rFonts w:ascii="Times New Roman" w:cs="Times New Roman" w:eastAsia="Times New Roman" w:hAnsi="Times New Roman"/>
                <w:sz w:val="18"/>
                <w:szCs w:val="18"/>
                <w:color w:val="auto"/>
              </w:rPr>
              <w:t>Net</w:t>
            </w:r>
          </w:p>
        </w:tc>
        <w:tc>
          <w:tcPr>
            <w:tcW w:w="980" w:type="dxa"/>
            <w:vAlign w:val="bottom"/>
          </w:tcPr>
          <w:p>
            <w:pPr>
              <w:jc w:val="right"/>
              <w:ind w:right="323"/>
              <w:spacing w:after="0" w:line="202" w:lineRule="exact"/>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jc w:val="right"/>
              <w:ind w:right="122"/>
              <w:spacing w:after="0" w:line="202" w:lineRule="exact"/>
              <w:rPr>
                <w:sz w:val="20"/>
                <w:szCs w:val="20"/>
                <w:color w:val="auto"/>
              </w:rPr>
            </w:pPr>
            <w:r>
              <w:rPr>
                <w:rFonts w:ascii="Times New Roman" w:cs="Times New Roman" w:eastAsia="Times New Roman" w:hAnsi="Times New Roman"/>
                <w:sz w:val="18"/>
                <w:szCs w:val="18"/>
                <w:color w:val="auto"/>
                <w:w w:val="99"/>
              </w:rPr>
              <w:t>Net</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6502400</wp:posOffset>
                </wp:positionH>
                <wp:positionV relativeFrom="paragraph">
                  <wp:posOffset>-312420</wp:posOffset>
                </wp:positionV>
                <wp:extent cx="0" cy="177609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0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pt,-24.5999pt" to="512pt,115.2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168910</wp:posOffset>
                </wp:positionH>
                <wp:positionV relativeFrom="paragraph">
                  <wp:posOffset>-312420</wp:posOffset>
                </wp:positionV>
                <wp:extent cx="0" cy="177609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60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pt,-24.5999pt" to="13.3pt,115.2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164465</wp:posOffset>
                </wp:positionH>
                <wp:positionV relativeFrom="paragraph">
                  <wp:posOffset>1459230</wp:posOffset>
                </wp:positionV>
                <wp:extent cx="63423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23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5pt,114.9pt" to="512.35pt,114.9pt" o:allowincell="f" strokecolor="#000000" strokeweight="0.75pt"/>
            </w:pict>
          </mc:Fallback>
        </mc:AlternateContent>
      </w:r>
    </w:p>
    <w:p>
      <w:pPr>
        <w:ind w:left="320" w:hanging="170"/>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4531360</wp:posOffset>
                </wp:positionH>
                <wp:positionV relativeFrom="paragraph">
                  <wp:posOffset>-130810</wp:posOffset>
                </wp:positionV>
                <wp:extent cx="19386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6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8pt,-10.2999pt" to="509.45pt,-10.2999pt" o:allowincell="f" strokecolor="#000000" strokeweight="0.9599pt"/>
            </w:pict>
          </mc:Fallback>
        </mc:AlternateContent>
      </w:r>
    </w:p>
    <w:tbl>
      <w:tblPr>
        <w:tblLayout w:type="fixed"/>
        <w:tblInd w:w="160" w:type="dxa"/>
        <w:tblCellMar>
          <w:top w:w="0" w:type="dxa"/>
          <w:left w:w="0" w:type="dxa"/>
          <w:bottom w:w="0" w:type="dxa"/>
          <w:right w:w="0" w:type="dxa"/>
        </w:tblCellMar>
      </w:tblPr>
      <w:tr>
        <w:trPr>
          <w:trHeight w:val="243"/>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59</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54</w:t>
            </w: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16</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15</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75</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55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 xml:space="preserve">Dry </w:t>
            </w:r>
            <w:r>
              <w:rPr>
                <w:rFonts w:ascii="Times New Roman" w:cs="Times New Roman" w:eastAsia="Times New Roman" w:hAnsi="Times New Roman"/>
                <w:sz w:val="20"/>
                <w:szCs w:val="20"/>
                <w:color w:val="B3B3B3"/>
              </w:rPr>
              <w:t>................................................................................................</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Ex ploratory:</w:t>
            </w: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41"/>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138</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129</w:t>
            </w: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27</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25</w:t>
            </w: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165</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58"/>
        </w:trPr>
        <w:tc>
          <w:tcPr>
            <w:tcW w:w="55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 xml:space="preserve">Dry </w:t>
            </w:r>
            <w:r>
              <w:rPr>
                <w:rFonts w:ascii="Times New Roman" w:cs="Times New Roman" w:eastAsia="Times New Roman" w:hAnsi="Times New Roman"/>
                <w:sz w:val="20"/>
                <w:szCs w:val="20"/>
                <w:color w:val="B3B3B3"/>
              </w:rPr>
              <w:t>................................................................................................</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To tal:</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43"/>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Productive </w:t>
            </w:r>
            <w:r>
              <w:rPr>
                <w:rFonts w:ascii="Times New Roman" w:cs="Times New Roman" w:eastAsia="Times New Roman" w:hAnsi="Times New Roman"/>
                <w:sz w:val="20"/>
                <w:szCs w:val="20"/>
                <w:color w:val="B3B3B3"/>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197</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183</w:t>
            </w: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43</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40</w:t>
            </w:r>
          </w:p>
        </w:tc>
        <w:tc>
          <w:tcPr>
            <w:tcW w:w="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240</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r>
      <w:tr>
        <w:trPr>
          <w:trHeight w:val="267"/>
        </w:trPr>
        <w:tc>
          <w:tcPr>
            <w:tcW w:w="55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 xml:space="preserve">Dry </w:t>
            </w:r>
            <w:r>
              <w:rPr>
                <w:rFonts w:ascii="Times New Roman" w:cs="Times New Roman" w:eastAsia="Times New Roman" w:hAnsi="Times New Roman"/>
                <w:sz w:val="20"/>
                <w:szCs w:val="20"/>
                <w:color w:val="B3B3B3"/>
              </w:rPr>
              <w:t>................................................................................................</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67" w:lineRule="exact"/>
        <w:rPr>
          <w:sz w:val="20"/>
          <w:szCs w:val="20"/>
          <w:color w:val="auto"/>
        </w:rPr>
      </w:pPr>
    </w:p>
    <w:p>
      <w:pPr>
        <w:ind w:left="100" w:right="60" w:firstLine="720"/>
        <w:spacing w:after="0" w:line="289" w:lineRule="auto"/>
        <w:rPr>
          <w:sz w:val="20"/>
          <w:szCs w:val="20"/>
          <w:color w:val="auto"/>
        </w:rPr>
      </w:pPr>
      <w:r>
        <w:rPr>
          <w:rFonts w:ascii="Times New Roman" w:cs="Times New Roman" w:eastAsia="Times New Roman" w:hAnsi="Times New Roman"/>
          <w:sz w:val="20"/>
          <w:szCs w:val="20"/>
          <w:color w:val="auto"/>
        </w:rPr>
        <w:t>As of December 31, 2024, we had 49 gross (47 net) operated wells in the process of drilling and 358 gross (336 net) wells in the process of completion or waiting on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40"/>
          </w:cols>
          <w:pgMar w:left="980" w:top="205" w:right="1020" w:bottom="0" w:gutter="0" w:footer="0" w:header="0"/>
          <w:type w:val="continuous"/>
        </w:sectPr>
      </w:pPr>
    </w:p>
    <w:bookmarkStart w:id="19" w:name="page20"/>
    <w:bookmarkEnd w:id="19"/>
    <w:p>
      <w:pPr>
        <w:jc w:val="right"/>
        <w:ind w:right="8820"/>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13" w:lineRule="exact"/>
        <w:rPr>
          <w:sz w:val="20"/>
          <w:szCs w:val="20"/>
          <w:color w:val="auto"/>
        </w:rPr>
      </w:pPr>
    </w:p>
    <w:p>
      <w:pPr>
        <w:jc w:val="right"/>
        <w:ind w:right="8760"/>
        <w:spacing w:after="0"/>
        <w:rPr>
          <w:sz w:val="20"/>
          <w:szCs w:val="20"/>
          <w:color w:val="auto"/>
        </w:rPr>
      </w:pPr>
      <w:r>
        <w:rPr>
          <w:rFonts w:ascii="Times New Roman" w:cs="Times New Roman" w:eastAsia="Times New Roman" w:hAnsi="Times New Roman"/>
          <w:sz w:val="20"/>
          <w:szCs w:val="20"/>
          <w:b w:val="1"/>
          <w:bCs w:val="1"/>
          <w:i w:val="1"/>
          <w:iCs w:val="1"/>
          <w:color w:val="auto"/>
        </w:rPr>
        <w:t>Acreage</w:t>
      </w: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information as of December 31, 2024 relating to our leasehold acreage:</w:t>
      </w:r>
    </w:p>
    <w:p>
      <w:pPr>
        <w:spacing w:after="0" w:line="397"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3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8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Developed Acreage</w:t>
            </w:r>
            <w:r>
              <w:rPr>
                <w:rFonts w:ascii="Times New Roman" w:cs="Times New Roman" w:eastAsia="Times New Roman" w:hAnsi="Times New Roman"/>
                <w:sz w:val="24"/>
                <w:szCs w:val="24"/>
                <w:b w:val="1"/>
                <w:bCs w:val="1"/>
                <w:color w:val="auto"/>
                <w:vertAlign w:val="superscript"/>
              </w:rPr>
              <w:t>(1)</w:t>
            </w:r>
          </w:p>
        </w:tc>
        <w:tc>
          <w:tcPr>
            <w:tcW w:w="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Undeveloped Acreage</w:t>
            </w:r>
          </w:p>
        </w:tc>
        <w:tc>
          <w:tcPr>
            <w:tcW w:w="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Total Acreage</w:t>
            </w:r>
            <w:r>
              <w:rPr>
                <w:rFonts w:ascii="Times New Roman" w:cs="Times New Roman" w:eastAsia="Times New Roman" w:hAnsi="Times New Roman"/>
                <w:sz w:val="24"/>
                <w:szCs w:val="24"/>
                <w:b w:val="1"/>
                <w:bCs w:val="1"/>
                <w:color w:val="auto"/>
                <w:vertAlign w:val="superscript"/>
              </w:rPr>
              <w:t>(2)</w:t>
            </w:r>
          </w:p>
        </w:tc>
        <w:tc>
          <w:tcPr>
            <w:tcW w:w="20" w:type="dxa"/>
            <w:vAlign w:val="bottom"/>
          </w:tcPr>
          <w:p>
            <w:pPr>
              <w:spacing w:after="0"/>
              <w:rPr>
                <w:sz w:val="23"/>
                <w:szCs w:val="23"/>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0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20"/>
                <w:szCs w:val="20"/>
                <w:color w:val="auto"/>
              </w:rPr>
            </w:pPr>
          </w:p>
        </w:tc>
      </w:tr>
      <w:tr>
        <w:trPr>
          <w:trHeight w:val="216"/>
        </w:trPr>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Midland</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469,088</w:t>
            </w:r>
          </w:p>
        </w:tc>
        <w:tc>
          <w:tcPr>
            <w:tcW w:w="10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359,564</w:t>
            </w:r>
          </w:p>
        </w:tc>
        <w:tc>
          <w:tcPr>
            <w:tcW w:w="1100" w:type="dxa"/>
            <w:vAlign w:val="bottom"/>
            <w:gridSpan w:val="2"/>
          </w:tcPr>
          <w:p>
            <w:pPr>
              <w:jc w:val="right"/>
              <w:ind w:right="7"/>
              <w:spacing w:after="0" w:line="216" w:lineRule="exact"/>
              <w:rPr>
                <w:sz w:val="20"/>
                <w:szCs w:val="20"/>
                <w:color w:val="auto"/>
              </w:rPr>
            </w:pPr>
            <w:r>
              <w:rPr>
                <w:rFonts w:ascii="Times New Roman" w:cs="Times New Roman" w:eastAsia="Times New Roman" w:hAnsi="Times New Roman"/>
                <w:sz w:val="20"/>
                <w:szCs w:val="20"/>
                <w:color w:val="auto"/>
              </w:rPr>
              <w:t>441,903</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377,617</w:t>
            </w:r>
          </w:p>
        </w:tc>
        <w:tc>
          <w:tcPr>
            <w:tcW w:w="10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910,991</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737,181</w:t>
            </w:r>
          </w:p>
        </w:tc>
        <w:tc>
          <w:tcPr>
            <w:tcW w:w="20" w:type="dxa"/>
            <w:vAlign w:val="bottom"/>
          </w:tcPr>
          <w:p>
            <w:pPr>
              <w:spacing w:after="0"/>
              <w:rPr>
                <w:sz w:val="18"/>
                <w:szCs w:val="18"/>
                <w:color w:val="auto"/>
              </w:rPr>
            </w:pPr>
          </w:p>
        </w:tc>
      </w:tr>
      <w:tr>
        <w:trPr>
          <w:trHeight w:val="256"/>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Delaware </w:t>
            </w:r>
            <w:r>
              <w:rPr>
                <w:rFonts w:ascii="Times New Roman" w:cs="Times New Roman" w:eastAsia="Times New Roman" w:hAnsi="Times New Roman"/>
                <w:sz w:val="20"/>
                <w:szCs w:val="20"/>
                <w:color w:val="B3B3B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67,820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55,398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161,981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123,218</w:t>
            </w:r>
          </w:p>
        </w:tc>
        <w:tc>
          <w:tcPr>
            <w:tcW w:w="20" w:type="dxa"/>
            <w:vAlign w:val="bottom"/>
          </w:tcPr>
          <w:p>
            <w:pPr>
              <w:spacing w:after="0"/>
              <w:rPr>
                <w:sz w:val="22"/>
                <w:szCs w:val="22"/>
                <w:color w:val="auto"/>
              </w:rPr>
            </w:pPr>
          </w:p>
        </w:tc>
      </w:tr>
      <w:tr>
        <w:trPr>
          <w:trHeight w:val="272"/>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B3B3B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20" w:type="dxa"/>
            <w:vAlign w:val="bottom"/>
          </w:tcPr>
          <w:p>
            <w:pPr>
              <w:spacing w:after="0"/>
              <w:rPr>
                <w:sz w:val="23"/>
                <w:szCs w:val="23"/>
                <w:color w:val="auto"/>
              </w:rPr>
            </w:pPr>
          </w:p>
        </w:tc>
      </w:tr>
      <w:tr>
        <w:trPr>
          <w:trHeight w:val="209"/>
        </w:trPr>
        <w:tc>
          <w:tcPr>
            <w:tcW w:w="3540" w:type="dxa"/>
            <w:vAlign w:val="bottom"/>
          </w:tcPr>
          <w:p>
            <w:pPr>
              <w:ind w:left="360"/>
              <w:spacing w:after="0" w:line="208"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583,040</w:t>
            </w: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427,384</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7"/>
              <w:spacing w:after="0" w:line="208" w:lineRule="exact"/>
              <w:rPr>
                <w:sz w:val="20"/>
                <w:szCs w:val="20"/>
                <w:color w:val="auto"/>
              </w:rPr>
            </w:pPr>
            <w:r>
              <w:rPr>
                <w:rFonts w:ascii="Times New Roman" w:cs="Times New Roman" w:eastAsia="Times New Roman" w:hAnsi="Times New Roman"/>
                <w:sz w:val="20"/>
                <w:szCs w:val="20"/>
                <w:color w:val="auto"/>
              </w:rPr>
              <w:t>494,657</w:t>
            </w: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433,335</w:t>
            </w: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1,077,697</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
              <w:spacing w:after="0" w:line="208" w:lineRule="exact"/>
              <w:rPr>
                <w:sz w:val="20"/>
                <w:szCs w:val="20"/>
                <w:color w:val="auto"/>
              </w:rPr>
            </w:pPr>
            <w:r>
              <w:rPr>
                <w:rFonts w:ascii="Times New Roman" w:cs="Times New Roman" w:eastAsia="Times New Roman" w:hAnsi="Times New Roman"/>
                <w:sz w:val="20"/>
                <w:szCs w:val="20"/>
                <w:color w:val="auto"/>
              </w:rPr>
              <w:t>860,719</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2359025</wp:posOffset>
                </wp:positionH>
                <wp:positionV relativeFrom="paragraph">
                  <wp:posOffset>23495</wp:posOffset>
                </wp:positionV>
                <wp:extent cx="6381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75pt,1.85pt" to="236pt,1.85pt" o:allowincell="f" strokecolor="#000000" strokeweight="1pt"/>
            </w:pict>
          </mc:Fallback>
        </mc:AlternateContent>
      </w:r>
    </w:p>
    <w:p>
      <w:pPr>
        <w:spacing w:after="0" w:line="20" w:lineRule="exact"/>
        <w:rPr>
          <w:sz w:val="20"/>
          <w:szCs w:val="20"/>
          <w:color w:val="auto"/>
        </w:rPr>
      </w:pPr>
    </w:p>
    <w:p>
      <w:pPr>
        <w:jc w:val="both"/>
        <w:ind w:left="460" w:right="60" w:hanging="360"/>
        <w:spacing w:after="0" w:line="24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3" w:lineRule="exact"/>
        <w:rPr>
          <w:rFonts w:ascii="Times New Roman" w:cs="Times New Roman" w:eastAsia="Times New Roman" w:hAnsi="Times New Roman"/>
          <w:sz w:val="20"/>
          <w:szCs w:val="20"/>
          <w:color w:val="auto"/>
        </w:rPr>
      </w:pPr>
    </w:p>
    <w:p>
      <w:pPr>
        <w:ind w:left="460" w:hanging="360"/>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include Viper’s mineral interests but does include leasehold acres that we own underlying our mineral interests.</w:t>
      </w: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Undeveloped Acreage Expirations</w:t>
      </w:r>
    </w:p>
    <w:p>
      <w:pPr>
        <w:spacing w:after="0" w:line="251" w:lineRule="exact"/>
        <w:rPr>
          <w:sz w:val="20"/>
          <w:szCs w:val="20"/>
          <w:color w:val="auto"/>
        </w:rPr>
      </w:pPr>
    </w:p>
    <w:p>
      <w:pPr>
        <w:jc w:val="both"/>
        <w:ind w:left="100" w:right="60" w:firstLine="720"/>
        <w:spacing w:after="0" w:line="269" w:lineRule="auto"/>
        <w:rPr>
          <w:sz w:val="20"/>
          <w:szCs w:val="20"/>
          <w:color w:val="auto"/>
        </w:rPr>
      </w:pPr>
      <w:r>
        <w:rPr>
          <w:rFonts w:ascii="Times New Roman" w:cs="Times New Roman" w:eastAsia="Times New Roman" w:hAnsi="Times New Roman"/>
          <w:sz w:val="20"/>
          <w:szCs w:val="20"/>
          <w:color w:val="auto"/>
        </w:rPr>
        <w:t>As of December 31, 2024, the following gross and net undeveloped acres are set to expire over the next five years based on their contractual lease maturities unless (i) production is established within the spacing units covering the acreage or (ii) the lease is renewed or extended under continuous drilling provisions prior to the contractual expiration dates.</w:t>
      </w: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Acres Expiring</w:t>
            </w: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6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Midland</w:t>
            </w:r>
          </w:p>
        </w:tc>
        <w:tc>
          <w:tcPr>
            <w:tcW w:w="9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tcPr>
          <w:p>
            <w:pPr>
              <w:jc w:val="right"/>
              <w:ind w:right="827"/>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40" w:type="dxa"/>
            <w:vAlign w:val="bottom"/>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Pr>
          <w:p>
            <w:pPr>
              <w:spacing w:after="0"/>
              <w:rPr>
                <w:sz w:val="22"/>
                <w:szCs w:val="22"/>
                <w:color w:val="auto"/>
              </w:rPr>
            </w:pP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20" w:type="dxa"/>
            <w:vAlign w:val="bottom"/>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gridSpan w:val="2"/>
          </w:tcPr>
          <w:p>
            <w:pPr>
              <w:spacing w:after="0"/>
              <w:rPr>
                <w:sz w:val="22"/>
                <w:szCs w:val="22"/>
                <w:color w:val="auto"/>
              </w:rPr>
            </w:pPr>
          </w:p>
        </w:tc>
        <w:tc>
          <w:tcPr>
            <w:tcW w:w="200" w:type="dxa"/>
            <w:vAlign w:val="bottom"/>
            <w:gridSpan w:val="2"/>
          </w:tcPr>
          <w:p>
            <w:pPr>
              <w:spacing w:after="0"/>
              <w:rPr>
                <w:sz w:val="22"/>
                <w:szCs w:val="22"/>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6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B3B3B3"/>
                <w:w w:val="95"/>
              </w:rPr>
              <w:t>...............................................</w:t>
            </w:r>
            <w:r>
              <w:rPr>
                <w:rFonts w:ascii="Times New Roman" w:cs="Times New Roman" w:eastAsia="Times New Roman" w:hAnsi="Times New Roman"/>
                <w:sz w:val="20"/>
                <w:szCs w:val="20"/>
                <w:color w:val="000000"/>
                <w:w w:val="95"/>
              </w:rPr>
              <w:t>2025</w:t>
            </w:r>
          </w:p>
        </w:tc>
        <w:tc>
          <w:tcPr>
            <w:tcW w:w="20" w:type="dxa"/>
            <w:vAlign w:val="bottom"/>
          </w:tcPr>
          <w:p>
            <w:pPr>
              <w:spacing w:after="0"/>
              <w:rPr>
                <w:sz w:val="17"/>
                <w:szCs w:val="17"/>
                <w:color w:val="auto"/>
              </w:rPr>
            </w:pPr>
          </w:p>
        </w:tc>
        <w:tc>
          <w:tcPr>
            <w:tcW w:w="1780" w:type="dxa"/>
            <w:vAlign w:val="bottom"/>
            <w:tcBorders>
              <w:top w:val="single" w:sz="8" w:color="auto"/>
            </w:tcBorders>
          </w:tcPr>
          <w:p>
            <w:pPr>
              <w:jc w:val="right"/>
              <w:ind w:right="427"/>
              <w:spacing w:after="0" w:line="206" w:lineRule="exact"/>
              <w:rPr>
                <w:sz w:val="20"/>
                <w:szCs w:val="20"/>
                <w:color w:val="auto"/>
              </w:rPr>
            </w:pPr>
            <w:r>
              <w:rPr>
                <w:rFonts w:ascii="Times New Roman" w:cs="Times New Roman" w:eastAsia="Times New Roman" w:hAnsi="Times New Roman"/>
                <w:sz w:val="20"/>
                <w:szCs w:val="20"/>
                <w:color w:val="auto"/>
              </w:rPr>
              <w:t>5,515</w:t>
            </w:r>
          </w:p>
        </w:tc>
        <w:tc>
          <w:tcPr>
            <w:tcW w:w="9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4,290</w:t>
            </w: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jc w:val="right"/>
              <w:ind w:right="340"/>
              <w:spacing w:after="0" w:line="206"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5,515</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4,290</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2026</w:t>
            </w:r>
            <w:r>
              <w:rPr>
                <w:rFonts w:ascii="Times New Roman" w:cs="Times New Roman" w:eastAsia="Times New Roman" w:hAnsi="Times New Roman"/>
                <w:sz w:val="20"/>
                <w:szCs w:val="20"/>
                <w:color w:val="B3B3B3"/>
                <w:w w:val="95"/>
              </w:rPr>
              <w:t>...............................................</w:t>
            </w:r>
          </w:p>
        </w:tc>
        <w:tc>
          <w:tcPr>
            <w:tcW w:w="1800" w:type="dxa"/>
            <w:vAlign w:val="bottom"/>
            <w:gridSpan w:val="2"/>
          </w:tcPr>
          <w:p>
            <w:pPr>
              <w:jc w:val="right"/>
              <w:ind w:right="427"/>
              <w:spacing w:after="0"/>
              <w:rPr>
                <w:sz w:val="20"/>
                <w:szCs w:val="20"/>
                <w:color w:val="auto"/>
              </w:rPr>
            </w:pPr>
            <w:r>
              <w:rPr>
                <w:rFonts w:ascii="Times New Roman" w:cs="Times New Roman" w:eastAsia="Times New Roman" w:hAnsi="Times New Roman"/>
                <w:sz w:val="20"/>
                <w:szCs w:val="20"/>
                <w:color w:val="auto"/>
              </w:rPr>
              <w:t>8,159</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2027</w:t>
            </w:r>
            <w:r>
              <w:rPr>
                <w:rFonts w:ascii="Times New Roman" w:cs="Times New Roman" w:eastAsia="Times New Roman" w:hAnsi="Times New Roman"/>
                <w:sz w:val="20"/>
                <w:szCs w:val="20"/>
                <w:color w:val="B3B3B3"/>
                <w:w w:val="95"/>
              </w:rPr>
              <w:t>...............................................</w:t>
            </w:r>
          </w:p>
        </w:tc>
        <w:tc>
          <w:tcPr>
            <w:tcW w:w="1800" w:type="dxa"/>
            <w:vAlign w:val="bottom"/>
            <w:gridSpan w:val="2"/>
          </w:tcPr>
          <w:p>
            <w:pPr>
              <w:jc w:val="right"/>
              <w:ind w:right="427"/>
              <w:spacing w:after="0"/>
              <w:rPr>
                <w:sz w:val="20"/>
                <w:szCs w:val="20"/>
                <w:color w:val="auto"/>
              </w:rPr>
            </w:pPr>
            <w:r>
              <w:rPr>
                <w:rFonts w:ascii="Times New Roman" w:cs="Times New Roman" w:eastAsia="Times New Roman" w:hAnsi="Times New Roman"/>
                <w:sz w:val="20"/>
                <w:szCs w:val="20"/>
                <w:color w:val="auto"/>
              </w:rPr>
              <w:t>9,171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2028</w:t>
            </w:r>
            <w:r>
              <w:rPr>
                <w:rFonts w:ascii="Times New Roman" w:cs="Times New Roman" w:eastAsia="Times New Roman" w:hAnsi="Times New Roman"/>
                <w:sz w:val="20"/>
                <w:szCs w:val="20"/>
                <w:color w:val="B3B3B3"/>
                <w:w w:val="95"/>
              </w:rPr>
              <w:t>...............................................</w:t>
            </w:r>
          </w:p>
        </w:tc>
        <w:tc>
          <w:tcPr>
            <w:tcW w:w="1800" w:type="dxa"/>
            <w:vAlign w:val="bottom"/>
            <w:gridSpan w:val="2"/>
          </w:tcPr>
          <w:p>
            <w:pPr>
              <w:jc w:val="right"/>
              <w:ind w:right="427"/>
              <w:spacing w:after="0"/>
              <w:rPr>
                <w:sz w:val="20"/>
                <w:szCs w:val="20"/>
                <w:color w:val="auto"/>
              </w:rPr>
            </w:pPr>
            <w:r>
              <w:rPr>
                <w:rFonts w:ascii="Times New Roman" w:cs="Times New Roman" w:eastAsia="Times New Roman" w:hAnsi="Times New Roman"/>
                <w:sz w:val="20"/>
                <w:szCs w:val="20"/>
                <w:color w:val="auto"/>
              </w:rPr>
              <w:t>6,004</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4,918</w:t>
            </w:r>
          </w:p>
        </w:tc>
        <w:tc>
          <w:tcPr>
            <w:tcW w:w="60" w:type="dxa"/>
            <w:vAlign w:val="bottom"/>
          </w:tcPr>
          <w:p>
            <w:pPr>
              <w:spacing w:after="0"/>
              <w:rPr>
                <w:sz w:val="22"/>
                <w:szCs w:val="22"/>
                <w:color w:val="auto"/>
              </w:rPr>
            </w:pPr>
          </w:p>
        </w:tc>
        <w:tc>
          <w:tcPr>
            <w:tcW w:w="146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5"/>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2029</w:t>
            </w:r>
            <w:r>
              <w:rPr>
                <w:rFonts w:ascii="Times New Roman" w:cs="Times New Roman" w:eastAsia="Times New Roman" w:hAnsi="Times New Roman"/>
                <w:sz w:val="20"/>
                <w:szCs w:val="20"/>
                <w:color w:val="B3B3B3"/>
                <w:w w:val="95"/>
              </w:rPr>
              <w:t>...............................................</w:t>
            </w:r>
          </w:p>
        </w:tc>
        <w:tc>
          <w:tcPr>
            <w:tcW w:w="1800" w:type="dxa"/>
            <w:vAlign w:val="bottom"/>
            <w:gridSpan w:val="2"/>
          </w:tcPr>
          <w:p>
            <w:pPr>
              <w:jc w:val="right"/>
              <w:ind w:right="427"/>
              <w:spacing w:after="0"/>
              <w:rPr>
                <w:sz w:val="20"/>
                <w:szCs w:val="20"/>
                <w:color w:val="auto"/>
              </w:rPr>
            </w:pPr>
            <w:r>
              <w:rPr>
                <w:rFonts w:ascii="Times New Roman" w:cs="Times New Roman" w:eastAsia="Times New Roman" w:hAnsi="Times New Roman"/>
                <w:sz w:val="20"/>
                <w:szCs w:val="20"/>
                <w:color w:val="auto"/>
              </w:rPr>
              <w:t>337</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60" w:type="dxa"/>
            <w:vAlign w:val="bottom"/>
          </w:tcPr>
          <w:p>
            <w:pPr>
              <w:spacing w:after="0"/>
              <w:rPr>
                <w:sz w:val="21"/>
                <w:szCs w:val="21"/>
                <w:color w:val="auto"/>
              </w:rPr>
            </w:pPr>
          </w:p>
        </w:tc>
        <w:tc>
          <w:tcPr>
            <w:tcW w:w="146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5"/>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680" w:type="dxa"/>
            <w:vAlign w:val="bottom"/>
            <w:vMerge w:val="restart"/>
          </w:tcPr>
          <w:p>
            <w:pPr>
              <w:jc w:val="right"/>
              <w:ind w:right="1963"/>
              <w:spacing w:after="0" w:line="208"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vMerge w:val="restart"/>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20" w:type="dxa"/>
            <w:vAlign w:val="bottom"/>
            <w:tcBorders>
              <w:top w:val="single" w:sz="8" w:color="auto"/>
              <w:bottom w:val="single" w:sz="8" w:color="auto"/>
            </w:tcBorders>
            <w:vMerge w:val="restart"/>
          </w:tcPr>
          <w:p>
            <w:pPr>
              <w:jc w:val="right"/>
              <w:spacing w:after="0" w:line="208" w:lineRule="exact"/>
              <w:rPr>
                <w:sz w:val="20"/>
                <w:szCs w:val="20"/>
                <w:color w:val="auto"/>
              </w:rPr>
            </w:pPr>
            <w:r>
              <w:rPr>
                <w:rFonts w:ascii="Times New Roman" w:cs="Times New Roman" w:eastAsia="Times New Roman" w:hAnsi="Times New Roman"/>
                <w:sz w:val="20"/>
                <w:szCs w:val="20"/>
                <w:color w:val="auto"/>
              </w:rPr>
              <w:t>476</w:t>
            </w: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bottom w:val="single" w:sz="8" w:color="auto"/>
            </w:tcBorders>
            <w:vMerge w:val="restart"/>
          </w:tcPr>
          <w:p>
            <w:pPr>
              <w:jc w:val="right"/>
              <w:spacing w:after="0" w:line="208" w:lineRule="exact"/>
              <w:rPr>
                <w:sz w:val="20"/>
                <w:szCs w:val="20"/>
                <w:color w:val="auto"/>
              </w:rPr>
            </w:pPr>
            <w:r>
              <w:rPr>
                <w:rFonts w:ascii="Times New Roman" w:cs="Times New Roman" w:eastAsia="Times New Roman" w:hAnsi="Times New Roman"/>
                <w:sz w:val="20"/>
                <w:szCs w:val="20"/>
                <w:color w:val="auto"/>
              </w:rPr>
              <w:t>29,764</w:t>
            </w:r>
          </w:p>
        </w:tc>
        <w:tc>
          <w:tcPr>
            <w:tcW w:w="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80" w:type="dxa"/>
            <w:vAlign w:val="bottom"/>
            <w:tcBorders>
              <w:top w:val="single" w:sz="8" w:color="auto"/>
              <w:bottom w:val="single" w:sz="8" w:color="auto"/>
            </w:tcBorders>
            <w:vMerge w:val="restart"/>
          </w:tcPr>
          <w:p>
            <w:pPr>
              <w:jc w:val="right"/>
              <w:spacing w:after="0" w:line="208" w:lineRule="exact"/>
              <w:rPr>
                <w:sz w:val="20"/>
                <w:szCs w:val="20"/>
                <w:color w:val="auto"/>
              </w:rPr>
            </w:pPr>
            <w:r>
              <w:rPr>
                <w:rFonts w:ascii="Times New Roman" w:cs="Times New Roman" w:eastAsia="Times New Roman" w:hAnsi="Times New Roman"/>
                <w:sz w:val="20"/>
                <w:szCs w:val="20"/>
                <w:color w:val="auto"/>
              </w:rPr>
              <w:t>23,309</w:t>
            </w: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80" w:type="dxa"/>
            <w:vAlign w:val="bottom"/>
            <w:vMerge w:val="continue"/>
          </w:tcPr>
          <w:p>
            <w:pPr>
              <w:jc w:val="right"/>
              <w:spacing w:after="0" w:line="153" w:lineRule="exact"/>
              <w:rPr>
                <w:sz w:val="20"/>
                <w:szCs w:val="20"/>
                <w:color w:val="auto"/>
              </w:rPr>
            </w:pPr>
            <w:r>
              <w:rPr>
                <w:rFonts w:ascii="Times New Roman" w:cs="Times New Roman" w:eastAsia="Times New Roman" w:hAnsi="Times New Roman"/>
                <w:sz w:val="17"/>
                <w:szCs w:val="17"/>
                <w:color w:val="B3B3B3"/>
              </w:rPr>
              <w:t>..........................................</w:t>
            </w:r>
          </w:p>
        </w:tc>
        <w:tc>
          <w:tcPr>
            <w:tcW w:w="20" w:type="dxa"/>
            <w:vAlign w:val="bottom"/>
            <w:vMerge w:val="continue"/>
          </w:tcPr>
          <w:p>
            <w:pPr>
              <w:spacing w:after="0"/>
              <w:rPr>
                <w:sz w:val="14"/>
                <w:szCs w:val="14"/>
                <w:color w:val="auto"/>
              </w:rPr>
            </w:pPr>
          </w:p>
        </w:tc>
        <w:tc>
          <w:tcPr>
            <w:tcW w:w="1780" w:type="dxa"/>
            <w:vAlign w:val="bottom"/>
          </w:tcPr>
          <w:p>
            <w:pPr>
              <w:jc w:val="right"/>
              <w:ind w:right="427"/>
              <w:spacing w:after="0" w:line="165" w:lineRule="exact"/>
              <w:rPr>
                <w:sz w:val="20"/>
                <w:szCs w:val="20"/>
                <w:color w:val="auto"/>
              </w:rPr>
            </w:pPr>
            <w:r>
              <w:rPr>
                <w:rFonts w:ascii="Times New Roman" w:cs="Times New Roman" w:eastAsia="Times New Roman" w:hAnsi="Times New Roman"/>
                <w:sz w:val="19"/>
                <w:szCs w:val="19"/>
                <w:color w:val="auto"/>
              </w:rPr>
              <w:t>29,186</w:t>
            </w:r>
          </w:p>
        </w:tc>
        <w:tc>
          <w:tcPr>
            <w:tcW w:w="940" w:type="dxa"/>
            <w:vAlign w:val="bottom"/>
          </w:tcPr>
          <w:p>
            <w:pPr>
              <w:jc w:val="right"/>
              <w:spacing w:after="0" w:line="165" w:lineRule="exact"/>
              <w:rPr>
                <w:sz w:val="20"/>
                <w:szCs w:val="20"/>
                <w:color w:val="auto"/>
              </w:rPr>
            </w:pPr>
            <w:r>
              <w:rPr>
                <w:rFonts w:ascii="Times New Roman" w:cs="Times New Roman" w:eastAsia="Times New Roman" w:hAnsi="Times New Roman"/>
                <w:sz w:val="19"/>
                <w:szCs w:val="19"/>
                <w:color w:val="auto"/>
              </w:rPr>
              <w:t>22,833</w:t>
            </w:r>
          </w:p>
        </w:tc>
        <w:tc>
          <w:tcPr>
            <w:tcW w:w="11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9"/>
                <w:szCs w:val="19"/>
                <w:color w:val="auto"/>
              </w:rPr>
              <w:t>578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Title to Properties</w:t>
      </w:r>
    </w:p>
    <w:p>
      <w:pPr>
        <w:spacing w:after="0" w:line="253" w:lineRule="exact"/>
        <w:rPr>
          <w:sz w:val="20"/>
          <w:szCs w:val="20"/>
          <w:color w:val="auto"/>
        </w:rPr>
      </w:pPr>
    </w:p>
    <w:p>
      <w:pPr>
        <w:jc w:val="both"/>
        <w:ind w:left="100" w:right="60" w:firstLine="720"/>
        <w:spacing w:after="0" w:line="252" w:lineRule="auto"/>
        <w:rPr>
          <w:sz w:val="20"/>
          <w:szCs w:val="20"/>
          <w:color w:val="auto"/>
        </w:rPr>
      </w:pPr>
      <w:r>
        <w:rPr>
          <w:rFonts w:ascii="Times New Roman" w:cs="Times New Roman" w:eastAsia="Times New Roman" w:hAnsi="Times New Roman"/>
          <w:sz w:val="20"/>
          <w:szCs w:val="20"/>
          <w:color w:val="auto"/>
        </w:rPr>
        <w:t>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impacting the development or operation of a producing property, we are typically responsible for curing any title defects at our expense. We generally will not commence drilling operations on a property until we have cured any material title defects.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Marketing and Customers</w:t>
      </w:r>
    </w:p>
    <w:p>
      <w:pPr>
        <w:spacing w:after="0" w:line="256" w:lineRule="exact"/>
        <w:rPr>
          <w:sz w:val="20"/>
          <w:szCs w:val="20"/>
          <w:color w:val="auto"/>
        </w:rPr>
      </w:pPr>
    </w:p>
    <w:p>
      <w:pPr>
        <w:jc w:val="both"/>
        <w:ind w:left="100" w:right="60" w:firstLine="720"/>
        <w:spacing w:after="0" w:line="255" w:lineRule="auto"/>
        <w:rPr>
          <w:sz w:val="20"/>
          <w:szCs w:val="20"/>
          <w:color w:val="auto"/>
        </w:rPr>
      </w:pPr>
      <w:r>
        <w:rPr>
          <w:rFonts w:ascii="Times New Roman" w:cs="Times New Roman" w:eastAsia="Times New Roman" w:hAnsi="Times New Roman"/>
          <w:sz w:val="20"/>
          <w:szCs w:val="20"/>
          <w:color w:val="auto"/>
        </w:rPr>
        <w:t>We typically sell production to a relatively small number of customers, as is customary in the exploration, development and production business. For the years ended December 31, 2024 and 2023, four purchasers each accounted for more than 10% of our revenue. For the year ended December 31, 2022, two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3—Revenue from Contracts with Customers in Item 8. Financial Statements and Supplementary Data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40"/>
          </w:cols>
          <w:pgMar w:left="980" w:top="205" w:right="1020"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Delivery Commitments</w:t>
      </w:r>
    </w:p>
    <w:p>
      <w:pPr>
        <w:spacing w:after="0" w:line="25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Certain of our firm sales agreements include delivery commitments that specify the delivery of a fixed and determinable quantity of oil. We expect our production and reserves will continue to be the primary means of fulfilling our future commitments. However, these contracts provide the options of delivering third-party volumes or paying a monetary shortfall penalty if production is inadequate to satisfy our commitment. In 2023, we began purchasing third-party volumes to fulfill a certain delivery commitment to a pipeline in the Permian Basin. For additional information regarding commitments, see Note 16—Commitments and Contingencies in Item 8. Financial Statements and Supplementary Data of this report.</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oil and natural gas industry is intensely competitive, and we compete with other companies that may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and fuel oils.</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Oil and Natural Gas Leases</w:t>
      </w:r>
    </w:p>
    <w:p>
      <w:pPr>
        <w:spacing w:after="0" w:line="25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Seasonal Nature of Business</w:t>
      </w:r>
    </w:p>
    <w:p>
      <w:pPr>
        <w:spacing w:after="0" w:line="25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5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Oil and natural gas operations such as ours are subject to various types of legislation, regulation and other legal requirements.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197"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 Matters. </w:t>
      </w:r>
      <w:r>
        <w:rPr>
          <w:rFonts w:ascii="Times New Roman" w:cs="Times New Roman" w:eastAsia="Times New Roman" w:hAnsi="Times New Roman"/>
          <w:sz w:val="20"/>
          <w:szCs w:val="20"/>
          <w:color w:val="auto"/>
        </w:rPr>
        <w:t>Our oil and natural gas exploration, development and production operations are 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w:t>
      </w: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180"/>
          </w:cols>
          <w:pgMar w:left="980" w:top="205" w:right="108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20"/>
          <w:szCs w:val="20"/>
          <w:color w:val="auto"/>
        </w:rPr>
        <w:t>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205"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Waste Handling. </w:t>
      </w:r>
      <w:r>
        <w:rPr>
          <w:rFonts w:ascii="Times New Roman" w:cs="Times New Roman" w:eastAsia="Times New Roman" w:hAnsi="Times New Roman"/>
          <w:sz w:val="20"/>
          <w:szCs w:val="20"/>
          <w:color w:val="auto"/>
        </w:rPr>
        <w:t>The Resource Conservation and Recovery Act, or the RCRA, as amended, and comparable state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 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were not necessary at that time. Any changes in such laws and regulations could have a material adverse effect on our capital expenditures and operating expenses.</w:t>
      </w:r>
    </w:p>
    <w:p>
      <w:pPr>
        <w:spacing w:after="0" w:line="226"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204"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Remediation of Hazardous Substances. </w:t>
      </w:r>
      <w:r>
        <w:rPr>
          <w:rFonts w:ascii="Times New Roman" w:cs="Times New Roman" w:eastAsia="Times New Roman" w:hAnsi="Times New Roman"/>
          <w:sz w:val="20"/>
          <w:szCs w:val="20"/>
          <w:color w:val="auto"/>
        </w:rPr>
        <w:t>The Comprehensive Environmental Response, Compensation and Liability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13"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Water Discharges. </w:t>
      </w:r>
      <w:r>
        <w:rPr>
          <w:rFonts w:ascii="Times New Roman" w:cs="Times New Roman" w:eastAsia="Times New Roman" w:hAnsi="Times New Roman"/>
          <w:sz w:val="20"/>
          <w:szCs w:val="20"/>
          <w:color w:val="auto"/>
        </w:rPr>
        <w:t>The Federal Water Pollution Control Act of 1972, as amended, also known as the “Clean Water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9" w:lineRule="exact"/>
        <w:rPr>
          <w:sz w:val="20"/>
          <w:szCs w:val="20"/>
          <w:color w:val="auto"/>
        </w:rPr>
      </w:pPr>
    </w:p>
    <w:p>
      <w:pPr>
        <w:jc w:val="both"/>
        <w:ind w:left="100" w:firstLine="720"/>
        <w:spacing w:after="0" w:line="263" w:lineRule="auto"/>
        <w:rPr>
          <w:sz w:val="20"/>
          <w:szCs w:val="20"/>
          <w:color w:val="auto"/>
        </w:rPr>
      </w:pPr>
      <w:r>
        <w:rPr>
          <w:rFonts w:ascii="Times New Roman" w:cs="Times New Roman" w:eastAsia="Times New Roman" w:hAnsi="Times New Roman"/>
          <w:sz w:val="20"/>
          <w:szCs w:val="20"/>
          <w:color w:val="auto"/>
        </w:rPr>
        <w:t>The scope of waters regulated under the CWA has fluctuated in recent years. On January 18, 2023, the EPA and the U.S. Army Corps of Engineers, or the Corps, jointly promulgated final rules expanding the scope of waters protected under the CWA. However, on May 25, 2023, the United States Supreme Court issued an opinion substantially narrowing the scope of “waters of the United States” protected by the CWA. On September 8, 2023, the EPA and the Corps published a final rule</w:t>
      </w: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180"/>
          </w:cols>
          <w:pgMar w:left="980" w:top="205" w:right="1080"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conforming their regulations to the decision. These recent actions have provided some clarity. However, to the extent the EPA and the Corps broadly interpret their jurisdiction and expand the range of properties subject to the CWA’s jurisdiction, we or third -party operators could face increased costs and delays with respect to obtaining permits for dredge and fill activities in wetland areas.</w:t>
      </w:r>
    </w:p>
    <w:p>
      <w:pPr>
        <w:spacing w:after="0" w:line="19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08"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20"/>
          <w:szCs w:val="20"/>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05"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Non-compliance with the CWA or the OPA may result in substantial administrative, civil and criminal penalties, as well as injunctive obligations. We believe we are in material compliance with the requirements of each of these laws.</w:t>
      </w:r>
    </w:p>
    <w:p>
      <w:pPr>
        <w:spacing w:after="0" w:line="166"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Air Emissions. </w:t>
      </w:r>
      <w:r>
        <w:rPr>
          <w:rFonts w:ascii="Times New Roman" w:cs="Times New Roman" w:eastAsia="Times New Roman" w:hAnsi="Times New Roman"/>
          <w:sz w:val="20"/>
          <w:szCs w:val="20"/>
          <w:color w:val="auto"/>
        </w:rPr>
        <w:t>The federal Clean Air Act, or the CAA, as amended, and comparable state laws and regulations,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23"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Climate Change. </w:t>
      </w:r>
      <w:r>
        <w:rPr>
          <w:rFonts w:ascii="Times New Roman" w:cs="Times New Roman" w:eastAsia="Times New Roman" w:hAnsi="Times New Roman"/>
          <w:sz w:val="20"/>
          <w:szCs w:val="20"/>
          <w:color w:val="auto"/>
        </w:rPr>
        <w:t>In recent years, federal, state and local governments have taken steps to reduce emissions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greenhouse gases. For example, the Infrastructure Investment and Jobs Act of 2021 and the Inflation Reduction Act of 2022, or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 model year 2027. These incentives and regulations could accelerate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However, on January 20, 2025, President Trump signed multiple executive orders seeking to reverse many of these climate rules and incentives, including pausing the disbursement of funds under the IRA and eliminating the “electric vehicle mandate.” Despite this shift, numerous proposals have been made and are likely to continue to be made at the international, regional and state levels of government that are intended to limit emissions of greenhouse gases by enforceable requirements and voluntary measures.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180"/>
          </w:cols>
          <w:pgMar w:left="980" w:top="205" w:right="1080"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On November 18, 2024, the EPA published a final rule on the methane emissions charge, which became effective on January 17, 2025. The methane emissions charge must be paid no later than August 31 of the year following the reporting period and starts at $900 per ton of methane in 2024, increases to $1,200 in 2025 and will be set at $1,500 for 2026 and each year after. Calculation of the fee is based on methane emissions that exceed certain thresholds established in the IRA. The methane emissions charge could increase our operating costs, which could adversely impact our business, financial condition and cash flows.</w:t>
      </w:r>
    </w:p>
    <w:p>
      <w:pPr>
        <w:spacing w:after="0" w:line="204" w:lineRule="exact"/>
        <w:rPr>
          <w:sz w:val="20"/>
          <w:szCs w:val="20"/>
          <w:color w:val="auto"/>
        </w:rPr>
      </w:pPr>
    </w:p>
    <w:p>
      <w:pPr>
        <w:jc w:val="both"/>
        <w:ind w:left="100" w:firstLine="720"/>
        <w:spacing w:after="0" w:line="257" w:lineRule="auto"/>
        <w:rPr>
          <w:sz w:val="20"/>
          <w:szCs w:val="20"/>
          <w:color w:val="auto"/>
        </w:rPr>
      </w:pPr>
      <w:r>
        <w:rPr>
          <w:rFonts w:ascii="Times New Roman" w:cs="Times New Roman" w:eastAsia="Times New Roman" w:hAnsi="Times New Roman"/>
          <w:sz w:val="20"/>
          <w:szCs w:val="20"/>
          <w:color w:val="auto"/>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0"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Paris Agreement went into effect on November 4, 2016. On April 21, 2021, the United States announced that it was setting an economy -wide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from 2020 levels. More than 150 countries have now signed on to this pledge. At the 28th Conference of the Parties in the United Arab Emirates, world leaders agreed to transition away from fossil fuels in a just, orderly and equitable manner and to triple renewables and double energy efficiency globally by 2030. Additionally, the Biden Administration announced a new climate target for the United States on December 19, 2024, which includes a 61 to 66 percent reduction in economy-wide net greenhouse gas emissions by 2035, as compared to 2005 levels. Furthermore, many state and local leaders have stated their intent to intensify efforts to support the international climate commitments. However, on January 20, 2025, President Trump issued an executive order directing the United States Ambassador to the United Nations to immediately withdraw from the Paris Agreement, and on January 27, 2025, the United States’ Acting Ambassador to the United Nations submitted a notification of withdrawal from the Paris Agreement, which is set to become effective one year after notification on January 27, 2026.</w:t>
      </w:r>
    </w:p>
    <w:p>
      <w:pPr>
        <w:spacing w:after="0" w:line="222"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97"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Regulation of Hydraulic Fracturing. </w:t>
      </w:r>
      <w:r>
        <w:rPr>
          <w:rFonts w:ascii="Times New Roman" w:cs="Times New Roman" w:eastAsia="Times New Roman" w:hAnsi="Times New Roman"/>
          <w:sz w:val="20"/>
          <w:szCs w:val="20"/>
          <w:color w:val="auto"/>
        </w:rPr>
        <w:t>Hydraulic fracturing is an important common practice that is used to stimulate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1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04"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180"/>
          </w:cols>
          <w:pgMar w:left="980" w:top="205" w:right="1080"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0" w:lineRule="auto"/>
        <w:rPr>
          <w:sz w:val="20"/>
          <w:szCs w:val="20"/>
          <w:color w:val="auto"/>
        </w:rPr>
      </w:pPr>
      <w:r>
        <w:rPr>
          <w:rFonts w:ascii="Times New Roman" w:cs="Times New Roman" w:eastAsia="Times New Roman" w:hAnsi="Times New Roman"/>
          <w:sz w:val="20"/>
          <w:szCs w:val="20"/>
          <w:color w:val="auto"/>
        </w:rPr>
        <w:t>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March 8, 2024, the EPA published a final rule to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which may increase our compliance or operating costs.</w:t>
      </w:r>
    </w:p>
    <w:p>
      <w:pPr>
        <w:spacing w:after="0" w:line="23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 induced seismic events. Other governmental agencies, including the U.S. Department of Energy and the Department of the Interior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209" w:lineRule="exact"/>
        <w:rPr>
          <w:sz w:val="20"/>
          <w:szCs w:val="20"/>
          <w:color w:val="auto"/>
        </w:rPr>
      </w:pPr>
    </w:p>
    <w:p>
      <w:pPr>
        <w:jc w:val="both"/>
        <w:ind w:left="100" w:firstLine="720"/>
        <w:spacing w:after="0" w:line="264" w:lineRule="auto"/>
        <w:rPr>
          <w:sz w:val="20"/>
          <w:szCs w:val="20"/>
          <w:color w:val="auto"/>
        </w:rPr>
      </w:pPr>
      <w:r>
        <w:rPr>
          <w:rFonts w:ascii="Times New Roman" w:cs="Times New Roman" w:eastAsia="Times New Roman" w:hAnsi="Times New Roman"/>
          <w:sz w:val="19"/>
          <w:szCs w:val="19"/>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use of produced water, a moratorium on new produced water disposal wells, and additional monitoring and reporting requirements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180"/>
          </w:cols>
          <w:pgMar w:left="980" w:top="205" w:right="1080"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80"/>
        <w:spacing w:after="0" w:line="286" w:lineRule="auto"/>
        <w:rPr>
          <w:sz w:val="20"/>
          <w:szCs w:val="20"/>
          <w:color w:val="auto"/>
        </w:rPr>
      </w:pPr>
      <w:r>
        <w:rPr>
          <w:rFonts w:ascii="Times New Roman" w:cs="Times New Roman" w:eastAsia="Times New Roman" w:hAnsi="Times New Roman"/>
          <w:sz w:val="20"/>
          <w:szCs w:val="20"/>
          <w:color w:val="auto"/>
        </w:rPr>
        <w:t>and completion activity in the affected parts of the Permian Basin less economical and adversely impact our business, results of operations and financial condition.</w:t>
      </w:r>
    </w:p>
    <w:p>
      <w:pPr>
        <w:spacing w:after="0" w:line="170" w:lineRule="exact"/>
        <w:rPr>
          <w:sz w:val="20"/>
          <w:szCs w:val="20"/>
          <w:color w:val="auto"/>
        </w:rPr>
      </w:pPr>
    </w:p>
    <w:p>
      <w:pPr>
        <w:jc w:val="both"/>
        <w:ind w:left="100" w:firstLine="721"/>
        <w:spacing w:after="0" w:line="252" w:lineRule="auto"/>
        <w:rPr>
          <w:sz w:val="20"/>
          <w:szCs w:val="20"/>
          <w:color w:val="auto"/>
        </w:rPr>
      </w:pPr>
      <w:r>
        <w:rPr>
          <w:rFonts w:ascii="Times New Roman" w:cs="Times New Roman" w:eastAsia="Times New Roman" w:hAnsi="Times New Roman"/>
          <w:sz w:val="20"/>
          <w:szCs w:val="20"/>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1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Endangered Species. </w:t>
      </w:r>
      <w:r>
        <w:rPr>
          <w:rFonts w:ascii="Times New Roman" w:cs="Times New Roman" w:eastAsia="Times New Roman" w:hAnsi="Times New Roman"/>
          <w:sz w:val="20"/>
          <w:szCs w:val="20"/>
          <w:color w:val="auto"/>
        </w:rPr>
        <w:t>The federal Endangered Species Act, or ESA, and analogous state laws restrict activities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affect listed endangered or threatened species or their habitats. If endangered species, such as the recently listed lesser prairie chicken or dunes sagebrush lizard,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in areas where we operate as threatened or endangered could result in the imposition of restrictions on our operations and consequently have a material adverse effect on our business.</w:t>
      </w:r>
    </w:p>
    <w:p>
      <w:pPr>
        <w:spacing w:after="0" w:line="208"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Regulation of the Oil and Natural Gas Industry. </w:t>
      </w:r>
      <w:r>
        <w:rPr>
          <w:rFonts w:ascii="Times New Roman" w:cs="Times New Roman" w:eastAsia="Times New Roman" w:hAnsi="Times New Roman"/>
          <w:sz w:val="20"/>
          <w:szCs w:val="20"/>
          <w:color w:val="auto"/>
        </w:rPr>
        <w:t>The oil and natural gas industry is extensively regulated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20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0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02"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Drilling and Production. </w:t>
      </w:r>
      <w:r>
        <w:rPr>
          <w:rFonts w:ascii="Times New Roman" w:cs="Times New Roman" w:eastAsia="Times New Roman" w:hAnsi="Times New Roman"/>
          <w:sz w:val="20"/>
          <w:szCs w:val="20"/>
          <w:color w:val="auto"/>
        </w:rPr>
        <w:t>Our operations are subject to various types of regulation at the federal, state and local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205"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w:t>
      </w: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180"/>
          </w:cols>
          <w:pgMar w:left="980" w:top="205" w:right="1080"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3" w:lineRule="auto"/>
        <w:rPr>
          <w:sz w:val="20"/>
          <w:szCs w:val="20"/>
          <w:color w:val="auto"/>
        </w:rPr>
      </w:pPr>
      <w:r>
        <w:rPr>
          <w:rFonts w:ascii="Times New Roman" w:cs="Times New Roman" w:eastAsia="Times New Roman" w:hAnsi="Times New Roman"/>
          <w:sz w:val="20"/>
          <w:szCs w:val="20"/>
          <w:color w:val="auto"/>
        </w:rPr>
        <w:t>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14"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19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Natural Gas Sales. </w:t>
      </w:r>
      <w:r>
        <w:rPr>
          <w:rFonts w:ascii="Times New Roman" w:cs="Times New Roman" w:eastAsia="Times New Roman" w:hAnsi="Times New Roman"/>
          <w:sz w:val="20"/>
          <w:szCs w:val="20"/>
          <w:color w:val="auto"/>
        </w:rPr>
        <w:t>Historically, federal legislation and regulatory controls have affected the price of the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produce 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205"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Oil Sales and Transportation. </w:t>
      </w:r>
      <w:r>
        <w:rPr>
          <w:rFonts w:ascii="Times New Roman" w:cs="Times New Roman" w:eastAsia="Times New Roman" w:hAnsi="Times New Roman"/>
          <w:sz w:val="20"/>
          <w:szCs w:val="20"/>
          <w:color w:val="auto"/>
        </w:rPr>
        <w:t>Sales of crude oil, condensate and natural gas liquids are not currently regulated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made at negotiated prices. Nevertheless, the U.S. Congress could reenact price controls in the future.</w:t>
      </w:r>
    </w:p>
    <w:p>
      <w:pPr>
        <w:spacing w:after="0" w:line="17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we have a tariff on file with FERC to perform oil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20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Further, interstate and intrastate common carrier oil pipelines, including us,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202"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Safety and Maintenance Regulation. </w:t>
      </w:r>
      <w:r>
        <w:rPr>
          <w:rFonts w:ascii="Times New Roman" w:cs="Times New Roman" w:eastAsia="Times New Roman" w:hAnsi="Times New Roman"/>
          <w:sz w:val="20"/>
          <w:szCs w:val="20"/>
          <w:color w:val="auto"/>
        </w:rPr>
        <w:t>In our midstream operations, we are subject to regulation by the 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Department of Transportation, or DOT, under 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200"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We are also subject to the Pipeline Safety Improvement Act of 2002. The Pipeline Safety Improvement Act establishes mandatory inspections for all United States crude oil and natural gas transportation pipelines and some gathering pipelines in high- 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06"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The Pipeline Safety and Job Creation Act, enacted in 2011, and the Protecting our Infrastructure of Pipelines and Enhancing Safety Act of 2016, also known as the PIPES Act, enacted in 2016, amended the HLPSA and increased safety regulation. The Pipeline Safety and Job Creation Act doubles the maximum administrative fines for safety violations from</w:t>
      </w: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180"/>
          </w:cols>
          <w:pgMar w:left="980" w:top="205" w:right="1080"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3" w:lineRule="auto"/>
        <w:rPr>
          <w:sz w:val="20"/>
          <w:szCs w:val="20"/>
          <w:color w:val="auto"/>
        </w:rPr>
      </w:pPr>
      <w:r>
        <w:rPr>
          <w:rFonts w:ascii="Times New Roman" w:cs="Times New Roman" w:eastAsia="Times New Roman" w:hAnsi="Times New Roman"/>
          <w:sz w:val="20"/>
          <w:szCs w:val="20"/>
          <w:color w:val="auto"/>
        </w:rPr>
        <w:t>$100,000 to $200,000 for a single violation and from $1.0 million to $2.0 million for a related series of violations (now increased for inflation to $272,926 and $ 2,729,245,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 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214"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Also, on November 15, 2021, PHMSA published a final rule extending reporting requirements to all onshore gas gathering operators and establishing a set of minimum safety requirements for certain gas gathering pipelines with large diameters and high operating pressures, and, on August 24, 2022, PHMSA published a final rule strengthening integrity management requirements for onshore gas transmission lines, bolstering corrosion control standards and repair criteria, and imposing new requirements for inspections after extreme weather events. Further, on January 17, 2025, PHMSA issued a final rule to reduce methane emissions from new and existing gas pipelines, underground natural gas storage facilities and liquefied natural gas facilities. However, pursuant to an executive order issued on January 20, 2025, the rule (and other rules that have been issued but not yet published in the Federal Register) has been withdrawn and is subject to further review and approval. These requirements and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22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205"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In addition, we are subject to the requirements of the federal Occupational Safety and Health Act, or OSHA, and comparable state statutes, whose purpose is to protect the health and safety of workers. Moreover, the OSHA hazard communication standard, the EPA community right-to -know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222"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State Regulation. </w:t>
      </w:r>
      <w:r>
        <w:rPr>
          <w:rFonts w:ascii="Times New Roman" w:cs="Times New Roman" w:eastAsia="Times New Roman" w:hAnsi="Times New Roman"/>
          <w:sz w:val="20"/>
          <w:szCs w:val="20"/>
          <w:color w:val="auto"/>
        </w:rPr>
        <w:t>Texas regulates the drilling for, and the production, gathering and sale of, oil and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180"/>
          </w:cols>
          <w:pgMar w:left="980" w:top="205" w:right="1080"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200" w:firstLine="1"/>
        <w:spacing w:after="0" w:line="286" w:lineRule="auto"/>
        <w:rPr>
          <w:sz w:val="20"/>
          <w:szCs w:val="20"/>
          <w:color w:val="auto"/>
        </w:rPr>
      </w:pPr>
      <w:r>
        <w:rPr>
          <w:rFonts w:ascii="Times New Roman" w:cs="Times New Roman" w:eastAsia="Times New Roman" w:hAnsi="Times New Roman"/>
          <w:sz w:val="20"/>
          <w:szCs w:val="20"/>
          <w:color w:val="auto"/>
        </w:rPr>
        <w:t>may be to limit the amount of oil and natural gas that may be produced from our wells and to limit the number of wells or locations we can drill.</w:t>
      </w:r>
    </w:p>
    <w:p>
      <w:pPr>
        <w:spacing w:after="0" w:line="170"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Operational Hazards and Insurance</w:t>
      </w:r>
    </w:p>
    <w:p>
      <w:pPr>
        <w:spacing w:after="0" w:line="258" w:lineRule="exact"/>
        <w:rPr>
          <w:sz w:val="20"/>
          <w:szCs w:val="20"/>
          <w:color w:val="auto"/>
        </w:rPr>
      </w:pPr>
    </w:p>
    <w:p>
      <w:pPr>
        <w:jc w:val="both"/>
        <w:ind w:left="100" w:firstLine="720"/>
        <w:spacing w:after="0" w:line="249" w:lineRule="auto"/>
        <w:rPr>
          <w:sz w:val="20"/>
          <w:szCs w:val="20"/>
          <w:color w:val="auto"/>
        </w:rPr>
      </w:pPr>
      <w:r>
        <w:rPr>
          <w:rFonts w:ascii="Times New Roman" w:cs="Times New Roman" w:eastAsia="Times New Roman" w:hAnsi="Times New Roman"/>
          <w:sz w:val="20"/>
          <w:szCs w:val="20"/>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all wells, comprehensive general liability, commercial automobile, workers compensation, pollution liability (claims made coverage with a policy retroactive date and occurrence-based coverage for sudden, accidental releases), excess umbrella liability and other coverage.</w:t>
      </w:r>
    </w:p>
    <w:p>
      <w:pPr>
        <w:spacing w:after="0" w:line="199"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Our insurance is subject to certain exclusions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 of this report for additional information regarding operating hazard and uninsured risks.</w:t>
      </w:r>
    </w:p>
    <w:p>
      <w:pPr>
        <w:spacing w:after="0" w:line="20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20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Generally, we also require our third- party vendors to sign master service agreements in which they agree to indemnify us for property damage and injuries and deaths of the service provider’s employees as well as contractors and subcontractors hired by the service provider.</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 Our board of directors, through its Safety, Sustainability and Corporate Responsibility Committee, which we refer to as the SS&amp;CR Committee, provides an important oversight of our human capital management strategy, including diversity, equity and inclusion. The SS&amp;CR Committee receives regular updates from our executive leadership, senior management and third-party consultants on human capital trends and other key human capital matters impacting our business.</w:t>
      </w:r>
    </w:p>
    <w:p>
      <w:pPr>
        <w:spacing w:after="0" w:line="211"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As of December 31, 2024, we had 1,983 full time employees. None of our employees are represented by labor unions or covered by any collective bargaining agreements. We also utilize independent contractors and consultants involved in land, technical, regulatory and other disciplines to assist our full-time employees.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Equal Opportunity, Recruiting and Retention</w:t>
      </w:r>
    </w:p>
    <w:p>
      <w:pPr>
        <w:spacing w:after="0" w:line="253"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Equal employment opportunity is one of our core tenets and, as such, our employment decisions are based on merit, qualifications, competencies and contributions. We actively seek to attract and retain top talent and continue to cultivate our respectful work environment. We value the perspectives, experiences and ideas contributed by our employees from a diverse range of ethnic, cultural and ideological backgrounds. Over 24% of our employees are women and over 42% of our</w:t>
      </w: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180"/>
          </w:cols>
          <w:pgMar w:left="980" w:top="205" w:right="108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employees self-identify as ethnic minorities as of December 31, 2024. We disclosed our 2023 Equal Employment Opportunity (EEO-1) data as of December 31, 2023 in our 2024 Corporate Sustainability Report in an effort to provide transparency into the Company’s workforce demographics.</w:t>
      </w:r>
    </w:p>
    <w:p>
      <w:pPr>
        <w:spacing w:after="0" w:line="18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In 2024, we took various actions to expand our recruitment efforts, particularly in our college recruitment and internship programs. We collaborated with several student organizations to reinforce this inclusive initiative, which will continue in the future. In addition, we have focused on recruiting experienced hires to target and retain top industry talent. We have historically had a low annual attrition rate, representing approximately 15% in 2024, despite the challenging labor market and increased competition for talent. We believe that our low attrition rate is in part a result of our corporate culture focused on diversity and inclusion, teamwork and commitment to employee development and career advancement discussed in more detail below.</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Health and Safety</w:t>
      </w:r>
    </w:p>
    <w:p>
      <w:pPr>
        <w:spacing w:after="0" w:line="299"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Protecting employees, the public and the environment is a top priority in our operations and in the way we manage our assets. We are focused on minimizing the risk of workplace incidents and preparing for emergencies as an ingrained element of our corporate responsibility. We also strive to comply with all applicable health, safety and environmental standards, laws and regulations.</w:t>
      </w:r>
    </w:p>
    <w:p>
      <w:pPr>
        <w:spacing w:after="0" w:line="24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have committed to reduce injuries and fatalities in our business and are focused on safety culture improvements, safety leadership actions and human performance principles. We are requiring our operational employees and independent contractors and their employees to go through orientation and training aligned with the International Association of Oil and Gas Producers Life Saving Rules, a program that also meets the operational safety requirements adopted by the American Petroleum Institute. We also involve employees from all operational levels in our safety program to provide input and suggested improvements to the overall safety program, recommend preventative measures based on reviewing vehicle and personnel incidents, safety and environmental audits at operational locations and participate in the audit and oversight of the Diamondback Hazard Communication Program.</w:t>
      </w:r>
    </w:p>
    <w:p>
      <w:pPr>
        <w:spacing w:after="0" w:line="21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Since inception, we have had no employee work-related fatalities. Our employee OSHA recordable cases, comprising work-related injuries and illnesses that require medical treatment beyond first aid, totaled 11 in 2024, up from three in 2023. Our employee total recordable incident rate (TRIR) was 0.88 in 2024 up from 0.30 in 2023, and lost-time incident rate (LTIR) was 0.40 in 2024 up from 0.10 in 2023. At December 31, 2024, we have a short term goal of maintaining an employee TRIR of 0.25 or less.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Training and Development</w:t>
      </w:r>
    </w:p>
    <w:p>
      <w:pPr>
        <w:spacing w:after="0" w:line="25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support employees in pursuing training opportunities to expand their professional skills. Our internal course offerings in 2024 included a wide array of topics in addition to extensive safety and other compliance training sessions. Additionally, our people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Our Facilities</w:t>
      </w:r>
    </w:p>
    <w:p>
      <w:pPr>
        <w:spacing w:after="0" w:line="256"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Our corporate headquarters is located at the Fasken Center in Midland, Texas. We also lease additional office space in Midland, Texas, Dallas, Texas and Oklahoma City, Oklahoma.</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Availability of Company Reports</w:t>
      </w:r>
    </w:p>
    <w:p>
      <w:pPr>
        <w:spacing w:after="0" w:line="25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180"/>
          </w:cols>
          <w:pgMar w:left="980" w:top="205" w:right="1080"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6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i w:val="1"/>
          <w:iCs w:val="1"/>
          <w:color w:val="auto"/>
        </w:rPr>
        <w:t>The nature of our business activities subjects us to certain hazards and risks. The following is a summary of some of the material risks relating to our business activities. Other risks are described in Items 1 and 2.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the Oil and Natural Gas Industry and Our Business</w:t>
      </w:r>
    </w:p>
    <w:p>
      <w:pPr>
        <w:spacing w:after="0" w:line="256" w:lineRule="exact"/>
        <w:rPr>
          <w:sz w:val="20"/>
          <w:szCs w:val="20"/>
          <w:color w:val="auto"/>
        </w:rPr>
      </w:pPr>
    </w:p>
    <w:p>
      <w:pPr>
        <w:ind w:left="820" w:hanging="360"/>
        <w:spacing w:after="0" w:line="249"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particularly volatility in prices for oil and natural gas may adversely affect our revenue, cash flows, profitability, growth, production and the present value of our estimated reserves.</w:t>
      </w:r>
    </w:p>
    <w:p>
      <w:pPr>
        <w:jc w:val="both"/>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 w:lineRule="exact"/>
        <w:rPr>
          <w:rFonts w:ascii="Times New Roman" w:cs="Times New Roman" w:eastAsia="Times New Roman" w:hAnsi="Times New Roman"/>
          <w:sz w:val="20"/>
          <w:szCs w:val="20"/>
          <w:color w:val="auto"/>
        </w:rPr>
      </w:pPr>
    </w:p>
    <w:p>
      <w:pPr>
        <w:ind w:left="820" w:hanging="360"/>
        <w:spacing w:after="0" w:line="249"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IRA and other risks relating to climate change could accelerate the transition to a low carbon economy and could impose new costs on our operations that may have a material and adverse effect on us.</w:t>
      </w:r>
    </w:p>
    <w:p>
      <w:pPr>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change-related regulations, policies and initiatives may have other adverse effects, such as a greater potential for governmental investigations or litigation.</w:t>
      </w:r>
    </w:p>
    <w:p>
      <w:pPr>
        <w:jc w:val="both"/>
        <w:ind w:left="820" w:hanging="360"/>
        <w:spacing w:after="0" w:line="249"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obtain needed capital or financing on satisfactory terms or at all to fund our acquisitions or development activities, which could lead to a loss of properties and a decline in our oil and natural gas reserves and future production.</w:t>
      </w:r>
    </w:p>
    <w:p>
      <w:pPr>
        <w:spacing w:after="0" w:line="1" w:lineRule="exact"/>
        <w:rPr>
          <w:rFonts w:ascii="Times New Roman" w:cs="Times New Roman" w:eastAsia="Times New Roman" w:hAnsi="Times New Roman"/>
          <w:sz w:val="20"/>
          <w:szCs w:val="20"/>
          <w:color w:val="auto"/>
        </w:rPr>
      </w:pPr>
    </w:p>
    <w:p>
      <w:pPr>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successfully identify, complete and integrate pending and future acquisitions of properties or businesses could reduce our earnings, and title defects in the properties in which we invest may lead to losses.</w:t>
      </w:r>
    </w:p>
    <w:p>
      <w:pPr>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identified potential drilling locations are susceptible to uncertainties that could materially alter the occurrence or timing of their drilling.</w:t>
      </w:r>
    </w:p>
    <w:p>
      <w:pPr>
        <w:ind w:left="820" w:hanging="360"/>
        <w:spacing w:after="0" w:line="248"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production from our Permian Basin acreage decreases, we may fail to meet our obligations to deliver specified quantities of oil under our oil purchase contract, which may adversely affect our operations.</w:t>
      </w:r>
    </w:p>
    <w:p>
      <w:pPr>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one or more of our customers to meet their obligations, or loss of one or more of our significant purchasers, may adversely affect our financial results.</w:t>
      </w:r>
    </w:p>
    <w:p>
      <w:pPr>
        <w:ind w:left="820" w:hanging="360"/>
        <w:spacing w:after="0"/>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method of accounting for investments in oil and natural gas properties may result in impairment of asset value.</w:t>
      </w:r>
    </w:p>
    <w:p>
      <w:pPr>
        <w:spacing w:after="0" w:line="10" w:lineRule="exact"/>
        <w:rPr>
          <w:rFonts w:ascii="Times New Roman" w:cs="Times New Roman" w:eastAsia="Times New Roman" w:hAnsi="Times New Roman"/>
          <w:sz w:val="20"/>
          <w:szCs w:val="20"/>
          <w:color w:val="auto"/>
        </w:rPr>
      </w:pPr>
    </w:p>
    <w:p>
      <w:pPr>
        <w:ind w:left="820" w:hanging="360"/>
        <w:spacing w:after="0" w:line="250"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inaccuracies in reserve estimates or underlying assumptions will materially affect the quantities and present value of our reserves.</w:t>
      </w:r>
    </w:p>
    <w:p>
      <w:pPr>
        <w:ind w:left="820" w:hanging="360"/>
        <w:spacing w:after="0"/>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vulnerable to risks associated with our primary operations concentrated in a single geographic area.</w:t>
      </w:r>
    </w:p>
    <w:p>
      <w:pPr>
        <w:spacing w:after="0" w:line="10" w:lineRule="exact"/>
        <w:rPr>
          <w:rFonts w:ascii="Times New Roman" w:cs="Times New Roman" w:eastAsia="Times New Roman" w:hAnsi="Times New Roman"/>
          <w:sz w:val="20"/>
          <w:szCs w:val="20"/>
          <w:color w:val="auto"/>
        </w:rPr>
      </w:pPr>
    </w:p>
    <w:p>
      <w:pPr>
        <w:ind w:left="820" w:right="40" w:hanging="360"/>
        <w:spacing w:after="0" w:line="249"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transportation or other facilities, certain of which we do not control, or rigs, equipment, raw materials, oil services or personnel are unavailable, our operations could be interrupted and our revenues reduced.</w:t>
      </w:r>
    </w:p>
    <w:p>
      <w:pPr>
        <w:ind w:left="820" w:right="40" w:hanging="360"/>
        <w:spacing w:after="0" w:line="250" w:lineRule="auto"/>
        <w:tabs>
          <w:tab w:leader="none" w:pos="81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are subject to various governmental laws and regulations which require compliance that can be burdensome and expensive and may impose restrictions on our operations.</w:t>
      </w:r>
    </w:p>
    <w:p>
      <w:pPr>
        <w:ind w:left="820" w:right="40" w:hanging="359"/>
        <w:spacing w:after="0" w:line="249" w:lineRule="auto"/>
        <w:tabs>
          <w:tab w:leader="none" w:pos="81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tax legislation, including recently adopted IRA, may negatively affect our business, results of operations, financial condition and cash flow.</w:t>
      </w:r>
    </w:p>
    <w:p>
      <w:pPr>
        <w:spacing w:after="0" w:line="1" w:lineRule="exact"/>
        <w:rPr>
          <w:rFonts w:ascii="Times New Roman" w:cs="Times New Roman" w:eastAsia="Times New Roman" w:hAnsi="Times New Roman"/>
          <w:sz w:val="20"/>
          <w:szCs w:val="20"/>
          <w:color w:val="auto"/>
        </w:rPr>
      </w:pPr>
    </w:p>
    <w:p>
      <w:pPr>
        <w:ind w:left="820" w:right="320" w:hanging="360"/>
        <w:spacing w:after="0" w:line="248" w:lineRule="auto"/>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for and producing oil and natural gas are high-risk activities with many uncertainties that may result in a total loss of investment and adversely affect our business, financial condition or results of operations.</w:t>
      </w:r>
    </w:p>
    <w:p>
      <w:pPr>
        <w:ind w:left="820" w:hanging="360"/>
        <w:spacing w:after="0"/>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few key employees whose absence or loss could adversely affect our business.</w:t>
      </w:r>
    </w:p>
    <w:p>
      <w:pPr>
        <w:spacing w:after="0" w:line="12" w:lineRule="exact"/>
        <w:rPr>
          <w:rFonts w:ascii="Times New Roman" w:cs="Times New Roman" w:eastAsia="Times New Roman" w:hAnsi="Times New Roman"/>
          <w:sz w:val="20"/>
          <w:szCs w:val="20"/>
          <w:color w:val="auto"/>
        </w:rPr>
      </w:pPr>
    </w:p>
    <w:p>
      <w:pPr>
        <w:ind w:left="820" w:hanging="360"/>
        <w:spacing w:after="0"/>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terrorist attack or armed conflict could harm our business and could adversely affect our business.</w:t>
      </w:r>
    </w:p>
    <w:p>
      <w:pPr>
        <w:spacing w:after="0" w:line="10" w:lineRule="exact"/>
        <w:rPr>
          <w:rFonts w:ascii="Times New Roman" w:cs="Times New Roman" w:eastAsia="Times New Roman" w:hAnsi="Times New Roman"/>
          <w:sz w:val="20"/>
          <w:szCs w:val="20"/>
          <w:color w:val="auto"/>
        </w:rPr>
      </w:pPr>
    </w:p>
    <w:p>
      <w:pPr>
        <w:ind w:left="820" w:hanging="360"/>
        <w:spacing w:after="0"/>
        <w:tabs>
          <w:tab w:leader="none" w:pos="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cyber incident could result in information theft, data corruption, operational disruption and/or financial loss.</w:t>
      </w:r>
    </w:p>
    <w:p>
      <w:pPr>
        <w:spacing w:after="0" w:line="10" w:lineRule="exact"/>
        <w:rPr>
          <w:rFonts w:ascii="Times New Roman" w:cs="Times New Roman" w:eastAsia="Times New Roman" w:hAnsi="Times New Roman"/>
          <w:sz w:val="20"/>
          <w:szCs w:val="20"/>
          <w:color w:val="auto"/>
        </w:rPr>
      </w:pPr>
    </w:p>
    <w:p>
      <w:pPr>
        <w:ind w:left="820" w:right="40" w:hanging="360"/>
        <w:spacing w:after="0" w:line="286" w:lineRule="auto"/>
        <w:tabs>
          <w:tab w:leader="none" w:pos="81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of the Endeavor Acquisition, the Endeavor equityholders have the ability to significantly influence our business, and their interest in our business may be different from that of other stockholders.</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58" w:lineRule="exact"/>
        <w:rPr>
          <w:sz w:val="20"/>
          <w:szCs w:val="20"/>
          <w:color w:val="auto"/>
        </w:rPr>
      </w:pPr>
    </w:p>
    <w:p>
      <w:pPr>
        <w:jc w:val="both"/>
        <w:ind w:left="820" w:hanging="359"/>
        <w:spacing w:after="0" w:line="249"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level of indebtedness could adversely affect our financial condition and prevent us from fulfilling our obligations under our indebtedness, and we and our subsidiaries may be able to incur substantial additional indebtedness in the future.</w:t>
      </w:r>
    </w:p>
    <w:p>
      <w:pPr>
        <w:spacing w:after="0" w:line="1" w:lineRule="exact"/>
        <w:rPr>
          <w:rFonts w:ascii="Times New Roman" w:cs="Times New Roman" w:eastAsia="Times New Roman" w:hAnsi="Times New Roman"/>
          <w:sz w:val="20"/>
          <w:szCs w:val="20"/>
          <w:color w:val="auto"/>
        </w:rPr>
      </w:pPr>
    </w:p>
    <w:p>
      <w:pPr>
        <w:jc w:val="both"/>
        <w:ind w:left="820" w:hanging="359"/>
        <w:spacing w:after="0" w:line="267"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significant additional indebtedness incurred in connection with the Endeavor Acquisition may limit our operating or financial flexibility relative to our current position and make it difficult to satisfy our obligations with respect to our other indebtedness.</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180"/>
          </w:cols>
          <w:pgMar w:left="980" w:top="205" w:right="108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820" w:hanging="360"/>
        <w:spacing w:after="0" w:line="249" w:lineRule="auto"/>
        <w:tabs>
          <w:tab w:leader="none" w:pos="8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spacing w:after="0" w:line="1" w:lineRule="exact"/>
        <w:rPr>
          <w:rFonts w:ascii="Times New Roman" w:cs="Times New Roman" w:eastAsia="Times New Roman" w:hAnsi="Times New Roman"/>
          <w:sz w:val="20"/>
          <w:szCs w:val="20"/>
          <w:color w:val="auto"/>
        </w:rPr>
      </w:pPr>
    </w:p>
    <w:p>
      <w:pPr>
        <w:ind w:left="820" w:hanging="360"/>
        <w:spacing w:after="0" w:line="250" w:lineRule="auto"/>
        <w:tabs>
          <w:tab w:leader="none" w:pos="8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covenants in certain of our existing and future debt instruments may limit our ability to respond to changes in market conditions or pursue business opportunities.</w:t>
      </w:r>
    </w:p>
    <w:p>
      <w:pPr>
        <w:ind w:left="820" w:hanging="360"/>
        <w:spacing w:after="0"/>
        <w:tabs>
          <w:tab w:leader="none" w:pos="8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our subsidiaries for dividends and other payments.</w:t>
      </w:r>
    </w:p>
    <w:p>
      <w:pPr>
        <w:spacing w:after="0" w:line="10" w:lineRule="exact"/>
        <w:rPr>
          <w:rFonts w:ascii="Times New Roman" w:cs="Times New Roman" w:eastAsia="Times New Roman" w:hAnsi="Times New Roman"/>
          <w:sz w:val="20"/>
          <w:szCs w:val="20"/>
          <w:color w:val="auto"/>
        </w:rPr>
      </w:pPr>
    </w:p>
    <w:p>
      <w:pPr>
        <w:ind w:left="820" w:hanging="360"/>
        <w:spacing w:after="0" w:line="249" w:lineRule="auto"/>
        <w:tabs>
          <w:tab w:leader="none" w:pos="8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experience liquidity concerns, we could face a downgrade in our debt ratings which could restrict our access to, and negatively impact the terms of, current or future financings or trade credit.</w:t>
      </w:r>
    </w:p>
    <w:p>
      <w:pPr>
        <w:ind w:left="820" w:hanging="360"/>
        <w:spacing w:after="0"/>
        <w:tabs>
          <w:tab w:leader="none" w:pos="8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Borrowings under our and Viper LLC’s revolving credit facilities expose us to interest rate risk.</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56" w:lineRule="exact"/>
        <w:rPr>
          <w:sz w:val="20"/>
          <w:szCs w:val="20"/>
          <w:color w:val="auto"/>
        </w:rPr>
      </w:pPr>
    </w:p>
    <w:p>
      <w:pPr>
        <w:jc w:val="both"/>
        <w:ind w:left="820" w:hanging="360"/>
        <w:spacing w:after="0" w:line="250" w:lineRule="auto"/>
        <w:tabs>
          <w:tab w:leader="none" w:pos="8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spacing w:after="0" w:line="1" w:lineRule="exact"/>
        <w:rPr>
          <w:rFonts w:ascii="Times New Roman" w:cs="Times New Roman" w:eastAsia="Times New Roman" w:hAnsi="Times New Roman"/>
          <w:sz w:val="20"/>
          <w:szCs w:val="20"/>
          <w:color w:val="auto"/>
        </w:rPr>
      </w:pPr>
    </w:p>
    <w:p>
      <w:pPr>
        <w:ind w:left="820" w:hanging="360"/>
        <w:spacing w:after="0" w:line="249" w:lineRule="auto"/>
        <w:tabs>
          <w:tab w:leader="none" w:pos="8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our common stock could decline if large amounts of our common stock are sold following the Endeavor Acquisition.</w:t>
      </w:r>
    </w:p>
    <w:p>
      <w:pPr>
        <w:ind w:left="820" w:hanging="360"/>
        <w:spacing w:after="0"/>
        <w:tabs>
          <w:tab w:leader="none" w:pos="8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could limit our use of net operating losses.</w:t>
      </w:r>
    </w:p>
    <w:p>
      <w:pPr>
        <w:spacing w:after="0" w:line="1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issue preferred stock whose terms could adversely affect the voting power or value of our common stock.</w:t>
      </w:r>
    </w:p>
    <w:p>
      <w:pPr>
        <w:spacing w:after="0" w:line="10" w:lineRule="exact"/>
        <w:rPr>
          <w:rFonts w:ascii="Times New Roman" w:cs="Times New Roman" w:eastAsia="Times New Roman" w:hAnsi="Times New Roman"/>
          <w:sz w:val="20"/>
          <w:szCs w:val="20"/>
          <w:color w:val="auto"/>
        </w:rPr>
      </w:pPr>
    </w:p>
    <w:p>
      <w:pPr>
        <w:ind w:left="820" w:hanging="361"/>
        <w:spacing w:after="0" w:line="289" w:lineRule="auto"/>
        <w:tabs>
          <w:tab w:leader="none" w:pos="8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certificate of incorporation and bylaws and Delaware law make it more difficult to effect a change in control of the company, which could adversely affect the price of our common stock.</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the Oil and Natural Gas Industry and Our Business</w:t>
      </w:r>
    </w:p>
    <w:p>
      <w:pPr>
        <w:spacing w:after="0" w:line="255"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93"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 America and Russia; the potential impact of the war in Ukraine, the Israel-Hamas War and other conflicts in the Middle East on the global energy markets and macroeconomic conditions; the continued threat of terrorism and the impact of military and other action, including U.S. military operations in the Middle East; the ability of members of the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including the new administration’s energy and environmental policies; global or national health concerns, including the outbreak of pandemic or contagious disease;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spacing w:after="0" w:line="219" w:lineRule="exact"/>
        <w:rPr>
          <w:sz w:val="20"/>
          <w:szCs w:val="20"/>
          <w:color w:val="auto"/>
        </w:rPr>
      </w:pPr>
    </w:p>
    <w:p>
      <w:pPr>
        <w:jc w:val="both"/>
        <w:ind w:left="100" w:firstLine="720"/>
        <w:spacing w:after="0" w:line="259" w:lineRule="auto"/>
        <w:rPr>
          <w:sz w:val="20"/>
          <w:szCs w:val="20"/>
          <w:color w:val="auto"/>
        </w:rPr>
      </w:pPr>
      <w:r>
        <w:rPr>
          <w:rFonts w:ascii="Times New Roman" w:cs="Times New Roman" w:eastAsia="Times New Roman" w:hAnsi="Times New Roman"/>
          <w:sz w:val="20"/>
          <w:szCs w:val="20"/>
          <w:color w:val="auto"/>
        </w:rPr>
        <w:t>These factors and the volatility of the energy markets make it extremely difficult to predict future oil and natural gas price movements with any certainty. From the beginning of 2022 through the end of 2024, NYMEX WTI prices ranged from $65.75 to $123.70 per Bbl and the NYMEX Henry Hub price of natural gas ranged from $1.58 to $9.68 per MMBtu. If the prices of oil and natural gas decline, our operations, financial condition and level of expenditures for the development of our oil and natural gas reserves may be materially and adversely affected.</w:t>
      </w:r>
    </w:p>
    <w:p>
      <w:pPr>
        <w:spacing w:after="0" w:line="197"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Primarily as a result of our Endeavor Acquisition, the Viper Tumbleweed Acquisitions, and the pending Double Eagle Acquisition, if consummated, we expect to increase our fourth quarter 2024 production levels in 2025. We cannot reasonably predict whether production levels will remain at current levels or the full extent of the impact of the events above and any subsequent recovery may have on our industry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180"/>
          </w:cols>
          <w:pgMar w:left="980" w:top="205" w:right="1080"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If commodity prices fall below current levels, we may be required to record impairments in future periods and such impairments could be material. Further, if commodity prices decrease, our production, proved reserves and cash flows will be adversely impacted. Reductions in our reserves could also negatively impact the borrowing base under our revolving credit facility, which could limit our liquidity and ability to conduct additional exploration and development activities.</w:t>
      </w:r>
    </w:p>
    <w:p>
      <w:pPr>
        <w:spacing w:after="0" w:line="197" w:lineRule="exact"/>
        <w:rPr>
          <w:sz w:val="20"/>
          <w:szCs w:val="20"/>
          <w:color w:val="auto"/>
        </w:rPr>
      </w:pPr>
    </w:p>
    <w:p>
      <w:pPr>
        <w:jc w:val="both"/>
        <w:ind w:left="100" w:right="60"/>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64"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use commodity price derivatives, which have historically included swaps, basis swaps, swaptions, roll hedges, costless collars, puts and basis puts, to reduce price volatility associated with certain of our oil, natural gas liquids and natural gas sales. Currently, we have hedged a portion of our estimated 2025 and 2026 production. To the extent that the prices of oil, natural gas liquids and natural gas remain at current levels or decline further, we may not be able to economically hedge additional future production at the same level as our current commodity price derivatives, and our results of operations and financial condition may be negatively impacted. While these commodity price derivatives are intended to mitigate risk from commodity price volatility, we may be prevented from fully realizing the benefits of increases in the prices of oil, natural gas liquids and natural gas above the price levels of the commodity price derivatives used to manage price risk.</w:t>
      </w:r>
    </w:p>
    <w:p>
      <w:pPr>
        <w:spacing w:after="0" w:line="20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w:t>
      </w:r>
    </w:p>
    <w:p>
      <w:pPr>
        <w:spacing w:after="0" w:line="197"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For additional information regarding our outstanding derivative contracts as of December 31, 2024, see Note 13— Derivatives in Item 8. Financial Statements and Supplementary Data, Item 7. Management’s Discussion and Analysis of Financial Condition and Results of Operations and Item 7A. Quantitative and Qualitative Disclosures About Market Risk— Commodity Price Risk of this report.</w:t>
      </w:r>
    </w:p>
    <w:p>
      <w:pPr>
        <w:spacing w:after="0" w:line="197"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The IRA and other risks relating to climate change could accelerate the transition to a low carbon economy and could impose new costs on our operations that may have a material and adverse effect on us.</w:t>
      </w:r>
    </w:p>
    <w:p>
      <w:pPr>
        <w:spacing w:after="0" w:line="17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 (i) the enactment of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wind, solar and hydrogen power, as well as battery technology); (iii) increased availability of, and increased demand from consumers and industry for, energy sources other than oil and natural gas (including wind, solar, nuclear, and geothermal sources as well as electric vehicles); and (iv) development of, and increased demand from consumers and industry for, lower-emission products and services (including electric vehicles and renewable residential and commercial power supplies) as well as more efficient products and services.</w:t>
      </w:r>
    </w:p>
    <w:p>
      <w:pPr>
        <w:spacing w:after="0" w:line="209"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Any of these developments may reduce the demand for products manufactured with (or powered by) hydrocarbons and the demand for, and in turn the prices of, the oil and natural gas that we produce and sell, which would likely have a material adverse impact on us.</w:t>
      </w:r>
    </w:p>
    <w:p>
      <w:pPr>
        <w:spacing w:after="0" w:line="18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our ability to explore for, produce, transport and process oil and natural gas and successfully carry out our business and financial strategy. The enactment of climate change-related regulations, policies and initiatives may also result in increases in our compliance costs and other operating costs and have other adverse effects, such as a greater potential for governmental investigations or litigation.</w:t>
      </w:r>
    </w:p>
    <w:p>
      <w:pPr>
        <w:spacing w:after="0" w:line="205" w:lineRule="exact"/>
        <w:rPr>
          <w:sz w:val="20"/>
          <w:szCs w:val="20"/>
          <w:color w:val="auto"/>
        </w:rPr>
      </w:pPr>
    </w:p>
    <w:p>
      <w:pPr>
        <w:jc w:val="both"/>
        <w:ind w:left="100" w:firstLine="720"/>
        <w:spacing w:after="0" w:line="241" w:lineRule="auto"/>
        <w:rPr>
          <w:sz w:val="20"/>
          <w:szCs w:val="20"/>
          <w:color w:val="auto"/>
        </w:rPr>
      </w:pPr>
      <w:r>
        <w:rPr>
          <w:rFonts w:ascii="Times New Roman" w:cs="Times New Roman" w:eastAsia="Times New Roman" w:hAnsi="Times New Roman"/>
          <w:sz w:val="20"/>
          <w:szCs w:val="20"/>
          <w:color w:val="auto"/>
        </w:rPr>
        <w:t>In recent years, federal, state and local governments have taken steps to reduce emissions of greenhouse gases. For example, the Infrastructure Investment and Jobs Act and the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greenhouse gases, from light-, medium-, and heavy-duty vehicles beginning in</w:t>
      </w: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180"/>
          </w:cols>
          <w:pgMar w:left="980" w:top="205" w:right="1080"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jc w:val="both"/>
        <w:ind w:left="100"/>
        <w:spacing w:after="0" w:line="237" w:lineRule="auto"/>
        <w:rPr>
          <w:sz w:val="20"/>
          <w:szCs w:val="20"/>
          <w:color w:val="auto"/>
        </w:rPr>
      </w:pPr>
      <w:r>
        <w:rPr>
          <w:rFonts w:ascii="Times New Roman" w:cs="Times New Roman" w:eastAsia="Times New Roman" w:hAnsi="Times New Roman"/>
          <w:sz w:val="20"/>
          <w:szCs w:val="20"/>
          <w:color w:val="auto"/>
        </w:rPr>
        <w:t>model year 2027. These incentives and regulations could accelerate the transition of the economy away from the use of fossil fuels towards lower -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which could increase our operating costs and thereby adversely impact our business, financial condition and cash flows. On January 20, 2025, President Trump signed multiple executive orders seeking to reverse these climate incentives, including pausing the disbursement of funds under the IRA. The same day, President Trump also issued executive orders to encourage fossil fuel production and exploration on federal lands and waters, while moving away from incentivizing renewable energy and electric vehicles. It is unclear what effect those actions will have.</w:t>
      </w:r>
    </w:p>
    <w:p>
      <w:pPr>
        <w:spacing w:after="0" w:line="20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In addition to potentially reducing demand for our oil and natural gas and potentially reducing the availability of oilfield services and midstream and downstream customers, any further regulatory or other climate change incentives, to the extent they continue, may create reputational risks associated with the exploration for, and production of, hydrocarbons, which may adversely affect the availability and cost to us of capital. For example, in recent years, certain stakeholders and capital providers sought to restrict or seek more stringent conditions with respect to their investment in or financing of certain carbon intensive sectors. If financial institutions and other investors refuse to invest in or provide capital to the oil and gas sector in the future because of these reputational risks, that could result in capital being unavailable to us, or only at significantly increased costs.</w:t>
      </w:r>
    </w:p>
    <w:p>
      <w:pPr>
        <w:spacing w:after="0" w:line="208"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For further discussion regarding the risks to us of climate change-related regulations, policies and initiatives, please see the section entitled Items 1 and 2. Business and Properties—Regulation—Climate Change of this report.</w:t>
      </w:r>
    </w:p>
    <w:p>
      <w:pPr>
        <w:spacing w:after="0" w:line="163"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Changing political and social perspectives on climate change and other environmental, social and governance factors may create risks and uncertainties impacting our business.</w:t>
      </w:r>
    </w:p>
    <w:p>
      <w:pPr>
        <w:spacing w:after="0" w:line="171" w:lineRule="exact"/>
        <w:rPr>
          <w:sz w:val="20"/>
          <w:szCs w:val="20"/>
          <w:color w:val="auto"/>
        </w:rPr>
      </w:pPr>
    </w:p>
    <w:p>
      <w:pPr>
        <w:jc w:val="both"/>
        <w:ind w:left="100" w:firstLine="720"/>
        <w:spacing w:after="0" w:line="279" w:lineRule="auto"/>
        <w:rPr>
          <w:sz w:val="20"/>
          <w:szCs w:val="20"/>
          <w:color w:val="auto"/>
        </w:rPr>
      </w:pPr>
      <w:r>
        <w:rPr>
          <w:rFonts w:ascii="Times New Roman" w:cs="Times New Roman" w:eastAsia="Times New Roman" w:hAnsi="Times New Roman"/>
          <w:sz w:val="19"/>
          <w:szCs w:val="19"/>
          <w:color w:val="auto"/>
        </w:rPr>
        <w:t>In recent years, increased attention to global climate change resulted in increased investor attention and an increased risk of public and private litigation. Further, shareholders have sought to effect changes to public companies’ businesses or governance to deal with climate change-related issues through shareholder proposals, public campaigns, proxy solicitations or other actions. Any such future actions may result in significant management distraction and potentially significant expense.</w:t>
      </w:r>
    </w:p>
    <w:p>
      <w:pPr>
        <w:spacing w:after="0" w:line="182"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whether due to our activities or the activities of the acquired entities or operations prior to their acquisition by us, we could incur substantial legal defense costs and, if any such litigation were adversely determined, we could incur substantial damages.</w:t>
      </w:r>
    </w:p>
    <w:p>
      <w:pPr>
        <w:spacing w:after="0" w:line="202"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spacing w:after="0" w:line="187"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Our targets related to sustainability and emissions reduction initiatives, including our public statements and disclosures regarding them, may expose us to numerous risks.</w:t>
      </w:r>
    </w:p>
    <w:p>
      <w:pPr>
        <w:spacing w:after="0" w:line="175"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We have developed, and will continue to develop, targets related to our environmental, social and governance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w:t>
      </w:r>
    </w:p>
    <w:p>
      <w:pPr>
        <w:spacing w:after="0" w:line="214"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ESG expectations, including both the matters in focus and the management of such matters, as well as perspectives on the efficacy of ESG considerations, continue to evolve, and we cannot currently predict how regulators’, investors’ and other stakeholders’ views on ESG matters may affect the regulatory and investment landscape and affect our business, financial condition, and results of operations. Further, in response to the evolving regulatory environment and investor expectations, or due to our acquisitions of other companies or assets, we may, periodically, make adjustments to our environmental targets or goals. If we do not, or are perceived to not, adapt or comply with investor or stakeholder expectations and standards on ESG matters, we may suffer from reputational damage and our business, financial condition</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180"/>
          </w:cols>
          <w:pgMar w:left="980" w:top="205" w:right="1080"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20"/>
          <w:szCs w:val="20"/>
          <w:color w:val="auto"/>
        </w:rPr>
        <w:t>and results of operations could be materially and adversely affected. Any reputational damage associated with ESG factors may also adversely impact our ability to recruit and retain employees and customers.</w:t>
      </w:r>
    </w:p>
    <w:p>
      <w:pPr>
        <w:spacing w:after="0" w:line="170"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SEC published final rules on March 28, 2024, relating to the disclosure of a range of climate-related risks and other information. Several lawsuits have been filed challenging the rules. In April 2024, the SEC agreed to pause the rules to facilitate an orderly judicial resolution. To the extent the rules are implemented, we and/or our customers could incur increased costs related to the assessment and disclosure of climate-related information.</w:t>
      </w:r>
    </w:p>
    <w:p>
      <w:pPr>
        <w:spacing w:after="0" w:line="197" w:lineRule="exact"/>
        <w:rPr>
          <w:sz w:val="20"/>
          <w:szCs w:val="20"/>
          <w:color w:val="auto"/>
        </w:rPr>
      </w:pPr>
    </w:p>
    <w:p>
      <w:pPr>
        <w:jc w:val="both"/>
        <w:ind w:left="100" w:firstLine="720"/>
        <w:spacing w:after="0" w:line="271" w:lineRule="auto"/>
        <w:rPr>
          <w:sz w:val="20"/>
          <w:szCs w:val="20"/>
          <w:color w:val="auto"/>
        </w:rPr>
      </w:pPr>
      <w:r>
        <w:rPr>
          <w:rFonts w:ascii="Times New Roman" w:cs="Times New Roman" w:eastAsia="Times New Roman" w:hAnsi="Times New Roman"/>
          <w:sz w:val="20"/>
          <w:szCs w:val="20"/>
          <w:color w:val="auto"/>
        </w:rPr>
        <w:t>It is unclear what effect recent executive orders by President Trump will have on investor and other stakeholders’ near-term and long-term ESG expectations for companies involved in fossil fuel exploration and production.</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Conservation measures and technological advances could reduce demand for oil and natural gas.</w:t>
      </w:r>
    </w:p>
    <w:p>
      <w:pPr>
        <w:spacing w:after="0" w:line="251"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93"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19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w:t>
      </w:r>
    </w:p>
    <w:p>
      <w:pPr>
        <w:spacing w:after="0" w:line="205"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Leases on oil and natural gas properties typically have a term of three to five years, after which they expire unless, prior to expiration, production in paying quantities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Any non-renewal or other loss of leases could materially and adversely affect the growth of our asset basis, cash flows and results of operations.</w:t>
      </w:r>
    </w:p>
    <w:p>
      <w:pPr>
        <w:spacing w:after="0" w:line="203"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93"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2024, our total capital expenditures, including expenditures for drilling, completion, infrastructure and additions to midstream assets, were approximately $2.9 billion. Our 2025 capital budget, which gives effect to the pending Double Eagle Acquisition, for drilling, completion, infrastructure and midstream, including investments in water disposal infrastructure and gathering line projects, is currently estimated to be approximately $3.80 billion to $4.20 billion, representing an increase of 40% from our 2024 capital expenditures. Since completing our initial public offering in October 2012, we have financed capital expenditures primarily with borrowings under our revolving credit facility, cash generated by operations, the net proceeds from public offerings of our common stock and our senior notes and sales of non-core assets.</w:t>
      </w:r>
    </w:p>
    <w:p>
      <w:pPr>
        <w:spacing w:after="0" w:line="214"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spacing w:after="0" w:line="204"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We cannot assure you that our operations and other capital resources will provide cash in sufficient amounts to maintain planned or future levels of capital expenditures. Further, our actual capital expenditures in 2025 could exceed our</w:t>
      </w: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180"/>
          </w:cols>
          <w:pgMar w:left="980" w:top="205" w:right="1080"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sales of assets, offerings of debt or equity securities or other means. We cannot assure you that we will be able to obtain debt or equity financing on terms favorable to us, or at all.</w:t>
      </w:r>
    </w:p>
    <w:p>
      <w:pPr>
        <w:spacing w:after="0" w:line="19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Our success depends on finding, developing or acquiring additional reserves.</w:t>
      </w:r>
    </w:p>
    <w:p>
      <w:pPr>
        <w:spacing w:after="0" w:line="25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and development costs for additional reserves could also increase.</w:t>
      </w:r>
    </w:p>
    <w:p>
      <w:pPr>
        <w:spacing w:after="0" w:line="208"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Our failure to successfully identify, complete and integrate pending and future acquisitions of properties or businesses could reduce our earnings and slow our growth.</w:t>
      </w:r>
    </w:p>
    <w:p>
      <w:pPr>
        <w:spacing w:after="0" w:line="175"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spacing w:after="0" w:line="187"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Environmental or other regulatory issues may arise with respect to acquired entities or operations years after the acquisitions.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211"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21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180"/>
          </w:cols>
          <w:pgMar w:left="980" w:top="205" w:right="1080" w:bottom="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71"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spacing w:after="0" w:line="190" w:lineRule="exact"/>
        <w:rPr>
          <w:sz w:val="20"/>
          <w:szCs w:val="20"/>
          <w:color w:val="auto"/>
        </w:rPr>
      </w:pPr>
    </w:p>
    <w:p>
      <w:pPr>
        <w:jc w:val="both"/>
        <w:ind w:left="100" w:firstLine="721"/>
        <w:spacing w:after="0" w:line="250" w:lineRule="auto"/>
        <w:rPr>
          <w:sz w:val="20"/>
          <w:szCs w:val="20"/>
          <w:color w:val="auto"/>
        </w:rPr>
      </w:pPr>
      <w:r>
        <w:rPr>
          <w:rFonts w:ascii="Times New Roman" w:cs="Times New Roman" w:eastAsia="Times New Roman" w:hAnsi="Times New Roman"/>
          <w:sz w:val="20"/>
          <w:szCs w:val="20"/>
          <w:color w:val="auto"/>
        </w:rPr>
        <w:t>As of December 31, 2024, we have approximately 9,188 gross (7,130 net) identified economic potential horizontal drilling locations in multiple horizons on our acreage at an assumed price of approximately $50.00 per Bbl WTI. As of December 31, 2024, only 1,381 of our gross identified economic potential horizontal drilling locations in which we have a working interest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2024, we have identified approximately 1,657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2024, we are the operator of, have participated in, or have acquired working interest in a total of 6,590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33" w:lineRule="exact"/>
        <w:rPr>
          <w:sz w:val="20"/>
          <w:szCs w:val="20"/>
          <w:color w:val="auto"/>
        </w:rPr>
      </w:pPr>
    </w:p>
    <w:p>
      <w:pPr>
        <w:jc w:val="both"/>
        <w:ind w:lef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contracts, which will result in deficiency payments to the counterparty and may have an adverse effect on our operations.</w:t>
      </w:r>
    </w:p>
    <w:p>
      <w:pPr>
        <w:spacing w:after="0" w:line="18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reduced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The inability of one or more of our customers to meet their obligations may adversely affect our financial results.</w:t>
      </w:r>
    </w:p>
    <w:p>
      <w:pPr>
        <w:spacing w:after="0" w:line="253"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In addition to credit risk related to receivables from commodity derivative contracts, our principal exposure to credit risk is through receivables from joint interest owners on properties we operate and receivables from purchasers of our oil and natural gas production.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99"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We are also subject to credit risk due to the concentration of our oil and natural gas receivables with several significant customers. See Items 1 and 2. Business and Properties—Marketing and Customers of this report for additional information regarding these customers. This concentration of customers may impact our overall credit risk in that these entities may be similarly affected by any adverse changes in economic and other conditions. We do not require our customers</w:t>
      </w: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180"/>
          </w:cols>
          <w:pgMar w:left="980" w:top="205" w:right="1080"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to post collateral. Under certain circumstances, the revenue due to them can be offset by any unpaid receivables. The inability or failure of our significant customers or joint working interest owners to meet their obligations to us or their insolvency or liquidation may materially adversely affect our financial results.</w:t>
      </w: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Our method of accounting for investments in oil and natural gas properties may result in impairment of asset value.</w:t>
      </w:r>
    </w:p>
    <w:p>
      <w:pPr>
        <w:spacing w:after="0" w:line="251"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spacing w:after="0" w:line="19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20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No impairments were recorded on our proved oil and natural gas properties for the years ended December 31, 2024, 2023 and 2022. See Item 7. Management’s Discussion and Analysis of Financial Condition and Results of Operations— Critical Accounting Estimates—Oil and Natural Gas Accounting and Reserves of this report. If the prices of oil and natural gas decline, we may be required to further write-down the value of our oil and natural gas properties in the future, which could negatively affect our results of operations.</w:t>
      </w:r>
    </w:p>
    <w:p>
      <w:pPr>
        <w:spacing w:after="0" w:line="199"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93"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223"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69"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standardized measure of our estimated proved reserves is not necessarily the same as the current market value of our estimated proved oil reserves.</w:t>
      </w:r>
    </w:p>
    <w:p>
      <w:pPr>
        <w:spacing w:after="0" w:line="171"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present value of future net cash flows from our proved reserves, or standardized measure may not represent the current market value of our estimated proved oil reserves. 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180"/>
          </w:cols>
          <w:pgMar w:left="980" w:top="205" w:right="1080"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development of our proved undeveloped reserves may take longer and may require higher levels of capital expenditures than we currently anticipate.</w:t>
      </w:r>
    </w:p>
    <w:p>
      <w:pPr>
        <w:spacing w:after="0" w:line="17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Approximately 33% of our total estimated proved reserves as of December 31, 2024, were proved undeveloped reserves and may not be ultimately developed or produced. Recovery of proved undeveloped reserves requires significant capital expenditures and successful drilling and completion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04"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w:t>
      </w:r>
    </w:p>
    <w:p>
      <w:pPr>
        <w:spacing w:after="0" w:line="191" w:lineRule="exact"/>
        <w:rPr>
          <w:sz w:val="20"/>
          <w:szCs w:val="20"/>
          <w:color w:val="auto"/>
        </w:rPr>
      </w:pPr>
    </w:p>
    <w:p>
      <w:pPr>
        <w:jc w:val="both"/>
        <w:ind w:left="100" w:firstLine="720"/>
        <w:spacing w:after="0" w:line="257" w:lineRule="auto"/>
        <w:rPr>
          <w:sz w:val="20"/>
          <w:szCs w:val="20"/>
          <w:color w:val="auto"/>
        </w:rPr>
      </w:pPr>
      <w:r>
        <w:rPr>
          <w:rFonts w:ascii="Times New Roman" w:cs="Times New Roman" w:eastAsia="Times New Roman" w:hAnsi="Times New Roman"/>
          <w:sz w:val="20"/>
          <w:szCs w:val="20"/>
          <w:color w:val="auto"/>
        </w:rPr>
        <w:t>Our producing properties are currently geographically concentrated in the Permian Basin of West Texas. As a result,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and their adverse impact on production volumes, availability of electrical power, road accessibility and transportation facilities.</w:t>
      </w:r>
    </w:p>
    <w:p>
      <w:pPr>
        <w:spacing w:after="0" w:line="200"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production) to be curtailed or shut in or (in the case of natural gas) flared. Climate change may also increase the frequency and severity of significant weather events over time.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and our production volumes (and therefore on our financial condition and results of operations).</w:t>
      </w:r>
    </w:p>
    <w:p>
      <w:pPr>
        <w:spacing w:after="0" w:line="211"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In addition to the geographic concentration of our producing properties described above, as of December 31, 2024,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97" w:lineRule="exact"/>
        <w:rPr>
          <w:sz w:val="20"/>
          <w:szCs w:val="20"/>
          <w:color w:val="auto"/>
        </w:rPr>
      </w:pPr>
    </w:p>
    <w:p>
      <w:pPr>
        <w:jc w:val="both"/>
        <w:ind w:left="100" w:firstLine="1"/>
        <w:spacing w:after="0" w:line="266" w:lineRule="auto"/>
        <w:rPr>
          <w:sz w:val="20"/>
          <w:szCs w:val="20"/>
          <w:color w:val="auto"/>
        </w:rPr>
      </w:pPr>
      <w:r>
        <w:rPr>
          <w:rFonts w:ascii="Times New Roman" w:cs="Times New Roman" w:eastAsia="Times New Roman" w:hAnsi="Times New Roman"/>
          <w:sz w:val="20"/>
          <w:szCs w:val="20"/>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94"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availability of a ready market for any oil and/or natural gas we produce depends on numerous factors beyond the control of our management, including those discussed. We cannot assure you that we will continue to have ready access to suitable markets for our future oil and natural gas production. In addition, we depend upon several significant purchasers for the sale of most of our oil and natural gas production. See Items 1 and 2. Business and Properties—Marketing and Customers of this report for additional information regarding these customers.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180"/>
          </w:cols>
          <w:pgMar w:left="980" w:top="205" w:right="108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unavailability, high cost or shortages of rigs, equipment, raw materials, supplies, oilfield services or personnel may restrict our operations.</w:t>
      </w:r>
    </w:p>
    <w:p>
      <w:pPr>
        <w:spacing w:after="0" w:line="171"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any of the items referenced above could delay or restrict our exploration and development operations, which in turn could impair our financial condition and results of operations.</w:t>
      </w:r>
    </w:p>
    <w:p>
      <w:pPr>
        <w:spacing w:after="0" w:line="210"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7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Also, in 2021, the Texas Legislature directed the Texas Railroad Commission to adopt rules encouraging fluid oil and gas waste recycling. On January 3, 2025, the Commission published final amendments to its water protection rules to, among other things, encourage waste recycling. The revised rules will go into effect on July 1, 2025.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210"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Recent regulatory restrictions on the disposal of produced water and additional monitoring and reporting requirements related to existing and new produced water disposal wells in the Permian Basin to stem rising seismic activity and earthquakes could increase our operating costs and adversely impact our business, results of operations and financial condition.</w:t>
      </w:r>
    </w:p>
    <w:p>
      <w:pPr>
        <w:spacing w:after="0" w:line="198"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 Texas Railroad Commission has since adopted rules governing the permitting or re-permitting of wells used to dispose of produced water and other fluids resulting from the production of oil and gas in order to address these seismic activity concerns within the state. Among other things, these rules require companies seeking permits for disposal wells to provide seismic activity data in permit applications, provide for more frequent monitoring and reporting for certain wells and allow the state to modify, suspend or terminate permits on grounds that a disposal well is likely to be, or determined to be, causing seismic activity. These restrictions and additional monitoring and reporting requirements related to existing and new produced water and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w:t>
      </w:r>
    </w:p>
    <w:p>
      <w:pPr>
        <w:spacing w:after="0" w:line="222"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19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Our operations involve developing and utilizing the latest drilling and completion techniques. Risks that we face while drilling include, but are not limited to, spacing of wells to maximize economic return;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180"/>
          </w:cols>
          <w:pgMar w:left="980" w:top="205" w:right="1080"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45"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19"/>
          <w:szCs w:val="19"/>
          <w:color w:val="auto"/>
        </w:rPr>
        <w:t>Risks that we face while completing our wells include, but are not limited to, being able to fracture stimulate the planned number of stages; run tools the entire length of the well bore during completion operations; successfully clean out the well bore after completion of the final fracture stimulation stage; and prevent unintentional communication with other wells.</w:t>
      </w:r>
    </w:p>
    <w:p>
      <w:pPr>
        <w:spacing w:after="0" w:line="169"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206"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203" w:lineRule="exact"/>
        <w:rPr>
          <w:sz w:val="20"/>
          <w:szCs w:val="20"/>
          <w:color w:val="auto"/>
        </w:rPr>
      </w:pPr>
    </w:p>
    <w:p>
      <w:pPr>
        <w:ind w:left="100" w:right="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75" w:lineRule="exact"/>
        <w:rPr>
          <w:sz w:val="20"/>
          <w:szCs w:val="20"/>
          <w:color w:val="auto"/>
        </w:rPr>
      </w:pPr>
    </w:p>
    <w:p>
      <w:pPr>
        <w:jc w:val="both"/>
        <w:ind w:left="100" w:firstLine="721"/>
        <w:spacing w:after="0" w:line="251" w:lineRule="auto"/>
        <w:rPr>
          <w:sz w:val="20"/>
          <w:szCs w:val="20"/>
          <w:color w:val="auto"/>
        </w:rPr>
      </w:pPr>
      <w:r>
        <w:rPr>
          <w:rFonts w:ascii="Times New Roman" w:cs="Times New Roman" w:eastAsia="Times New Roman" w:hAnsi="Times New Roman"/>
          <w:sz w:val="20"/>
          <w:szCs w:val="20"/>
          <w:color w:val="auto"/>
        </w:rPr>
        <w:t>The marketability of our oil and natural gas production depends in part upon the availability, proximity and capacity of transportation facilities owned by third parties. We do not control third-party transportation facilities and our access to them may be limited or denied. Insufficient production from our wells to support the construction of pipeline facilities by our purchasers or a significant disruption in the availability of our or third-party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219" w:lineRule="exact"/>
        <w:rPr>
          <w:sz w:val="20"/>
          <w:szCs w:val="20"/>
          <w:color w:val="auto"/>
        </w:rPr>
      </w:pPr>
    </w:p>
    <w:p>
      <w:pPr>
        <w:ind w:left="100" w:right="3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various governmental laws and regulations which require compliance that can be burdensome and expensive.</w:t>
      </w:r>
    </w:p>
    <w:p>
      <w:pPr>
        <w:spacing w:after="0" w:line="171" w:lineRule="exact"/>
        <w:rPr>
          <w:sz w:val="20"/>
          <w:szCs w:val="20"/>
          <w:color w:val="auto"/>
        </w:rPr>
      </w:pPr>
    </w:p>
    <w:p>
      <w:pPr>
        <w:jc w:val="both"/>
        <w:ind w:left="100" w:firstLine="721"/>
        <w:spacing w:after="0" w:line="251" w:lineRule="auto"/>
        <w:rPr>
          <w:sz w:val="20"/>
          <w:szCs w:val="20"/>
          <w:color w:val="auto"/>
        </w:rPr>
      </w:pPr>
      <w:r>
        <w:rPr>
          <w:rFonts w:ascii="Times New Roman" w:cs="Times New Roman" w:eastAsia="Times New Roman" w:hAnsi="Times New Roman"/>
          <w:sz w:val="20"/>
          <w:szCs w:val="20"/>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 regulations may continue in the long- term, and at the state and local levels. See Items 1 and 2. Business and Properties— Regulation of this report for a detailed description of certain laws and regulations that affect us.</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180"/>
          </w:cols>
          <w:pgMar w:left="980" w:top="205" w:right="1080" w:bottom="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42" w:lineRule="exact"/>
        <w:rPr>
          <w:sz w:val="20"/>
          <w:szCs w:val="20"/>
          <w:color w:val="auto"/>
        </w:rPr>
      </w:pPr>
    </w:p>
    <w:p>
      <w:pPr>
        <w:ind w:left="100"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71"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such as the recent designation of lesser prairie chickens in southwestern Texas and the dunes sagebrush lizard in southeast New Mexico and west Texas as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216" w:lineRule="exact"/>
        <w:rPr>
          <w:sz w:val="20"/>
          <w:szCs w:val="20"/>
          <w:color w:val="auto"/>
        </w:rPr>
      </w:pPr>
    </w:p>
    <w:p>
      <w:pPr>
        <w:ind w:left="100"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202528"/>
        </w:rPr>
        <w:t>Derivatives reform legislation and related regulations could have an adverse effect on our ability to hedge risks associated with our business.</w:t>
      </w:r>
    </w:p>
    <w:p>
      <w:pPr>
        <w:spacing w:after="0" w:line="171"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19"/>
          <w:szCs w:val="19"/>
          <w:color w:val="auto"/>
        </w:rPr>
        <w:t>The Dodd -Frank Act established federal oversight of the over-the-counter derivatives market and entities, including us, that participate in that market. The Dodd-Frank Act required the Commodity Futures Trading Commission (CFTC), the SEC, and certain federal regulators of financial institutions (Prudential Regulators), to adopt rules or regulations implementing the Dodd-Frank Act. The Dodd-Frank Act established margin requirements and requires clearing and trade execution practices for certain market participants and may result in certain market participants needing to curtail or cease their derivatives activities. Although some of the rules necessary to implement the Dodd-Frank Act remain to be adopted, the CFTC, the SEC and the Prudential Regulators have issued a number of rules, including rules requiring clearing of certain swaps through registered clearing facilities (Mandatory Clearing Rule), requiring the posting of collateral for uncleared swaps (Margin Rule) and imposing position limits (Position Limit Rule). There are exceptions, subject to meeting certain filing, recordkeeping and reporting requirements, to the Mandatory Clearing Rule, the Margin Rule and the Position Limit Rule.</w:t>
      </w:r>
    </w:p>
    <w:p>
      <w:pPr>
        <w:spacing w:after="0" w:line="19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qualify for the “end user” exception to the Mandatory Clearing Rule and the “non-financial end user” exception to the Margin Rule and we believe that the majority, if not all, of our hedging activities qualify for the “bona fide hedging transaction or position” exception to the Position Limit Rule. We intend to satisfy the applicable filing, recordkeeping and reporting requirements to use these exceptions, so we do not expect to be directly affected by any of such rules. However, most if not all of our swap counterparties will be subject to mandatory clearing and collateral requirements in connection with their hedging activities with other counterparties that do not qualify for exceptions to these rules, which could significantly increase the cost of our derivative contracts or reduce the availability of derivatives to us that we have historically used to protect against risks that we encounter in our business.</w:t>
      </w:r>
    </w:p>
    <w:p>
      <w:pPr>
        <w:spacing w:after="0" w:line="208"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In addition, the European Union and other non-U.S. jurisdictions have enacted laws and regulations (collectively, Foreign Regulations), which may apply to our transactions with counterparties subject to such Foreign Regulations (Foreign Counterparties). The Foreign Regulations, the Dodd- Frank Act, the rules which have been adopted and not vacated and other regulations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If we reduce our use of derivatives as a result of the Dodd-Frank Act, the Foreign Regulations or other regulations, our results of operations and cash flows may become more volatile and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U.S. tax legislation may adversely affect our business, results of operations, financial condition and cash flow.</w:t>
      </w:r>
    </w:p>
    <w:p>
      <w:pPr>
        <w:spacing w:after="0" w:line="249"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202528"/>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w:t>
      </w: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180"/>
          </w:cols>
          <w:pgMar w:left="980" w:top="205" w:right="1080"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202528"/>
        </w:rPr>
        <w:t>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19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On August 16, 2022, President Biden signed into law the IRA, which, among other changes, imposes a 15% corporate alternative minimum tax (“CAMT”) on the “adjusted financial statement income” of certain large corporations (generally, corporations reporting more than $1 billion average adjusted pre-tax net income on their consolidated financial statements) for tax years beginning after December 31, 2022. While we are subject to CAMT, we did not incur a CAMT liability for 2024.</w:t>
      </w:r>
    </w:p>
    <w:p>
      <w:pPr>
        <w:spacing w:after="0" w:line="202"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IRA also imposes an excise tax of 1% on the fair market value of certain public company stock repurchases occurring on or after January 1, 2023. The excise tax is imposed on the repurchasing corporation, and the amount of the excise tax is generally 1% of the aggregate fair market value of the stock repurchased during the taxable year. However, for purposes of calculating the excise tax, repurchasing corporations are permitted to net the fair market value of certain new stock issuances against the fair market value of stock repurchases during the same taxable year. To the extent the 1% excise tax applies to repurchases of shares under our common stock repurchase program, the number of shares we repurchase and our cash flow may be affected.</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U.S. Treasury Department, the Internal Revenue Service and other standard-setting bodies are expected to issue additional guidance on how CAMT, stock buyback excise tax and other provisions of the IRA will be applied or otherwise administered that may differ from our interpretations. We continue to evaluate the IRA and its effect on our financial results and operating cash flow.</w:t>
      </w:r>
    </w:p>
    <w:p>
      <w:pPr>
        <w:spacing w:after="0" w:line="197"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We operate in areas of high industry activity, which may affect our ability to hire, train or retain qualified personnel needed to manage and operate our assets.</w:t>
      </w:r>
    </w:p>
    <w:p>
      <w:pPr>
        <w:spacing w:after="0" w:line="17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99"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We rely on a few key employees whose absence or loss could adversely affect our business.</w:t>
      </w:r>
    </w:p>
    <w:p>
      <w:pPr>
        <w:spacing w:after="0" w:line="25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Many key responsibilities within our business have been assigned to a small number of employees. The loss of their services could adversely affect our business. In particular, the loss of the services of one or more members of our executive team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Operating hazards and uninsured risks may result in substantial losses and could prevent us from realizing profits.</w:t>
      </w:r>
    </w:p>
    <w:p>
      <w:pPr>
        <w:spacing w:after="0" w:line="251" w:lineRule="exact"/>
        <w:rPr>
          <w:sz w:val="20"/>
          <w:szCs w:val="20"/>
          <w:color w:val="auto"/>
        </w:rPr>
      </w:pPr>
    </w:p>
    <w:p>
      <w:pPr>
        <w:jc w:val="both"/>
        <w:ind w:left="100" w:firstLine="721"/>
        <w:spacing w:after="0" w:line="253" w:lineRule="auto"/>
        <w:rPr>
          <w:sz w:val="20"/>
          <w:szCs w:val="20"/>
          <w:color w:val="auto"/>
        </w:rPr>
      </w:pPr>
      <w:r>
        <w:rPr>
          <w:rFonts w:ascii="Times New Roman" w:cs="Times New Roman" w:eastAsia="Times New Roman" w:hAnsi="Times New Roman"/>
          <w:sz w:val="20"/>
          <w:szCs w:val="20"/>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180"/>
          </w:cols>
          <w:pgMar w:left="980" w:top="205" w:right="1080"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223"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21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 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5"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7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201"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own interests in certain pipeline projects and other joint ventures, and we may in the future enter into additional joint ventures, and our control of such entities is limited by provisions of the governing documents of such entities and by our percentage ownership in such entities.</w:t>
      </w:r>
    </w:p>
    <w:p>
      <w:pPr>
        <w:spacing w:after="0" w:line="19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have ownership interests in several joint ventures, and we may enter into other similar arrangements in the future. While we own equity interests and have certain voting rights with respect to our ownership interest, we do not control our joint ventures.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In addition, our joint venture partners may not satisfy their financial obligations to the joint venture and may have economic, business or legal interests or goals that are inconsistent with ours, or those of the joint venture.</w:t>
      </w:r>
    </w:p>
    <w:p>
      <w:pPr>
        <w:spacing w:after="0" w:line="208"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We are also unable to control the amount of cash we receive from the operation of these entities. Further, certain of these joint ventures have incurred substantial debt and servicing such debt or complying with debt covenants may limit the</w:t>
      </w: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180"/>
          </w:cols>
          <w:pgMar w:left="980" w:top="205" w:right="1080"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ability of the joint ventures to make distributions to us and the other joint venture partners. 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of the joint venture.</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keep pace with technological developments in our industry.</w:t>
      </w:r>
    </w:p>
    <w:p>
      <w:pPr>
        <w:spacing w:after="0" w:line="25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A terrorist attack or armed conflict could harm our business.</w:t>
      </w:r>
    </w:p>
    <w:p>
      <w:pPr>
        <w:spacing w:after="0" w:line="25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204"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17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are heavily dependent on electrical power, internet and telecommunications infrastructure and our information systems and computer- 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199"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cybersecurity risks. A cyber incident could occur and result in information theft, data corruption, operational disruption and/or financial loss.</w:t>
      </w:r>
    </w:p>
    <w:p>
      <w:pPr>
        <w:spacing w:after="0" w:line="17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As an exploration and production company, we rely extensively on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(iii) process and analyze all stages of our business operations, including exploration, drilling, completions, production, transportation, pipelines and other related activities and (iv) communicate with our employees and vendors, suppliers and other third parties. Further, our reliance on technology has increased due to the increased use of personal devices, remote communications and work-from-home or hybrid work practices that evolved in response to the COVID-19 pandemic and became a common business practice thereafter.</w:t>
      </w:r>
    </w:p>
    <w:p>
      <w:pPr>
        <w:spacing w:after="0" w:line="208" w:lineRule="exact"/>
        <w:rPr>
          <w:sz w:val="20"/>
          <w:szCs w:val="20"/>
          <w:color w:val="auto"/>
        </w:rPr>
      </w:pPr>
    </w:p>
    <w:p>
      <w:pPr>
        <w:jc w:val="both"/>
        <w:ind w:left="100" w:firstLine="721"/>
        <w:spacing w:after="0" w:line="252" w:lineRule="auto"/>
        <w:rPr>
          <w:sz w:val="20"/>
          <w:szCs w:val="20"/>
          <w:color w:val="auto"/>
        </w:rPr>
      </w:pPr>
      <w:r>
        <w:rPr>
          <w:rFonts w:ascii="Times New Roman" w:cs="Times New Roman" w:eastAsia="Times New Roman" w:hAnsi="Times New Roman"/>
          <w:sz w:val="20"/>
          <w:szCs w:val="20"/>
          <w:color w:val="auto"/>
        </w:rPr>
        <w:t>Risks from cybersecurity threats have not materially affected, and are not currently anticipated to materially affect our company, including our business strategy, results of operations and financial condition. However, our systems and networks, and those of our vendors, service providers and other third-party providers, may become the target of cybersecurity attacks, including, without limitation, denial-of-service attacks; malicious software; data privacy breaches by employees, insiders or others with authorized access; cyber or phishing-attacks; ransomware; attempts to gain unauthorized access to our data and systems; and other electronic security breaches. Security incidents can also occur as a result of non- technical issues, such as physical theft. More recently, advancements in artificial intelligence (“AI”) may pose serious risks for many of the traditional tools used to identify individuals, including voice recognition (whether by machine or the human ear), facial recognition or screening questions to confirm identities. In addition, generative AI systems may also be used by malicious actors to create more sophisticated cyber-attacks (i.e., more realistic phishing or other attacks). The advancements in AI could lead to an increase in the frequency of identity fraud or cyberattacks (whether successful or unsuccessful), which could cause us to incur increasing costs, including costs to deploy additional personnel, protection technologies and policies and procedures, train employees, and engage third-party experts and consultants. If any of these security breaches were to occur,</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180"/>
          </w:cols>
          <w:pgMar w:left="980" w:top="205" w:right="1080"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1" w:lineRule="auto"/>
        <w:rPr>
          <w:sz w:val="20"/>
          <w:szCs w:val="20"/>
          <w:color w:val="auto"/>
        </w:rPr>
      </w:pPr>
      <w:r>
        <w:rPr>
          <w:rFonts w:ascii="Times New Roman" w:cs="Times New Roman" w:eastAsia="Times New Roman" w:hAnsi="Times New Roman"/>
          <w:sz w:val="20"/>
          <w:szCs w:val="20"/>
          <w:color w:val="auto"/>
        </w:rPr>
        <w:t>we could suffer disruptions to our normal operations, including our exploration, completion, production and corporate functions, which could materially and adversely affect us in a variety of ways, including, but not limited to, unauthorized access to, and release of, our business data, reserves information, strategic information or other sensitive or proprietary information, which could have a material and adverse effect on our ability to compete for oil and gas resources, or reduce our competitive advantage over other companies; data corruption, communication interruption, or other operational disruptions during our drilling activities, which could result in our failure to reach the intended target or a drilling incident; data corruption or operational disruptions of our production-related infrastructure, which could result in loss of production or accidental discharges; unauthorized access to, and release of, personal information of our employees, vendors, service providers, royalty and working interest owners, or other third parties, which could expose us to allegations that we did not sufficiently protect such information; a cybersecurity attack on a vendor, service provider or other business partner, which could result in supply chain disruptions and could delay or halt our operations; a cybersecurity attack on third-party gathering, transportation, processing, fractionation, refining or other facilities, which could result in reduced demand for our production or delay or prevent us from transporting and marketing our production, in either case resulting in a loss of revenues; a cybersecurity attack involving commodities exchanges or financial institutions could slow or halt commodities trading, thus preventing us from marketing our production or engaging in hedging activities, resulting in a loss of revenues; a deliberate corruption of our financial or operating data could result in events of non-compliance which could then lead to regulatory enforcement actions, fines or penalties; a cybersecurity attack on a communications network or power grid, which could cause operational disruptions resulting in a loss of revenues; and a cybersecurity attack on our automated and surveillance systems, which could cause a loss of production and potential environmental hazards.</w:t>
      </w:r>
    </w:p>
    <w:p>
      <w:pPr>
        <w:spacing w:after="0" w:line="219"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 We have engaged third-party consultants to conduct penetration testing and risk assessments. Our cybersecurity governance program is informed by the National Institute of Standards and Technology (“NIST”) Cybersecurity Framework and measured by the Maturity and Risk Assessment Ratings associated with the NIST Cybersecurity Framework and the Capability Maturity Model Integration. Such measures, however, cannot entirely eliminate cybersecurity threats and the controls, procedures and protections we have implemented and invested in may prove to be ineffective.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15"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Evolving privacy-related laws could give rise to liabilities, which could adversely impact our business, results of operations or financial condition.</w:t>
      </w:r>
    </w:p>
    <w:p>
      <w:pPr>
        <w:spacing w:after="0" w:line="219"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A variety of U.S. federal, state and international laws and regulations govern the collection, use, retention, sharing and security of personal data. All 50 states have enacted legislation on data breach notification requirements and many states continue to enact laws on matters of privacy, data protection and cybersecurity. The existing privacy- related laws and regulations are evolving and subject to potentially differing interpretations. In addition, various U.S. federal, state and foreign legislative and regulatory bodies continue to enact new laws regarding privacy and data protection, as well as expand the scope of existing laws. For example, Texas recently passed the Texas Data Privacy and Security Act, which establishes new laws for collecting, storing, processing, and selling consumer information. Several other states, such as California, Utah, Colorado, Virginia, Connecticut, Michigan, Ohio, Pennsylvania, and New Jersey, among others, have proposed or passed legislation regarding data privacy and use. We cannot predict the impact of any such evolving privacy-related laws on our business, operations or financial condition, but may find it necessary to enhance our existing systems and procedures, which may involve substantial expense or distraction from other aspects of our business. In addition, any violations of applicable privacy-related laws or regulations may require us to address legal claims, sustain monetary penalties or incur other liabilities, as well as cause reputational damage, any of which could adversely impact our business, results of operations or financial condition.</w:t>
      </w:r>
    </w:p>
    <w:p>
      <w:pPr>
        <w:spacing w:after="0" w:line="223"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Following the closing of the Endeavor Acquisition, the Endeavor equityholders have the ability to significantly influence our business, and their interest in our business may be different from that of other stockholders.</w:t>
      </w:r>
    </w:p>
    <w:p>
      <w:pPr>
        <w:spacing w:after="0" w:line="17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As of December 31, 2024, Endeavor’s equityholders held approximately 36% of our common stock. Pursuant to an agreement with the Endeavor equityholders (the “Stockholders Agreement), the Company appointed three additional directors to our board of directors of the Company at closing of the Endeavor Acquisition. We will not be permitted to take certain actions without the consent of the holders of a majority of the shares of our common stock held by the Endeavor equityholders. The Endeavor equityholders’ level of ownership and influence may make some transactions (such as those involving mergers, material share issuances or changes in control) more difficult or impossible, which in turn could adversely</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180"/>
          </w:cols>
          <w:pgMar w:left="980" w:top="205" w:right="1080"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affect the market price of our shares of common stock or prevent our shareholders from realizing a premium over the market price for their shares of our common stock. The interests of the Endeavor equityholders may conflict with the interests of other stockholders.</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56"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References in this section to “us, “we” or “our” shall mean Diamondback Energy, Inc. and Diamondback E&amp;P LLC, collectively, unless otherwise specified.</w:t>
      </w:r>
    </w:p>
    <w:p>
      <w:pPr>
        <w:spacing w:after="0" w:line="169"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Servicing our indebtedness requires a significant amount of cash, and we may not have sufficient cash flow from our business to pay our substantial indebtedness.</w:t>
      </w:r>
    </w:p>
    <w:p>
      <w:pPr>
        <w:spacing w:after="0" w:line="171"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15"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The significant additional indebtedness incurred in connection with the Endeavor Acquisition, as well as additional indebtedness that may be incurred in connection with future acquisitions, may limit our operating or financial flexibility and make it difficult to satisfy our obligations with respect to our other indebtedness.</w:t>
      </w:r>
    </w:p>
    <w:p>
      <w:pPr>
        <w:spacing w:after="0" w:line="19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incurred a substantial amount of debt to finance the cash consideration of the Endeavor Acquisition and to repay certain existing indebtedness of Endeavor. Additionally, from time to time we may incur additional indebtedness in connection with other acquisitions in the future. Our increased level of debt could have negative consequences on us, including, among other things, (i) requiring us to dedicate a larger portion of cash flow from operations to servicing and repayment of the debt, (ii) reducing funds available for strategic initiatives and opportunities, working capital and other general corporate needs, (iii) limiting our ability to incur additional indebtedness, which could restrict our flexibility to react to changes in our business, our industry and economic conditions and (iv) placing us at a competitive disadvantage compared to our competitors that have less debt.</w:t>
      </w:r>
    </w:p>
    <w:p>
      <w:pPr>
        <w:spacing w:after="0" w:line="205" w:lineRule="exact"/>
        <w:rPr>
          <w:sz w:val="20"/>
          <w:szCs w:val="20"/>
          <w:color w:val="auto"/>
        </w:rPr>
      </w:pPr>
    </w:p>
    <w:p>
      <w:pPr>
        <w:jc w:val="both"/>
        <w:ind w:lef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and our subsidiaries may still be able to incur substantial additional indebtedness in the future, which could further exacerbate the risks that we and our subsidiaries face.</w:t>
      </w:r>
    </w:p>
    <w:p>
      <w:pPr>
        <w:spacing w:after="0" w:line="171"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216"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spacing w:after="0" w:line="193"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w:t>
      </w: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180"/>
          </w:cols>
          <w:pgMar w:left="980" w:top="205" w:right="1080"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20"/>
          <w:szCs w:val="20"/>
          <w:color w:val="auto"/>
        </w:rPr>
        <w:t>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spacing w:after="0" w:line="204"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Restrictive covenants in certain of our existing and future debt instruments may limit our ability to respond to changes in market conditions or pursue business opportunities.</w:t>
      </w:r>
    </w:p>
    <w:p>
      <w:pPr>
        <w:spacing w:after="0" w:line="17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 A breach of any of these restrictive covenants could result in default under the applicable debt instrument.</w:t>
      </w:r>
    </w:p>
    <w:p>
      <w:pPr>
        <w:spacing w:after="0" w:line="199"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spacing w:after="0" w:line="20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If a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We depend on our subsidiaries for dividends and other payments.</w:t>
      </w:r>
    </w:p>
    <w:p>
      <w:pPr>
        <w:spacing w:after="0" w:line="25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As a holding company, we depend on our subsidiaries for dividends and other payments. We are a legal entity separate and distinct from our operating subsidiaries. There are statutory and regulatory limitations on the payment of dividends. If our subsidiaries are unable to make dividend payments to us and sufficient cash or liquidity is not otherwise available, we may not be able to make dividend payments to our stockholders or principal and interest payments on our outstanding indebtedness.</w:t>
      </w:r>
    </w:p>
    <w:p>
      <w:pPr>
        <w:spacing w:after="0" w:line="201" w:lineRule="exact"/>
        <w:rPr>
          <w:sz w:val="20"/>
          <w:szCs w:val="20"/>
          <w:color w:val="auto"/>
        </w:rPr>
      </w:pPr>
    </w:p>
    <w:p>
      <w:pPr>
        <w:ind w:left="100" w:right="8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75"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Borrowings under our and Viper LLC’s revolving credit facilities expose us to interest rate risk.</w:t>
      </w:r>
    </w:p>
    <w:p>
      <w:pPr>
        <w:spacing w:after="0" w:line="25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Our earnings are exposed to interest rate risk associated with borrowings under our and Viper LLC’s revolving credit facilities. The terms of our and Viper LLC’s revolving credit facilities provide for interest on borrowings at a floating rate equal to an alternate base rate tied to the secured overnight financing rate (“SOFR”). SOFR tends to fluctuate based on multiple factors, including general short-term interest rates, rates set by the U.S. Federal Reserve and other central banks and general economic conditions. From time to time, we use interest rate swaps to reduce interest rate exposure with respect to our fixed and/or floating rate debt. The weighted average interest rate on borrowings under our revolving credit facility was 6.33% during the year ended December 31, 2024. Viper LLC’s weighted average interest rate on borrowings from its</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180"/>
          </w:cols>
          <w:pgMar w:left="980" w:top="205" w:right="1080"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20"/>
          <w:szCs w:val="20"/>
          <w:color w:val="auto"/>
        </w:rPr>
        <w:t>revolving credit facility was 7.34% during the year ended December 31, 2024. If interest rates increase, so will our interest costs, which may have a material adverse effect on our results of operations and financial condition.</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55"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The declaration of base and variable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spacing w:after="0" w:line="19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decision to pay any future base and variable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whether base or variable, or declare dividends at rates that are less than currently anticipated, either of which could reduce returns to our stockholders.</w:t>
      </w:r>
    </w:p>
    <w:p>
      <w:pPr>
        <w:spacing w:after="0" w:line="205" w:lineRule="exact"/>
        <w:rPr>
          <w:sz w:val="20"/>
          <w:szCs w:val="20"/>
          <w:color w:val="auto"/>
        </w:rPr>
      </w:pPr>
    </w:p>
    <w:p>
      <w:pPr>
        <w:jc w:val="both"/>
        <w:ind w:left="100" w:firstLine="721"/>
        <w:spacing w:after="0" w:line="253" w:lineRule="auto"/>
        <w:rPr>
          <w:sz w:val="20"/>
          <w:szCs w:val="20"/>
          <w:color w:val="auto"/>
        </w:rPr>
      </w:pPr>
      <w:r>
        <w:rPr>
          <w:rFonts w:ascii="Times New Roman" w:cs="Times New Roman" w:eastAsia="Times New Roman" w:hAnsi="Times New Roman"/>
          <w:sz w:val="20"/>
          <w:szCs w:val="20"/>
          <w:color w:val="auto"/>
        </w:rPr>
        <w:t>In September 2024, our board of directors approved an increase in our common stock repurchase program to acquire up to $6.0 billion. We may be limited in our ability to repurchase shares of our common stock by various governmental laws, rules and regulations which prevent us from purchasing our common stock during periods when we are in possession of material non-public information. Through December 31, 2024, approximately $3.3 billion has been repurchased through the repurchase program. Even though this program is in place, we may not repurchase any shares through the program and any such repurchases are completely within the discretion of our board of directors. In addition, the stock repurchase program has no time limit and may be suspended, modified, or discontinued by the board of directors at any time. Any elimination of, or reduction in, the Company’s base or variable dividend or common stock repurchase program could adversely affect the total return of an investment in and have a material adverse effect on the market price of our common stock.</w:t>
      </w:r>
    </w:p>
    <w:p>
      <w:pPr>
        <w:spacing w:after="0" w:line="214"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Beginning in the first quarter of 2024, our board of directors approved a reduction to our return of capital commitment to at least 50% (down from 75%) of free cash flow to be distributed quarterly to our stockholders in the primary form of a base dividend with additional return of capital expected to be in the form of a variable dividend and through our stock repurchase program. The amount of cash available to return to our stockholders, if any, can vary significantly from quarter to quarter for a number of reasons, including commodity prices, liquidity, debt levels, capital resources and other factors. The price of our common stock may deteriorate if we are unable to meet investor expectations with respect to the timing and amount of our return of capital commitment to our shareholders, and such deterioration may be material.</w:t>
      </w:r>
    </w:p>
    <w:p>
      <w:pPr>
        <w:spacing w:after="0" w:line="204" w:lineRule="exact"/>
        <w:rPr>
          <w:sz w:val="20"/>
          <w:szCs w:val="20"/>
          <w:color w:val="auto"/>
        </w:rPr>
      </w:pPr>
    </w:p>
    <w:p>
      <w:pPr>
        <w:jc w:val="both"/>
        <w:ind w:left="10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The market value of our common stock could decline if large amounts of our common stock are sold following the Endeavor Acquisition and the pending Double Eagle Acquisition.</w:t>
      </w:r>
    </w:p>
    <w:p>
      <w:pPr>
        <w:spacing w:after="0" w:line="17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At closing, we entered into the Stockholders Agreement with the Endeavor equityholders that, among other things, provided the Endeavor equityholders with certain shelf, demand and piggyback registration rights. While the Endeavor equityholders are subject to a lock-up with respect to 90% of the shares of our common stock issued in the Endeavor Acquisition, the lock- up will apply to 66.6% and 33.3% of the shares issued in the Endeavor Acquisition following March 10, 2025 and September 10, 2025, respectively, and will terminate following March 10, 2026. Additionally, if the pending Double Eagle Acquisition is consummated, we will issue approximately 6.9 million shares of our common stock to the seller. Endeavor equityholders and Double Eagle equityholders may decide not to hold shares of our common stock that they received in the Endeavor Acquisition and Double Eagle Acquisitions, respectively, and may decide to reduce their investment in us. Such sales of our common stock or the perception that these sales may occur, could have the effect of depressing the market price for our common stock.</w:t>
      </w: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A change of control could limit our use of net operating losses and certain other tax attributes.</w:t>
      </w:r>
    </w:p>
    <w:p>
      <w:pPr>
        <w:spacing w:after="0" w:line="251" w:lineRule="exact"/>
        <w:rPr>
          <w:sz w:val="20"/>
          <w:szCs w:val="20"/>
          <w:color w:val="auto"/>
        </w:rPr>
      </w:pPr>
    </w:p>
    <w:p>
      <w:pPr>
        <w:jc w:val="both"/>
        <w:ind w:left="100" w:firstLine="720"/>
        <w:spacing w:after="0" w:line="269" w:lineRule="auto"/>
        <w:rPr>
          <w:sz w:val="20"/>
          <w:szCs w:val="20"/>
          <w:color w:val="auto"/>
        </w:rPr>
      </w:pPr>
      <w:r>
        <w:rPr>
          <w:rFonts w:ascii="Times New Roman" w:cs="Times New Roman" w:eastAsia="Times New Roman" w:hAnsi="Times New Roman"/>
          <w:sz w:val="19"/>
          <w:szCs w:val="19"/>
          <w:color w:val="auto"/>
        </w:rPr>
        <w:t>Under Section 382 of the Internal Revenue Code of 1986, as amended (the “Code”), a corporation that experiences an “ownership change” (as defined in the Code) may be subject to limitations on its ability to offset taxable income arising after the ownership change with net operating losses (“NOLs”) or tax credits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 an annual limitation on the amount of a corporation’s pre-change NOLs or tax credits that could be utilized to offset taxable income in any future taxable year. The amount of the limitation is generally equal to the value of the corporation’s stock immediately prior to the ownership change multiplied by an interest rate, referred</w:t>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180"/>
          </w:cols>
          <w:pgMar w:left="980" w:top="205" w:right="1080"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40"/>
        <w:spacing w:after="0" w:line="286" w:lineRule="auto"/>
        <w:rPr>
          <w:sz w:val="20"/>
          <w:szCs w:val="20"/>
          <w:color w:val="auto"/>
        </w:rPr>
      </w:pPr>
      <w:r>
        <w:rPr>
          <w:rFonts w:ascii="Times New Roman" w:cs="Times New Roman" w:eastAsia="Times New Roman" w:hAnsi="Times New Roman"/>
          <w:sz w:val="20"/>
          <w:szCs w:val="20"/>
          <w:color w:val="auto"/>
        </w:rPr>
        <w:t>to as the long-term tax- exempt rate, periodically promulgated by the IRS. This limitation, however, may be significantly increased if there is “net unrealized built-in gain” in the assets of the corporation undergoing the ownership change.</w:t>
      </w:r>
    </w:p>
    <w:p>
      <w:pPr>
        <w:spacing w:after="0" w:line="170"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2024, we had an NOL carryforward of approximately $538 million and tax credits of $4 million for U.S. federal income tax purposes, principally consisting of tax attributes acquired from QEP Resources, Inc. (“QEP”) and Rattler. As a result of ownership changes for Diamondback Energy, Inc., QEP and Rattler, which occurred in connection with the acquisition of QEP and the Rattler Merger, our NOLs and other carryforwards, including those acquired from QEP and Rattler, are subject to an annual limitation under Section 382 of the Code. However, we have determined that our fair market value and our net unrealized built-in gain position resulted in a significant increase in our Section 382 limits. Accordingly, we believe that the application of Section 382 of the Code as a result of these ownership changes will not have a material adverse effect on our ability to utilize our NOLs and credits.</w:t>
      </w:r>
    </w:p>
    <w:p>
      <w:pPr>
        <w:spacing w:after="0" w:line="20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Future changes in our stock ownership, however,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We may issue preferred stock whose terms could adversely affect the voting power or value of our common stock.</w:t>
      </w:r>
    </w:p>
    <w:p>
      <w:pPr>
        <w:spacing w:after="0" w:line="253"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4" w:lineRule="exact"/>
        <w:rPr>
          <w:sz w:val="20"/>
          <w:szCs w:val="20"/>
          <w:color w:val="auto"/>
        </w:rPr>
      </w:pPr>
    </w:p>
    <w:p>
      <w:pPr>
        <w:ind w:left="100" w:right="3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Delaware law make it more difficult to effect a change in control of our company, which could adversely affect the price of our common stock.</w:t>
      </w:r>
    </w:p>
    <w:p>
      <w:pPr>
        <w:spacing w:after="0" w:line="175"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 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w:t>
      </w:r>
    </w:p>
    <w:p>
      <w:pPr>
        <w:spacing w:after="0" w:line="21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These provisions also could discourage proxy contests and make it more difficult for our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None.</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Cybersecurity Risk Management Strategy</w:t>
      </w:r>
    </w:p>
    <w:p>
      <w:pPr>
        <w:spacing w:after="0" w:line="25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180"/>
          </w:cols>
          <w:pgMar w:left="980" w:top="205" w:right="1080"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80"/>
        <w:spacing w:after="0" w:line="286" w:lineRule="auto"/>
        <w:rPr>
          <w:sz w:val="20"/>
          <w:szCs w:val="20"/>
          <w:color w:val="auto"/>
        </w:rPr>
      </w:pPr>
      <w:r>
        <w:rPr>
          <w:rFonts w:ascii="Times New Roman" w:cs="Times New Roman" w:eastAsia="Times New Roman" w:hAnsi="Times New Roman"/>
          <w:sz w:val="20"/>
          <w:szCs w:val="20"/>
          <w:color w:val="auto"/>
        </w:rPr>
        <w:t>Framework and measured by the Maturity and Risk Assessment Ratings associated with the NIST Cybersecurity Framework and the Capability Maturity Model Integration.</w:t>
      </w:r>
    </w:p>
    <w:p>
      <w:pPr>
        <w:spacing w:after="0" w:line="170"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cybersecurity risk management program includes:</w:t>
      </w:r>
    </w:p>
    <w:p>
      <w:pPr>
        <w:spacing w:after="0" w:line="250" w:lineRule="exact"/>
        <w:rPr>
          <w:sz w:val="20"/>
          <w:szCs w:val="20"/>
          <w:color w:val="auto"/>
        </w:rPr>
      </w:pPr>
    </w:p>
    <w:p>
      <w:pPr>
        <w:ind w:left="820" w:right="60" w:hanging="360"/>
        <w:spacing w:after="0" w:line="250" w:lineRule="auto"/>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information, products, services, and our broader enterprise IT and operational technology, or OT, environments;</w:t>
      </w:r>
    </w:p>
    <w:p>
      <w:pPr>
        <w:ind w:left="820" w:right="40" w:hanging="360"/>
        <w:spacing w:after="0" w:line="248" w:lineRule="auto"/>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team principally responsible for managing (i) our cybersecurity risk assessment processes, (ii) our security controls, and (iii) our response to cybersecurity incidents;</w:t>
      </w:r>
    </w:p>
    <w:p>
      <w:pPr>
        <w:ind w:left="820" w:right="180" w:hanging="360"/>
        <w:spacing w:after="0" w:line="250" w:lineRule="auto"/>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external service providers, where appropriate, to assess, test, train or otherwise assist with aspects of our security controls;</w:t>
      </w:r>
    </w:p>
    <w:p>
      <w:pPr>
        <w:ind w:left="820" w:hanging="360"/>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tools deployed in the IT and OT environments for protection against and monitoring for suspicious activity;</w:t>
      </w:r>
    </w:p>
    <w:p>
      <w:pPr>
        <w:spacing w:after="0" w:line="10" w:lineRule="exact"/>
        <w:rPr>
          <w:rFonts w:ascii="Times New Roman" w:cs="Times New Roman" w:eastAsia="Times New Roman" w:hAnsi="Times New Roman"/>
          <w:sz w:val="20"/>
          <w:szCs w:val="20"/>
          <w:color w:val="auto"/>
        </w:rPr>
      </w:pPr>
    </w:p>
    <w:p>
      <w:pPr>
        <w:ind w:left="820" w:hanging="359"/>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awareness training of our employees, including incident response personnel and senior management;</w:t>
      </w:r>
    </w:p>
    <w:p>
      <w:pPr>
        <w:spacing w:after="0" w:line="10" w:lineRule="exact"/>
        <w:rPr>
          <w:rFonts w:ascii="Times New Roman" w:cs="Times New Roman" w:eastAsia="Times New Roman" w:hAnsi="Times New Roman"/>
          <w:sz w:val="20"/>
          <w:szCs w:val="20"/>
          <w:color w:val="auto"/>
        </w:rPr>
      </w:pPr>
    </w:p>
    <w:p>
      <w:pPr>
        <w:ind w:left="820" w:hanging="359"/>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tabletop exercises for members of our cybersecurity incident response team and legal department;</w:t>
      </w:r>
    </w:p>
    <w:p>
      <w:pPr>
        <w:spacing w:after="0" w:line="10" w:lineRule="exact"/>
        <w:rPr>
          <w:rFonts w:ascii="Times New Roman" w:cs="Times New Roman" w:eastAsia="Times New Roman" w:hAnsi="Times New Roman"/>
          <w:sz w:val="20"/>
          <w:szCs w:val="20"/>
          <w:color w:val="auto"/>
        </w:rPr>
      </w:pPr>
    </w:p>
    <w:p>
      <w:pPr>
        <w:ind w:left="820" w:hanging="359"/>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cybersecurity incident response plan that includes procedures for responding to cybersecurity incidents; and</w:t>
      </w:r>
    </w:p>
    <w:p>
      <w:pPr>
        <w:spacing w:after="0" w:line="10" w:lineRule="exact"/>
        <w:rPr>
          <w:rFonts w:ascii="Times New Roman" w:cs="Times New Roman" w:eastAsia="Times New Roman" w:hAnsi="Times New Roman"/>
          <w:sz w:val="20"/>
          <w:szCs w:val="20"/>
          <w:color w:val="auto"/>
        </w:rPr>
      </w:pPr>
    </w:p>
    <w:p>
      <w:pPr>
        <w:ind w:left="820" w:hanging="358"/>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third-party risk management process for service providers, suppliers and vendors.</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56" w:lineRule="exact"/>
        <w:rPr>
          <w:sz w:val="20"/>
          <w:szCs w:val="20"/>
          <w:color w:val="auto"/>
        </w:rPr>
      </w:pPr>
    </w:p>
    <w:p>
      <w:pPr>
        <w:jc w:val="both"/>
        <w:ind w:left="100" w:firstLine="721"/>
        <w:spacing w:after="0" w:line="251" w:lineRule="auto"/>
        <w:rPr>
          <w:sz w:val="20"/>
          <w:szCs w:val="20"/>
          <w:color w:val="auto"/>
        </w:rPr>
      </w:pPr>
      <w:r>
        <w:rPr>
          <w:rFonts w:ascii="Times New Roman" w:cs="Times New Roman" w:eastAsia="Times New Roman" w:hAnsi="Times New Roman"/>
          <w:sz w:val="20"/>
          <w:szCs w:val="20"/>
          <w:color w:val="auto"/>
        </w:rPr>
        <w:t>Our cybersecurity governance program is led by the Senior Vice President and Chief Information Officer, with support from the internal information technology department. The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Senior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our cybersecurity incident response team is responsible for responding to cybersecurity incidents in accordance with our Computer Security Incident Response Plan. Progress and developments in our cybersecurity governance program are communicated to members of the executive team. Our management team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and alerts and reports produced by security tools deployed in our IT and OT environments.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our management team.</w:t>
      </w:r>
    </w:p>
    <w:p>
      <w:pPr>
        <w:spacing w:after="0" w:line="219"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audit committee of the board of directors receives quarterly updates on the status of our cybersecurity governance program, including as related to new or developing initiatives and any security incidents that may occur. Board members receive presentations on cybersecurity topics from the Senior Vice President and Chief Information Officer as part of the board’s continuing education on topics that impact public companies. Further, our code of business conduct and ethics expects all employees to safeguard our electronic communications systems and related technologies from theft, fraud, unauthorized access, alteration or other damage and requires them to report any cyberattacks or incidents, improper access or theft to our Chief Legal and Administrative Officer and the Senior Vice President and Chief Information Officer. Our cybersecurity governance program also includes processes to assess cybersecurity risks related to third-party service providers, suppliers and vendors.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209"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Risks from cybersecurity threats have not materially affected, and are not currently anticipated to materially affect, our Company, including our business strategy, results of operations or financial condition. See, however, Item 1A. Risk Factors of this report for additional information regarding cybersecurity risks we face and their potential impact on our business strategy, results of operations and financial condition.</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180"/>
          </w:cols>
          <w:pgMar w:left="980" w:top="205" w:right="1080"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8" w:lineRule="exact"/>
        <w:rPr>
          <w:sz w:val="20"/>
          <w:szCs w:val="20"/>
          <w:color w:val="auto"/>
        </w:rPr>
      </w:pPr>
    </w:p>
    <w:p>
      <w:pPr>
        <w:jc w:val="both"/>
        <w:ind w:left="100" w:firstLine="720"/>
        <w:spacing w:after="0" w:line="290" w:lineRule="auto"/>
        <w:rPr>
          <w:sz w:val="20"/>
          <w:szCs w:val="20"/>
          <w:color w:val="auto"/>
        </w:rPr>
      </w:pPr>
      <w:r>
        <w:rPr>
          <w:rFonts w:ascii="Times New Roman" w:cs="Times New Roman" w:eastAsia="Times New Roman" w:hAnsi="Times New Roman"/>
          <w:sz w:val="20"/>
          <w:szCs w:val="20"/>
          <w:color w:val="auto"/>
        </w:rPr>
        <w:t>Diamondback has elected to use a $ 1 million threshold for disclosing certain environmental proceedings to which a federal, state or local governmental authority is a party</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environmental matters, see Note 16—Commitments and Contingencies in Item 8. Financial Statements and Supplementary Data of this report.</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180"/>
          </w:cols>
          <w:pgMar w:left="980" w:top="205" w:right="108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4" w:lineRule="exact"/>
        <w:rPr>
          <w:sz w:val="20"/>
          <w:szCs w:val="20"/>
          <w:color w:val="auto"/>
        </w:rPr>
      </w:pPr>
    </w:p>
    <w:p>
      <w:pPr>
        <w:ind w:left="100" w:right="260"/>
        <w:spacing w:after="0" w:line="29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Listing and Holders of Record</w:t>
      </w:r>
    </w:p>
    <w:p>
      <w:pPr>
        <w:spacing w:after="0" w:line="136" w:lineRule="exact"/>
        <w:rPr>
          <w:sz w:val="20"/>
          <w:szCs w:val="20"/>
          <w:color w:val="auto"/>
        </w:rPr>
      </w:pPr>
    </w:p>
    <w:p>
      <w:pPr>
        <w:jc w:val="both"/>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“FANG”. There were 4,721 holders of record of our common stock on February 21, 2025.</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6" w:lineRule="exact"/>
        <w:rPr>
          <w:sz w:val="20"/>
          <w:szCs w:val="20"/>
          <w:color w:val="auto"/>
        </w:rPr>
      </w:pPr>
    </w:p>
    <w:p>
      <w:pPr>
        <w:jc w:val="both"/>
        <w:ind w:left="100" w:right="40" w:firstLine="720"/>
        <w:spacing w:after="0" w:line="252" w:lineRule="auto"/>
        <w:rPr>
          <w:sz w:val="20"/>
          <w:szCs w:val="20"/>
          <w:color w:val="auto"/>
        </w:rPr>
      </w:pPr>
      <w:r>
        <w:rPr>
          <w:rFonts w:ascii="Times New Roman" w:cs="Times New Roman" w:eastAsia="Times New Roman" w:hAnsi="Times New Roman"/>
          <w:sz w:val="20"/>
          <w:szCs w:val="20"/>
          <w:color w:val="auto"/>
        </w:rPr>
        <w:t>Future base and variable dividends are at the discretion of our board of directors, and the board of directors may change the dividend amount from time to time based on the Company's outlook for commodity prices, liquidity, debt levels, capital resources, free cash flow and other factors. Beginning in the first quarter of 2024, our board of directors has approved a reduction in our return of capital commitment to our shareholders to at least 50% (down from 75%) of our quarterly free cash flow through repurchases under our share repurchase program, base dividends and variable dividends to facilitate the repayment of indebtedness incurred in connection with the Endeavor Acquisition. Our board of directors intends to continue the payment of dividends to the holders of the Company’s common stock in the future; however, the Company can provide no assurance that dividends will be authorized or declared in the future or as to the amount or type of any future dividends. Our board of directors’ determination with respect to any such dividends, whether base or variable,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Issuer Repurchases of Equity Securities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common stock repurchase activity for the three months ended December 31, 2024 was as follows: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78"/>
        </w:trPr>
        <w:tc>
          <w:tcPr>
            <w:tcW w:w="3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jc w:val="center"/>
              <w:ind w:right="140"/>
              <w:spacing w:after="0" w:line="177"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960" w:type="dxa"/>
            <w:vAlign w:val="bottom"/>
            <w:gridSpan w:val="3"/>
          </w:tcPr>
          <w:p>
            <w:pPr>
              <w:ind w:left="40"/>
              <w:spacing w:after="0" w:line="177"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252"/>
              <w:spacing w:after="0" w:line="177" w:lineRule="exact"/>
              <w:rPr>
                <w:sz w:val="20"/>
                <w:szCs w:val="20"/>
                <w:color w:val="auto"/>
              </w:rPr>
            </w:pPr>
            <w:r>
              <w:rPr>
                <w:rFonts w:ascii="Times New Roman" w:cs="Times New Roman" w:eastAsia="Times New Roman" w:hAnsi="Times New Roman"/>
                <w:sz w:val="18"/>
                <w:szCs w:val="18"/>
                <w:b w:val="1"/>
                <w:bCs w:val="1"/>
                <w:color w:val="auto"/>
              </w:rPr>
              <w:t>May Yet Be</w:t>
            </w:r>
          </w:p>
        </w:tc>
        <w:tc>
          <w:tcPr>
            <w:tcW w:w="0" w:type="dxa"/>
            <w:vAlign w:val="bottom"/>
          </w:tcPr>
          <w:p>
            <w:pPr>
              <w:spacing w:after="0"/>
              <w:rPr>
                <w:sz w:val="1"/>
                <w:szCs w:val="1"/>
                <w:color w:val="auto"/>
              </w:rPr>
            </w:pPr>
          </w:p>
        </w:tc>
      </w:tr>
      <w:tr>
        <w:trPr>
          <w:trHeight w:val="180"/>
        </w:trPr>
        <w:tc>
          <w:tcPr>
            <w:tcW w:w="3760" w:type="dxa"/>
            <w:vAlign w:val="bottom"/>
            <w:vMerge w:val="restart"/>
          </w:tcPr>
          <w:p>
            <w:pPr>
              <w:jc w:val="right"/>
              <w:ind w:right="1542"/>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gridSpan w:val="2"/>
            <w:vMerge w:val="restart"/>
          </w:tcPr>
          <w:p>
            <w:pPr>
              <w:spacing w:after="0"/>
              <w:rPr>
                <w:sz w:val="15"/>
                <w:szCs w:val="15"/>
                <w:color w:val="auto"/>
              </w:rPr>
            </w:pPr>
          </w:p>
        </w:tc>
        <w:tc>
          <w:tcPr>
            <w:tcW w:w="124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220" w:type="dxa"/>
            <w:vAlign w:val="bottom"/>
          </w:tcPr>
          <w:p>
            <w:pPr>
              <w:spacing w:after="0"/>
              <w:rPr>
                <w:sz w:val="15"/>
                <w:szCs w:val="15"/>
                <w:color w:val="auto"/>
              </w:rPr>
            </w:pPr>
          </w:p>
        </w:tc>
        <w:tc>
          <w:tcPr>
            <w:tcW w:w="74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Per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235"/>
        </w:trPr>
        <w:tc>
          <w:tcPr>
            <w:tcW w:w="3760" w:type="dxa"/>
            <w:vAlign w:val="bottom"/>
            <w:tcBorders>
              <w:bottom w:val="single" w:sz="8" w:color="auto"/>
            </w:tcBorders>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1140" w:type="dxa"/>
            <w:vAlign w:val="bottom"/>
            <w:tcBorders>
              <w:bottom w:val="single" w:sz="8" w:color="auto"/>
            </w:tcBorders>
            <w:gridSpan w:val="2"/>
          </w:tcPr>
          <w:p>
            <w:pPr>
              <w:jc w:val="center"/>
              <w:ind w:right="40"/>
              <w:spacing w:after="0" w:line="235" w:lineRule="exact"/>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4"/>
                <w:szCs w:val="24"/>
                <w:b w:val="1"/>
                <w:bCs w:val="1"/>
                <w:color w:val="auto"/>
                <w:w w:val="94"/>
                <w:vertAlign w:val="superscript"/>
              </w:rPr>
              <w:t>(1)</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00"/>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Share</w:t>
            </w:r>
            <w:r>
              <w:rPr>
                <w:rFonts w:ascii="Times New Roman" w:cs="Times New Roman" w:eastAsia="Times New Roman" w:hAnsi="Times New Roman"/>
                <w:sz w:val="10"/>
                <w:szCs w:val="10"/>
                <w:b w:val="1"/>
                <w:bCs w:val="1"/>
                <w:color w:val="auto"/>
              </w:rPr>
              <w:t>(2)(4)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Publicly Announced Plan</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52"/>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Plan</w:t>
            </w:r>
            <w:r>
              <w:rPr>
                <w:rFonts w:ascii="Times New Roman" w:cs="Times New Roman" w:eastAsia="Times New Roman" w:hAnsi="Times New Roman"/>
                <w:sz w:val="10"/>
                <w:szCs w:val="10"/>
                <w:b w:val="1"/>
                <w:bCs w:val="1"/>
                <w:color w:val="auto"/>
              </w:rPr>
              <w:t>(3)(4)</w:t>
            </w:r>
          </w:p>
        </w:tc>
        <w:tc>
          <w:tcPr>
            <w:tcW w:w="0" w:type="dxa"/>
            <w:vAlign w:val="bottom"/>
          </w:tcPr>
          <w:p>
            <w:pPr>
              <w:spacing w:after="0"/>
              <w:rPr>
                <w:sz w:val="1"/>
                <w:szCs w:val="1"/>
                <w:color w:val="auto"/>
              </w:rPr>
            </w:pPr>
          </w:p>
        </w:tc>
      </w:tr>
      <w:tr>
        <w:trPr>
          <w:trHeight w:val="269"/>
        </w:trPr>
        <w:tc>
          <w:tcPr>
            <w:tcW w:w="3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60" w:type="dxa"/>
            <w:vAlign w:val="bottom"/>
            <w:gridSpan w:val="15"/>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97"/>
        </w:trPr>
        <w:tc>
          <w:tcPr>
            <w:tcW w:w="3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October 1, 2024 - October 31, 2024</w:t>
            </w:r>
            <w:r>
              <w:rPr>
                <w:rFonts w:ascii="Times New Roman" w:cs="Times New Roman" w:eastAsia="Times New Roman" w:hAnsi="Times New Roman"/>
                <w:sz w:val="20"/>
                <w:szCs w:val="20"/>
                <w:color w:val="B3B3B3"/>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180.35</w:t>
            </w:r>
          </w:p>
        </w:tc>
        <w:tc>
          <w:tcPr>
            <w:tcW w:w="20" w:type="dxa"/>
            <w:vAlign w:val="bottom"/>
          </w:tcPr>
          <w:p>
            <w:pPr>
              <w:spacing w:after="0"/>
              <w:rPr>
                <w:sz w:val="24"/>
                <w:szCs w:val="24"/>
                <w:color w:val="auto"/>
              </w:rPr>
            </w:pPr>
          </w:p>
        </w:tc>
        <w:tc>
          <w:tcPr>
            <w:tcW w:w="21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944</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2,907</w:t>
            </w:r>
          </w:p>
        </w:tc>
        <w:tc>
          <w:tcPr>
            <w:tcW w:w="0" w:type="dxa"/>
            <w:vAlign w:val="bottom"/>
          </w:tcPr>
          <w:p>
            <w:pPr>
              <w:spacing w:after="0"/>
              <w:rPr>
                <w:sz w:val="1"/>
                <w:szCs w:val="1"/>
                <w:color w:val="auto"/>
              </w:rPr>
            </w:pPr>
          </w:p>
        </w:tc>
      </w:tr>
      <w:tr>
        <w:trPr>
          <w:trHeight w:val="298"/>
        </w:trPr>
        <w:tc>
          <w:tcPr>
            <w:tcW w:w="3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November 1, 2024 - November 30, 2024</w:t>
            </w:r>
            <w:r>
              <w:rPr>
                <w:rFonts w:ascii="Times New Roman" w:cs="Times New Roman" w:eastAsia="Times New Roman" w:hAnsi="Times New Roman"/>
                <w:sz w:val="20"/>
                <w:szCs w:val="20"/>
                <w:color w:val="B3B3B3"/>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177.79</w:t>
            </w:r>
          </w:p>
        </w:tc>
        <w:tc>
          <w:tcPr>
            <w:tcW w:w="20" w:type="dxa"/>
            <w:vAlign w:val="bottom"/>
          </w:tcPr>
          <w:p>
            <w:pPr>
              <w:spacing w:after="0"/>
              <w:rPr>
                <w:sz w:val="24"/>
                <w:szCs w:val="24"/>
                <w:color w:val="auto"/>
              </w:rPr>
            </w:pPr>
          </w:p>
        </w:tc>
        <w:tc>
          <w:tcPr>
            <w:tcW w:w="21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443</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2,828</w:t>
            </w:r>
          </w:p>
        </w:tc>
        <w:tc>
          <w:tcPr>
            <w:tcW w:w="0" w:type="dxa"/>
            <w:vAlign w:val="bottom"/>
          </w:tcPr>
          <w:p>
            <w:pPr>
              <w:spacing w:after="0"/>
              <w:rPr>
                <w:sz w:val="1"/>
                <w:szCs w:val="1"/>
                <w:color w:val="auto"/>
              </w:rPr>
            </w:pPr>
          </w:p>
        </w:tc>
      </w:tr>
      <w:tr>
        <w:trPr>
          <w:trHeight w:val="302"/>
        </w:trPr>
        <w:tc>
          <w:tcPr>
            <w:tcW w:w="38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December 1, 2024 - December 31, 2024</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163.06</w:t>
            </w: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939</w:t>
            </w:r>
          </w:p>
        </w:tc>
        <w:tc>
          <w:tcPr>
            <w:tcW w:w="380" w:type="dxa"/>
            <w:vAlign w:val="bottom"/>
            <w:gridSpan w:val="3"/>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2,675</w:t>
            </w:r>
          </w:p>
        </w:tc>
        <w:tc>
          <w:tcPr>
            <w:tcW w:w="0" w:type="dxa"/>
            <w:vAlign w:val="bottom"/>
          </w:tcPr>
          <w:p>
            <w:pPr>
              <w:spacing w:after="0"/>
              <w:rPr>
                <w:sz w:val="1"/>
                <w:szCs w:val="1"/>
                <w:color w:val="auto"/>
              </w:rPr>
            </w:pPr>
          </w:p>
        </w:tc>
      </w:tr>
      <w:tr>
        <w:trPr>
          <w:trHeight w:val="240"/>
        </w:trPr>
        <w:tc>
          <w:tcPr>
            <w:tcW w:w="3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0"/>
                <w:szCs w:val="20"/>
                <w:color w:val="B3B3B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172.90</w:t>
            </w:r>
          </w:p>
        </w:tc>
        <w:tc>
          <w:tcPr>
            <w:tcW w:w="20" w:type="dxa"/>
            <w:vAlign w:val="bottom"/>
          </w:tcPr>
          <w:p>
            <w:pPr>
              <w:spacing w:after="0"/>
              <w:rPr>
                <w:sz w:val="20"/>
                <w:szCs w:val="20"/>
                <w:color w:val="auto"/>
              </w:rPr>
            </w:pPr>
          </w:p>
        </w:tc>
        <w:tc>
          <w:tcPr>
            <w:tcW w:w="21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2,326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3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60" w:right="40" w:hanging="360"/>
        <w:spacing w:after="0" w:line="250" w:lineRule="auto"/>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6,454 shares of common stock repurchased from executives in order to satisfy tax withholding requirements. Such shares are cancelled and retired immediately upon repurchase.</w:t>
      </w:r>
    </w:p>
    <w:p>
      <w:pPr>
        <w:ind w:left="460" w:hanging="360"/>
        <w:spacing w:after="0"/>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price paid per share includes any commissions paid to repurchase stock.</w:t>
      </w:r>
    </w:p>
    <w:p>
      <w:pPr>
        <w:spacing w:after="0" w:line="10" w:lineRule="exact"/>
        <w:rPr>
          <w:rFonts w:ascii="Times New Roman" w:cs="Times New Roman" w:eastAsia="Times New Roman" w:hAnsi="Times New Roman"/>
          <w:sz w:val="20"/>
          <w:szCs w:val="20"/>
          <w:color w:val="auto"/>
        </w:rPr>
      </w:pPr>
    </w:p>
    <w:p>
      <w:pPr>
        <w:jc w:val="both"/>
        <w:ind w:left="460" w:right="40" w:hanging="360"/>
        <w:spacing w:after="0" w:line="249" w:lineRule="auto"/>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18, 2024, our board of directors approved an increase in our common stock repurchase program from $4.0 billion to $6.0 billion, excluding excise tax. The stock repurchase program has no time limit and may be suspended, modified, or discontinued by the board of directors at any time.</w:t>
      </w:r>
    </w:p>
    <w:p>
      <w:pPr>
        <w:spacing w:after="0" w:line="1" w:lineRule="exact"/>
        <w:rPr>
          <w:rFonts w:ascii="Times New Roman" w:cs="Times New Roman" w:eastAsia="Times New Roman" w:hAnsi="Times New Roman"/>
          <w:sz w:val="20"/>
          <w:szCs w:val="20"/>
          <w:color w:val="auto"/>
        </w:rPr>
      </w:pPr>
    </w:p>
    <w:p>
      <w:pPr>
        <w:jc w:val="both"/>
        <w:ind w:left="460" w:right="40" w:hanging="360"/>
        <w:spacing w:after="0" w:line="268" w:lineRule="auto"/>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20"/>
          </w:cols>
          <w:pgMar w:left="980" w:top="205" w:right="1040" w:bottom="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following performance graph includes a comparison of our cumulative total stockholder return over a five -year period with the cumulative total returns of the Standard &amp; Poor’s 500 Stock Index, or the S&amp;P 500 Index, and the SPDR S&amp;P Oil &amp; Gas Exploration and Production ETF, or XOP Index. The graph assumes an investment of $100 on December 31, 2019, and that all dividends were reinvested.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585858"/>
        </w:rPr>
        <w:t>COMPARISON OF 5 YEAR CUMULATIVE TOTAL RETURN</w:t>
      </w:r>
    </w:p>
    <w:p>
      <w:pPr>
        <w:sectPr>
          <w:pgSz w:w="12240" w:h="15840" w:orient="portrait"/>
          <w:cols w:equalWidth="0" w:num="1">
            <w:col w:w="10180"/>
          </w:cols>
          <w:pgMar w:left="980" w:top="20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777" w:type="dxa"/>
        <w:tblCellMar>
          <w:top w:w="0" w:type="dxa"/>
          <w:left w:w="0" w:type="dxa"/>
          <w:bottom w:w="0" w:type="dxa"/>
          <w:right w:w="0" w:type="dxa"/>
        </w:tblCellMar>
      </w:tblPr>
      <w:tr>
        <w:trPr>
          <w:trHeight w:val="620"/>
        </w:trPr>
        <w:tc>
          <w:tcPr>
            <w:tcW w:w="218" w:type="dxa"/>
            <w:vAlign w:val="bottom"/>
            <w:textDirection w:val="btLr"/>
          </w:tcPr>
          <w:p>
            <w:pPr>
              <w:spacing w:after="0"/>
              <w:rPr>
                <w:sz w:val="20"/>
                <w:szCs w:val="20"/>
                <w:color w:val="auto"/>
              </w:rPr>
            </w:pPr>
            <w:r>
              <w:rPr>
                <w:rFonts w:ascii="Times New Roman" w:cs="Times New Roman" w:eastAsia="Times New Roman" w:hAnsi="Times New Roman"/>
                <w:sz w:val="19"/>
                <w:szCs w:val="19"/>
                <w:b w:val="1"/>
                <w:bCs w:val="1"/>
                <w:color w:val="585858"/>
              </w:rPr>
              <w:t>Dollars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494665</wp:posOffset>
                </wp:positionH>
                <wp:positionV relativeFrom="paragraph">
                  <wp:posOffset>-405130</wp:posOffset>
                </wp:positionV>
                <wp:extent cx="17589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8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5pt,-31.8999pt" to="52.8pt,-31.8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494665</wp:posOffset>
                </wp:positionH>
                <wp:positionV relativeFrom="paragraph">
                  <wp:posOffset>15240</wp:posOffset>
                </wp:positionV>
                <wp:extent cx="17589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8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5pt,1.2pt" to="52.8pt,1.2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499745</wp:posOffset>
                </wp:positionH>
                <wp:positionV relativeFrom="paragraph">
                  <wp:posOffset>-410210</wp:posOffset>
                </wp:positionV>
                <wp:extent cx="0" cy="42989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8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5pt,-32.2999pt" to="39.35pt,1.5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666115</wp:posOffset>
                </wp:positionH>
                <wp:positionV relativeFrom="paragraph">
                  <wp:posOffset>-410210</wp:posOffset>
                </wp:positionV>
                <wp:extent cx="0" cy="42989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89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5pt,-32.2999pt" to="52.45pt,1.55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85858"/>
        </w:rPr>
        <w:t>250.00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487045</wp:posOffset>
                </wp:positionH>
                <wp:positionV relativeFrom="paragraph">
                  <wp:posOffset>2360295</wp:posOffset>
                </wp:positionV>
                <wp:extent cx="48291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185.85pt" to="418.6pt,185.85pt" o:allowincell="f" strokecolor="#8A8A8A" strokeweight="0.75pt"/>
            </w:pict>
          </mc:Fallback>
        </mc:AlternateContent>
        <w:drawing>
          <wp:anchor simplePos="0" relativeHeight="251657728" behindDoc="1" locked="0" layoutInCell="0" allowOverlap="1">
            <wp:simplePos x="0" y="0"/>
            <wp:positionH relativeFrom="column">
              <wp:posOffset>487045</wp:posOffset>
            </wp:positionH>
            <wp:positionV relativeFrom="paragraph">
              <wp:posOffset>-53340</wp:posOffset>
            </wp:positionV>
            <wp:extent cx="4514850" cy="2419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extLst>
                    </a:blip>
                    <a:srcRect/>
                    <a:stretch>
                      <a:fillRect/>
                    </a:stretch>
                  </pic:blipFill>
                  <pic:spPr bwMode="auto">
                    <a:xfrm>
                      <a:off x="0" y="0"/>
                      <a:ext cx="4514850" cy="2419350"/>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-53340</wp:posOffset>
            </wp:positionV>
            <wp:extent cx="4514850" cy="2419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extLst>
                        <a:ext uri="{28A0092B-C50C-407E-A947-70E740481C1C}"/>
                      </a:extLst>
                    </a:blip>
                    <a:srcRect/>
                    <a:stretch>
                      <a:fillRect/>
                    </a:stretch>
                  </pic:blipFill>
                  <pic:spPr bwMode="auto">
                    <a:xfrm>
                      <a:off x="0" y="0"/>
                      <a:ext cx="4514850" cy="24193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85858"/>
        </w:rPr>
        <w:t>200.00</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85858"/>
        </w:rPr>
        <w:t>150.00</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585858"/>
        </w:rPr>
        <w:t>100.00</w:t>
      </w:r>
    </w:p>
    <w:p>
      <w:pPr>
        <w:spacing w:after="0" w:line="200" w:lineRule="exact"/>
        <w:rPr>
          <w:sz w:val="20"/>
          <w:szCs w:val="20"/>
          <w:color w:val="auto"/>
        </w:rPr>
      </w:pPr>
    </w:p>
    <w:p>
      <w:pPr>
        <w:spacing w:after="0" w:line="319"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20"/>
          <w:szCs w:val="20"/>
          <w:color w:val="585858"/>
        </w:rPr>
        <w:t>50.00</w:t>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585858"/>
        </w:rPr>
        <w:t>0.00</w:t>
      </w:r>
    </w:p>
    <w:p>
      <w:pPr>
        <w:spacing w:after="0" w:line="10" w:lineRule="exact"/>
        <w:rPr>
          <w:sz w:val="20"/>
          <w:szCs w:val="20"/>
          <w:color w:val="auto"/>
        </w:rPr>
      </w:pPr>
    </w:p>
    <w:tbl>
      <w:tblPr>
        <w:tblLayout w:type="fixed"/>
        <w:tblInd w:w="1200" w:type="dxa"/>
        <w:tblCellMar>
          <w:top w:w="0" w:type="dxa"/>
          <w:left w:w="0" w:type="dxa"/>
          <w:bottom w:w="0" w:type="dxa"/>
          <w:right w:w="0" w:type="dxa"/>
        </w:tblCellMar>
      </w:tblPr>
      <w:tr>
        <w:trPr>
          <w:trHeight w:val="267"/>
        </w:trPr>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585858"/>
                <w:w w:val="94"/>
              </w:rPr>
              <w:t>2019</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585858"/>
              </w:rPr>
              <w:t>2020</w:t>
            </w: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585858"/>
              </w:rPr>
              <w:t>2021</w:t>
            </w:r>
          </w:p>
        </w:tc>
        <w:tc>
          <w:tcPr>
            <w:tcW w:w="13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585858"/>
              </w:rPr>
              <w:t>2022</w:t>
            </w: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585858"/>
              </w:rPr>
              <w:t>2023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585858"/>
              </w:rPr>
              <w:t>2024</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585858"/>
              </w:rPr>
              <w:t>Diamondback Energy, Inc.</w:t>
            </w:r>
          </w:p>
        </w:tc>
        <w:tc>
          <w:tcPr>
            <w:tcW w:w="136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color w:val="585858"/>
              </w:rPr>
              <w:t>S&amp;P 500</w:t>
            </w:r>
          </w:p>
        </w:tc>
        <w:tc>
          <w:tcPr>
            <w:tcW w:w="1320" w:type="dxa"/>
            <w:vAlign w:val="bottom"/>
            <w:vMerge w:val="restart"/>
          </w:tcPr>
          <w:p>
            <w:pPr>
              <w:jc w:val="right"/>
              <w:ind w:right="500"/>
              <w:spacing w:after="0"/>
              <w:rPr>
                <w:sz w:val="20"/>
                <w:szCs w:val="20"/>
                <w:color w:val="auto"/>
              </w:rPr>
            </w:pPr>
            <w:r>
              <w:rPr>
                <w:rFonts w:ascii="Times New Roman" w:cs="Times New Roman" w:eastAsia="Times New Roman" w:hAnsi="Times New Roman"/>
                <w:sz w:val="20"/>
                <w:szCs w:val="20"/>
                <w:color w:val="585858"/>
              </w:rPr>
              <w:t>XOP</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580" w:type="dxa"/>
            <w:vAlign w:val="bottom"/>
            <w:gridSpan w:val="2"/>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60" w:type="dxa"/>
            <w:vAlign w:val="bottom"/>
          </w:tcPr>
          <w:p>
            <w:pPr>
              <w:spacing w:after="0"/>
              <w:rPr>
                <w:sz w:val="6"/>
                <w:szCs w:val="6"/>
                <w:color w:val="auto"/>
              </w:rPr>
            </w:pPr>
          </w:p>
        </w:tc>
        <w:tc>
          <w:tcPr>
            <w:tcW w:w="25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-120015</wp:posOffset>
            </wp:positionV>
            <wp:extent cx="189230" cy="113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extLst>
                        <a:ext uri="{28A0092B-C50C-407E-A947-70E740481C1C}"/>
                      </a:extLst>
                    </a:blip>
                    <a:srcRect/>
                    <a:stretch>
                      <a:fillRect/>
                    </a:stretch>
                  </pic:blipFill>
                  <pic:spPr bwMode="auto">
                    <a:xfrm>
                      <a:off x="0" y="0"/>
                      <a:ext cx="189230" cy="11366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-120650</wp:posOffset>
            </wp:positionV>
            <wp:extent cx="19050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extLst>
                    </a:blip>
                    <a:srcRect/>
                    <a:stretch>
                      <a:fillRect/>
                    </a:stretch>
                  </pic:blipFill>
                  <pic:spPr bwMode="auto">
                    <a:xfrm>
                      <a:off x="0" y="0"/>
                      <a:ext cx="190500" cy="114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963295</wp:posOffset>
                </wp:positionH>
                <wp:positionV relativeFrom="paragraph">
                  <wp:posOffset>-57150</wp:posOffset>
                </wp:positionV>
                <wp:extent cx="381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85pt,-4.4999pt" to="78.85pt,-4.4999pt" o:allowincell="f" strokecolor="#000000" strokeweight="1.5pt"/>
            </w:pict>
          </mc:Fallback>
        </mc:AlternateContent>
      </w:r>
    </w:p>
    <w:p>
      <w:pPr>
        <w:spacing w:after="0" w:line="200" w:lineRule="exact"/>
        <w:rPr>
          <w:sz w:val="20"/>
          <w:szCs w:val="20"/>
          <w:color w:val="auto"/>
        </w:rPr>
      </w:pPr>
    </w:p>
    <w:p>
      <w:pPr>
        <w:sectPr>
          <w:pgSz w:w="12240" w:h="15840" w:orient="portrait"/>
          <w:cols w:equalWidth="0" w:num="2">
            <w:col w:w="995" w:space="145"/>
            <w:col w:w="9040"/>
          </w:cols>
          <w:pgMar w:left="980" w:top="205" w:right="1080" w:bottom="0" w:gutter="0" w:footer="0" w:header="0"/>
          <w:type w:val="continuous"/>
        </w:sect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30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65"/>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Calculated Values</w:t>
            </w:r>
          </w:p>
        </w:tc>
        <w:tc>
          <w:tcPr>
            <w:tcW w:w="11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3"/>
                <w:szCs w:val="23"/>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9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Diamondback Energy, Inc. </w:t>
            </w:r>
            <w:r>
              <w:rPr>
                <w:rFonts w:ascii="Times New Roman" w:cs="Times New Roman" w:eastAsia="Times New Roman" w:hAnsi="Times New Roman"/>
                <w:sz w:val="20"/>
                <w:szCs w:val="20"/>
                <w:color w:val="B3B3B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$54.00</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$122.81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$166.41</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$199.06</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$219.68</w:t>
            </w:r>
          </w:p>
        </w:tc>
      </w:tr>
      <w:tr>
        <w:trPr>
          <w:trHeight w:val="314"/>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S&amp;P 500</w:t>
            </w:r>
            <w:r>
              <w:rPr>
                <w:rFonts w:ascii="Times New Roman" w:cs="Times New Roman" w:eastAsia="Times New Roman" w:hAnsi="Times New Roman"/>
                <w:sz w:val="20"/>
                <w:szCs w:val="20"/>
                <w:color w:val="B3B3B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$118.39</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$152.34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$124.73</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$157.48</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$196.85</w:t>
            </w:r>
          </w:p>
        </w:tc>
      </w:tr>
      <w:tr>
        <w:trPr>
          <w:trHeight w:val="314"/>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XOP </w:t>
            </w:r>
            <w:r>
              <w:rPr>
                <w:rFonts w:ascii="Times New Roman" w:cs="Times New Roman" w:eastAsia="Times New Roman" w:hAnsi="Times New Roman"/>
                <w:sz w:val="20"/>
                <w:szCs w:val="20"/>
                <w:color w:val="B3B3B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$63.69</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$106.21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$154.35</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$159.83</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$158.18</w:t>
            </w:r>
          </w:p>
        </w:tc>
      </w:tr>
    </w:tbl>
    <w:p>
      <w:pPr>
        <w:spacing w:after="0" w:line="2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180"/>
          </w:cols>
          <w:pgMar w:left="980" w:top="205" w:right="10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right="240"/>
        <w:spacing w:after="0" w:line="29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62"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our consolidated financial statements and notes thereto in Item 8. Financial Statements and Supplementary Data 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Item 1A. Risk Factors and Cautionary Statement Regarding Forward-Looking Statements of this report.</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are an independent oil and natural gas company focused on the acquisition, development, exploration and exploitation of unconventional, onshore oil and natural gas reserves primarily in the Permian Basin in West Texas. As of December 31, 2024, we have one reportable segment, the upstream segment. See Note 1—Description of the Business and Basis of Presentation and Note 18—Segment Information in Item 8. Financial Statements and Supplementary Data of this report for further discussion.</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2024 Financial and Operating Highlights</w:t>
      </w:r>
    </w:p>
    <w:p>
      <w:pPr>
        <w:spacing w:after="0" w:line="258" w:lineRule="exact"/>
        <w:rPr>
          <w:sz w:val="20"/>
          <w:szCs w:val="20"/>
          <w:color w:val="auto"/>
        </w:rPr>
      </w:pPr>
    </w:p>
    <w:p>
      <w:pPr>
        <w:ind w:left="820" w:hanging="360"/>
        <w:spacing w:after="0"/>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recorded net income of $3.3 billion.</w:t>
      </w:r>
    </w:p>
    <w:p>
      <w:pPr>
        <w:spacing w:after="0" w:line="10" w:lineRule="exact"/>
        <w:rPr>
          <w:rFonts w:ascii="Times New Roman" w:cs="Times New Roman" w:eastAsia="Times New Roman" w:hAnsi="Times New Roman"/>
          <w:sz w:val="20"/>
          <w:szCs w:val="20"/>
          <w:color w:val="auto"/>
        </w:rPr>
      </w:pPr>
    </w:p>
    <w:p>
      <w:pPr>
        <w:ind w:left="820" w:hanging="360"/>
        <w:spacing w:after="0" w:line="249" w:lineRule="auto"/>
        <w:tabs>
          <w:tab w:leader="none" w:pos="82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our annual base dividend to $4.00 per share of common stock in the fourth quarter of 2024, paid dividends to stockholders of $1.6 billion during 2024 and declared a base cash dividend payable in the first quarter of 2025 of $1.00 per share of common stock.</w:t>
      </w:r>
    </w:p>
    <w:p>
      <w:pPr>
        <w:spacing w:after="0" w:line="1" w:lineRule="exact"/>
        <w:rPr>
          <w:rFonts w:ascii="Times New Roman" w:cs="Times New Roman" w:eastAsia="Times New Roman" w:hAnsi="Times New Roman"/>
          <w:sz w:val="20"/>
          <w:szCs w:val="20"/>
          <w:color w:val="auto"/>
        </w:rPr>
      </w:pPr>
    </w:p>
    <w:p>
      <w:pPr>
        <w:jc w:val="both"/>
        <w:ind w:left="820" w:hanging="361"/>
        <w:spacing w:after="0" w:line="249" w:lineRule="auto"/>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our common stock repurchase program authorization to $6.0 billion, excluding excise taxes, and repurchased $959 million of our common stock, leaving approximately $2.7 billion available for future purchases under our common stock repurchase program at December 31, 2024.</w:t>
      </w:r>
    </w:p>
    <w:p>
      <w:pPr>
        <w:spacing w:after="0" w:line="1" w:lineRule="exact"/>
        <w:rPr>
          <w:rFonts w:ascii="Times New Roman" w:cs="Times New Roman" w:eastAsia="Times New Roman" w:hAnsi="Times New Roman"/>
          <w:sz w:val="20"/>
          <w:szCs w:val="20"/>
          <w:color w:val="auto"/>
        </w:rPr>
      </w:pPr>
    </w:p>
    <w:p>
      <w:pPr>
        <w:jc w:val="both"/>
        <w:ind w:left="820" w:hanging="361"/>
        <w:spacing w:after="0" w:line="250" w:lineRule="auto"/>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operating costs were $11.09 per BOE, including lease operating expenses of $5.87 per BOE, cash general and administrative expenses of $0.68 per BOE and production and ad valorem taxes and gathering, processing and transportation expenses of $4.54 per BOE.</w:t>
      </w:r>
    </w:p>
    <w:p>
      <w:pPr>
        <w:spacing w:after="0" w:line="1" w:lineRule="exact"/>
        <w:rPr>
          <w:rFonts w:ascii="Times New Roman" w:cs="Times New Roman" w:eastAsia="Times New Roman" w:hAnsi="Times New Roman"/>
          <w:sz w:val="20"/>
          <w:szCs w:val="20"/>
          <w:color w:val="auto"/>
        </w:rPr>
      </w:pPr>
    </w:p>
    <w:p>
      <w:pPr>
        <w:jc w:val="both"/>
        <w:ind w:left="820" w:hanging="361"/>
        <w:spacing w:after="0" w:line="249" w:lineRule="auto"/>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the April 2024 Notes for an aggregate of $5.5 billion in proceeds and incurred $1.0 billion in initial borrowings under the Tranche A Loans (as defined below in “—</w:t>
      </w:r>
      <w:r>
        <w:rPr>
          <w:rFonts w:ascii="Times New Roman" w:cs="Times New Roman" w:eastAsia="Times New Roman" w:hAnsi="Times New Roman"/>
          <w:sz w:val="20"/>
          <w:szCs w:val="20"/>
          <w:i w:val="1"/>
          <w:iCs w:val="1"/>
          <w:color w:val="auto"/>
        </w:rPr>
        <w:t>Transactions and Recent Developments</w:t>
      </w:r>
      <w:r>
        <w:rPr>
          <w:rFonts w:ascii="Times New Roman" w:cs="Times New Roman" w:eastAsia="Times New Roman" w:hAnsi="Times New Roman"/>
          <w:sz w:val="20"/>
          <w:szCs w:val="20"/>
          <w:color w:val="auto"/>
        </w:rPr>
        <w:t>”) to fund a portion of the cash consideration for the Endeavor Acquisition.</w:t>
      </w:r>
    </w:p>
    <w:p>
      <w:pPr>
        <w:spacing w:after="0" w:line="1"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average production was 598,284 MBOE/d.</w:t>
      </w:r>
    </w:p>
    <w:p>
      <w:pPr>
        <w:spacing w:after="0" w:line="1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Drilled 372 gross horizontal wells (including 342 in the Midland Basin and 30 in the Delaware Basin).</w:t>
      </w:r>
    </w:p>
    <w:p>
      <w:pPr>
        <w:spacing w:after="0" w:line="10" w:lineRule="exact"/>
        <w:rPr>
          <w:rFonts w:ascii="Times New Roman" w:cs="Times New Roman" w:eastAsia="Times New Roman" w:hAnsi="Times New Roman"/>
          <w:sz w:val="20"/>
          <w:szCs w:val="20"/>
          <w:color w:val="auto"/>
        </w:rPr>
      </w:pPr>
    </w:p>
    <w:p>
      <w:pPr>
        <w:ind w:left="820" w:hanging="362"/>
        <w:spacing w:after="0" w:line="249" w:lineRule="auto"/>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Turned 410 gross operated horizontal wells (including 391 in the Midland Basin and 19 in the Delaware Basin) to production.</w:t>
      </w:r>
    </w:p>
    <w:p>
      <w:pPr>
        <w:jc w:val="both"/>
        <w:ind w:left="820" w:hanging="362"/>
        <w:spacing w:after="0" w:line="249" w:lineRule="auto"/>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we had approximately 860,719 net acres, which primarily consisted of 737,181 net acres in the Midland Basin and 123,218 net acres in the Delaware Basin. As of December 31, 2024, we had an estimated 9,188 gross horizontal locations that we believe to be economic at $50.00 per Bbl WTI. In addition, our publicly traded subsidiary, Viper, owns mineral interests underlying approximately 987,861 gross acres and 35,671 net royalty acres in the Permian Basin. We operate approximately 52% of these net royalty acres.</w:t>
      </w:r>
    </w:p>
    <w:p>
      <w:pPr>
        <w:spacing w:after="0" w:line="4" w:lineRule="exact"/>
        <w:rPr>
          <w:rFonts w:ascii="Times New Roman" w:cs="Times New Roman" w:eastAsia="Times New Roman" w:hAnsi="Times New Roman"/>
          <w:sz w:val="20"/>
          <w:szCs w:val="20"/>
          <w:color w:val="auto"/>
        </w:rPr>
      </w:pPr>
    </w:p>
    <w:p>
      <w:pPr>
        <w:ind w:left="820" w:hanging="362"/>
        <w:spacing w:after="0"/>
        <w:tabs>
          <w:tab w:leader="none" w:pos="8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capital expenditures, excluding acquisitions, of $2.9 billion.</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Transactions and Recent Developments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2025 Transactions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Pending Double Eagle Acquisition</w:t>
      </w:r>
    </w:p>
    <w:p>
      <w:pPr>
        <w:spacing w:after="0" w:line="24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February 14, 2025, we entered into a definitive securities purchase agreement with Double Eagle to effect the pending Double Eagle Acquisition for consideration of $3.0 billion in cash and approximately 6.9 million shares of our common stock, subject to customary adjustments. The pending Double Eagle Acquisition consists of approximately 67,700 gross (40,000 net) acres, which are primarily located in the Midland Basin, and approximately 407 gross (342 net) horizontal locations in primary development targets. We intend to fund the cash portion of the pending Double Eagle Acquisition through a combination of cash on hand, borrowings under our credit facility or proceeds from term loans and senior notes offerings. The pending Double Eagle Acquisition is expected to close in the second quarter of 2025, subject to the satisfaction of customary closing conditions and regulatory approval.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180"/>
          </w:cols>
          <w:pgMar w:left="980" w:top="205" w:right="1080"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2025 Equity Offering</w:t>
      </w:r>
    </w:p>
    <w:p>
      <w:pPr>
        <w:spacing w:after="0" w:line="249"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On February 3, 2025, Viper completed an underwritten public offering of approximately 28.34 million shares of its Class A common stock (the “Viper 2025 Equity Offering”), which included 3.70 million shares issued pursuant to an option to purchase additional shares of its Class A common stock granted to the underwriters at a price to the public of $44.50 per share. Viper received total net proceeds for the Viper 2025 Equity Offering of approximately $1.2 billion after the underwriters’ discount and estimated transaction costs.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Pending 2025 Drop Down Transaction</w:t>
      </w:r>
    </w:p>
    <w:p>
      <w:pPr>
        <w:spacing w:after="0" w:line="247" w:lineRule="exact"/>
        <w:rPr>
          <w:sz w:val="20"/>
          <w:szCs w:val="20"/>
          <w:color w:val="auto"/>
        </w:rPr>
      </w:pPr>
    </w:p>
    <w:p>
      <w:pPr>
        <w:jc w:val="both"/>
        <w:ind w:left="100" w:firstLine="720"/>
        <w:spacing w:after="0" w:line="236" w:lineRule="auto"/>
        <w:rPr>
          <w:sz w:val="20"/>
          <w:szCs w:val="20"/>
          <w:color w:val="auto"/>
        </w:rPr>
      </w:pPr>
      <w:r>
        <w:rPr>
          <w:rFonts w:ascii="Times New Roman" w:cs="Times New Roman" w:eastAsia="Times New Roman" w:hAnsi="Times New Roman"/>
          <w:sz w:val="20"/>
          <w:szCs w:val="20"/>
          <w:color w:val="auto"/>
        </w:rPr>
        <w:t>On January 30, 2025, EER LP and the Endeavor Subsidiaries, each of which is our subsidiary, entered into a definitive equity purchase agreement with Viper and Viper LLC to divest the Endeavor Subsidiaries to Viper in exchange for consideration consisting of (i) $1.0 billion in cash and (ii) the issuance of 69.63 million Viper LLC units and an equal number of shares of Viper’s Class B common stock (which securities are exchangeable for an equal number of Viper’s Class A common stock), in each case subject to customary closing adjustments, including for net title benefits. The pending 2025 Drop Down is expected to close in the second quarter of 2025, subject to the approval by Viper’s stockholders, regulatory clearance and the satisfaction or waiver of other closing conditions. Viper intends to fund the cash consideration for the pending 2025 Drop Down with the net proceeds from the Viper 2025 Equity Offering discussed above. The mineral and royalty interests owned by the Endeavor Subsidiaries being divested in the pending 2025 Drop Down represent approximately 22,847 net royalty acres located primarily in the Permian Basin. The Endeavor Subsidiaries being sold in the pending 2025 Drop Down were acquired by us in the recently completed Endeavor Acquisition.</w:t>
      </w:r>
    </w:p>
    <w:p>
      <w:pPr>
        <w:spacing w:after="0" w:line="207"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17—Subsequent Events in Item 8. Financial Statements and Supplementary Data of this report for further discussion of the pending Double Eagle Acquisition, the Viper 2025 Equity Offering and the pending 2025 Drop Down.</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2024 Diamondback Acquisitions and Divestitures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Endeavor Acquisition</w:t>
      </w:r>
    </w:p>
    <w:p>
      <w:pPr>
        <w:spacing w:after="0" w:line="295" w:lineRule="exact"/>
        <w:rPr>
          <w:sz w:val="20"/>
          <w:szCs w:val="20"/>
          <w:color w:val="auto"/>
        </w:rPr>
      </w:pPr>
    </w:p>
    <w:p>
      <w:pPr>
        <w:jc w:val="both"/>
        <w:ind w:left="100" w:firstLine="721"/>
        <w:spacing w:after="0" w:line="255" w:lineRule="auto"/>
        <w:rPr>
          <w:sz w:val="20"/>
          <w:szCs w:val="20"/>
          <w:color w:val="auto"/>
        </w:rPr>
      </w:pPr>
      <w:r>
        <w:rPr>
          <w:rFonts w:ascii="Times New Roman" w:cs="Times New Roman" w:eastAsia="Times New Roman" w:hAnsi="Times New Roman"/>
          <w:sz w:val="20"/>
          <w:szCs w:val="20"/>
          <w:color w:val="auto"/>
        </w:rPr>
        <w:t>On September 10, 2024, we completed the Endeavor Acquisition for consideration consisting of $7.3 billion in cash, subject to certain customary post-closing adjustments, and approximately 117.27 million shares of our common stock. The Endeavor Acquisition included approximately 500,849 gross (361,927 net) acres, which are primarily located in the Permian Basin. The cash consideration for the Endeavor Acquisition was funded through a combination of cash on hand, the net proceeds of the Company’s $5.5 billion April 2024 Senior Notes offering and $1.0 billion in borrowings under the Tranche A Loans (as defined and discussed below). See Note 5—Endeavor Energy Resources, LP Acquisition in Item 8. Financial Statements and Supplementary Data of this report for further discussion of the Endeavor Acquisition.</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TRP Energy, LLC Asset Exchange</w:t>
      </w:r>
    </w:p>
    <w:p>
      <w:pPr>
        <w:spacing w:after="0" w:line="244"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On December 20, 2024, we completed an exchange agreement with TRP Energy, LLC (“TRP”), in which we exchanged approximately 47,034 gross (35,673 net) acres located in the Delaware Basin and $325 million in cash, subject to customary post-closing adjustments, for certain of TRP’s assets consisting of approximately 21,582 gross (15,421 net) acres located in the Midland Basin (the “TRP Exchange”). The TRP Exchange was valued at approximately $1.4 billion.</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WTG Midstream Transaction</w:t>
      </w:r>
    </w:p>
    <w:p>
      <w:pPr>
        <w:spacing w:after="0" w:line="24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On July 15, 2024, Remuda Midstream Holdings LLC, (the “WTG joint venture”) sold its WTG Midstream LLC subsidiary (the “WTG Midstream Transaction”), resulting in proceeds to us of 10.1 million common units of Energy Transfer LP and $190 million in cash, subject to customary closing adjustments. At the closing of the WTG Midstream Transaction, the value attributable to us for the 10.1 million common units was approximately $135 million, of which we received approximately $81 million with the remaining $54 million held in escrow pursuant to an escrow agreement entered into by the WTG joint venture. A gain of approximately $74 million was recognized for the WTG Transaction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180"/>
          </w:cols>
          <w:pgMar w:left="980" w:top="205" w:right="1080"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2024 Viper Acquisitions</w:t>
      </w:r>
    </w:p>
    <w:p>
      <w:pPr>
        <w:spacing w:after="0" w:line="2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Tumbleweed Acquisitions</w:t>
      </w:r>
    </w:p>
    <w:p>
      <w:pPr>
        <w:spacing w:after="0" w:line="247" w:lineRule="exact"/>
        <w:rPr>
          <w:sz w:val="20"/>
          <w:szCs w:val="20"/>
          <w:color w:val="auto"/>
        </w:rPr>
      </w:pPr>
    </w:p>
    <w:p>
      <w:pPr>
        <w:jc w:val="both"/>
        <w:ind w:left="100" w:firstLine="721"/>
        <w:spacing w:after="0" w:line="258" w:lineRule="auto"/>
        <w:rPr>
          <w:sz w:val="20"/>
          <w:szCs w:val="20"/>
          <w:color w:val="auto"/>
        </w:rPr>
      </w:pPr>
      <w:r>
        <w:rPr>
          <w:rFonts w:ascii="Times New Roman" w:cs="Times New Roman" w:eastAsia="Times New Roman" w:hAnsi="Times New Roman"/>
          <w:sz w:val="20"/>
          <w:szCs w:val="20"/>
          <w:color w:val="auto"/>
        </w:rPr>
        <w:t>On October 1, 2024, Viper and Viper LLC completed the Viper TWR Acquisition, for which the consideration consisted of approximately (i) $464 million in cash, (ii) 10.09 million Viper LLC units, including transaction costs and certain customary post-closing adjustments, (iii) the TWR Class B Option, and (iv) contingent cash consideration of up to $41 million payable in January of 2026. The mineral and royalty interests acquired in the Viper TWR Acquisition represent approximately 3,067 net royalty acres located primarily in the Permian Basin.</w:t>
      </w:r>
    </w:p>
    <w:p>
      <w:pPr>
        <w:spacing w:after="0" w:line="20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September 3, 2024 Viper and Viper LLC acquired all of the issued and outstanding equity interests in Tumbleweed-Q Royalties, LLC (i) the Viper Q Acquisition for a purchase price of approximately $114 million in cash, including transaction costs and certain customary post-closing adjustments, and a contingent cash consideration of up to $5 million payable in January of 2026, and (ii) MC TWR Royalties, LP and MC TWR Intermediate, LLC the Viper M Acquisition for a purchase price of approximately $76 million in cash, including transaction costs and certain customary post-closing adjustments, and a contingent cash consideration of up to $4 million payable in January of 2026. The mineral and royalty interests acquired in the Viper Q &amp; M Acquisitions, represent approximately 406 and 267 net royalty acres located primarily in the Permian Basin, respectively.</w:t>
      </w:r>
    </w:p>
    <w:p>
      <w:pPr>
        <w:spacing w:after="0" w:line="208"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4—Acquisitions and Divestitures in Item 8. Financial Statements and Supplementary Data of this report for further discussion of the TRP Exchange, the Viper Tumbleweed Acquisitions and the WTG Midstream Transaction.</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2024 Capital Transactions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2024 Equity Offering</w:t>
      </w:r>
    </w:p>
    <w:p>
      <w:pPr>
        <w:spacing w:after="0" w:line="247" w:lineRule="exact"/>
        <w:rPr>
          <w:sz w:val="20"/>
          <w:szCs w:val="20"/>
          <w:color w:val="auto"/>
        </w:rPr>
      </w:pPr>
    </w:p>
    <w:p>
      <w:pPr>
        <w:jc w:val="both"/>
        <w:ind w:left="100" w:firstLine="720"/>
        <w:spacing w:after="0" w:line="269" w:lineRule="auto"/>
        <w:rPr>
          <w:sz w:val="20"/>
          <w:szCs w:val="20"/>
          <w:color w:val="auto"/>
        </w:rPr>
      </w:pPr>
      <w:r>
        <w:rPr>
          <w:rFonts w:ascii="Times New Roman" w:cs="Times New Roman" w:eastAsia="Times New Roman" w:hAnsi="Times New Roman"/>
          <w:sz w:val="20"/>
          <w:szCs w:val="20"/>
          <w:color w:val="auto"/>
        </w:rPr>
        <w:t>On September 13, 2024, Viper completed an underwritten public offering of approximately 11.5 million shares of its Class A common stock at a price to the public of $42.50 per share for total net proceeds to Viper of approximately $476 million (the “Viper 2024 Equity Offering”).</w:t>
      </w:r>
    </w:p>
    <w:p>
      <w:pPr>
        <w:spacing w:after="0" w:line="187"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10—Stockholders' Equity and Earnings (Loss) Per Share in Item 8. Financial Statements and Supplementary Data of this report for further discussion of the Viper 2024 Equity Offering.</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April 2024 Notes Offering</w:t>
      </w:r>
    </w:p>
    <w:p>
      <w:pPr>
        <w:spacing w:after="0" w:line="24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On April 18, 2024, we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Term Loan Agreement</w:t>
      </w:r>
    </w:p>
    <w:p>
      <w:pPr>
        <w:spacing w:after="0" w:line="206" w:lineRule="exact"/>
        <w:rPr>
          <w:sz w:val="20"/>
          <w:szCs w:val="20"/>
          <w:color w:val="auto"/>
        </w:rPr>
      </w:pPr>
    </w:p>
    <w:p>
      <w:pPr>
        <w:jc w:val="both"/>
        <w:ind w:left="100" w:firstLine="722"/>
        <w:spacing w:after="0" w:line="237" w:lineRule="auto"/>
        <w:rPr>
          <w:sz w:val="20"/>
          <w:szCs w:val="20"/>
          <w:color w:val="auto"/>
        </w:rPr>
      </w:pPr>
      <w:r>
        <w:rPr>
          <w:rFonts w:ascii="Times New Roman" w:cs="Times New Roman" w:eastAsia="Times New Roman" w:hAnsi="Times New Roman"/>
          <w:sz w:val="20"/>
          <w:szCs w:val="20"/>
          <w:color w:val="auto"/>
        </w:rPr>
        <w:t>In connection with the Endeavor Acquisition, we entered into a Term Loan Credit Agreement with Citibank, N.A. on February 29, 2024 (the “Term Loan Agreement”). The Term Loan Agreement provided the Company with the ability to borrow up to $1.5 billion, which was comprised of $1.0 billion of Tranche A Loans (the “Tranche A Loans”) and $500 million of Tranche B Loans (the “Tranche B Loans”) . On August 2, 2024, we terminated our undrawn Tranche B Loans. Initial borrowings of $1.0 billion under the Tranche A Loans were used to fund a portion of the cash consideration for the Endeavor Acquisition.</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Commodity Prices</w:t>
      </w:r>
    </w:p>
    <w:p>
      <w:pPr>
        <w:spacing w:after="0" w:line="25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2024, 2023 and 2022 the NYMEX WTI prices averaged $75.76, $77.60 and $94.33 per Bbl, respectively, and the NYMEX Henry Hub prices averaged $2.41, $2.66 and $6.54 per MMBtu,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180"/>
          </w:cols>
          <w:pgMar w:left="980" w:top="205" w:right="1080"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For additional information around risks related to commodity prices, see Part II. Item 7A. Quantitative and Qualitative Disclosures About Market Risk—Commodity Price Risk.</w:t>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5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 xml:space="preserve">During 2024, we had total capital expenditures of $2.9 billion, which was consistent with our guidance presented in November 2024. In 2025, we expect production and capital expenditures to increase as a result of the Endeavor Acquisition the Viper Tumbleweed Acquisitions, and the pending Double Eagle Acquisition, if consummated. Giving effect to the pending Double Eagle Acquisition, we have currently budgeted 2025 total capital spend of $3.80 billion to $4.20 billion, which at the midpoint is an increase of 36% year over year. Given the volatile current macro environment for oil prices and near-term global oil supply and demand dynamics, we have made the capital allocation decision to focus on free cash flow (as defined in </w:t>
      </w:r>
      <w:r>
        <w:rPr>
          <w:rFonts w:ascii="Times New Roman" w:cs="Times New Roman" w:eastAsia="Times New Roman" w:hAnsi="Times New Roman"/>
          <w:sz w:val="20"/>
          <w:szCs w:val="20"/>
          <w:i w:val="1"/>
          <w:iCs w:val="1"/>
          <w:color w:val="auto"/>
        </w:rPr>
        <w:t>“— Capital Requirements”</w:t>
      </w:r>
      <w:r>
        <w:rPr>
          <w:rFonts w:ascii="Times New Roman" w:cs="Times New Roman" w:eastAsia="Times New Roman" w:hAnsi="Times New Roman"/>
          <w:sz w:val="20"/>
          <w:szCs w:val="20"/>
          <w:color w:val="auto"/>
        </w:rPr>
        <w:t>) generation and capital efficiency over volume growth in 2025.</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As part of the agreement with Double Eagle, we have also agreed to accelerate development on a portion of our non-core southern Midland Basin acreage. This acceleration is expected to bring forward net asset value to us by developing our lower quality acreage at a faster pace than current expectations. As a result, we expect significant free cash flow growth in 2026 and beyond with minimal capital deployment through this accelerated development plan.</w:t>
      </w:r>
    </w:p>
    <w:p>
      <w:pPr>
        <w:spacing w:after="0" w:line="197" w:lineRule="exact"/>
        <w:rPr>
          <w:sz w:val="20"/>
          <w:szCs w:val="20"/>
          <w:color w:val="auto"/>
        </w:rPr>
      </w:pPr>
    </w:p>
    <w:p>
      <w:pPr>
        <w:ind w:left="100" w:firstLine="721"/>
        <w:spacing w:after="0" w:line="255" w:lineRule="auto"/>
        <w:rPr>
          <w:sz w:val="20"/>
          <w:szCs w:val="20"/>
          <w:color w:val="auto"/>
        </w:rPr>
      </w:pPr>
      <w:r>
        <w:rPr>
          <w:rFonts w:ascii="Times New Roman" w:cs="Times New Roman" w:eastAsia="Times New Roman" w:hAnsi="Times New Roman"/>
          <w:sz w:val="20"/>
          <w:szCs w:val="20"/>
          <w:color w:val="auto"/>
        </w:rPr>
        <w:t>Beginning in the first quarter of 2024, our board of directors approved a reduction to our return of capital commitment to our shareholders to at least 50% (down from 75%) of our quarterly free cash flow. Because we added debt to fund the cash portion of the Endeavor Acquisition and expect to add additional debt upon completion of the pending Double Eagle Acquisition, we are allocating more free cash flow to pay down our debt, with a near-term goal to reduce net debt to $10 billion. Our long-term target is to maintain our net debt between $6 billion and $8 billion through free cash flow generation and potential non- core asset sales as demonstrated by our recently announced commitment to sell at least $1.5 billion of non-core assets to help accelerate debt reduction and maintain a strong balance sheet. We also remain focused on our long-term priority to return cash to our stockholders.</w:t>
      </w:r>
    </w:p>
    <w:p>
      <w:pPr>
        <w:spacing w:after="0" w:line="201"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 the Midland Basin, we continued to have positive results across our core development areas located within Midland, Martin, Ector, Glasscock, Reagan, Andrews and Howard counties, where development has primarily focused on drilling long-lateral, multi-well pads targeting the Spraberry and Wolfcamp formations.</w:t>
      </w:r>
    </w:p>
    <w:p>
      <w:pPr>
        <w:spacing w:after="0" w:line="187"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In the Delaware Basin, we continued to target the Wolfcamp and Bone Spring formations across our primary development areas located in Pecos, Reeves and Ward counties. Collectively, the Delaware Basin accounted for approximately 5% of our total development in 2024, and we expect a similar portion of our total development to be focused in these areas in 2025.</w:t>
      </w:r>
    </w:p>
    <w:p>
      <w:pPr>
        <w:spacing w:after="0" w:line="196"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As of December 31, 2024, we were operating 19 drilling rigs and four completion crews and currently intend to operate between 13 and 19 drilling rigs and between four and six completion crews in 2025 on average across our current acreage position in the Midland and Delaware Basins.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180"/>
          </w:cols>
          <w:pgMar w:left="980" w:top="205" w:right="1080"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2025 Guidance</w:t>
      </w:r>
    </w:p>
    <w:p>
      <w:pPr>
        <w:spacing w:after="0" w:line="253"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 presents our current estimates, which give effect to the estimated contribution related to the pending Double Eagle Acquisition, of certain financial and operating results for the full year of 2025, as well as production and cash tax guidance for the first quarter of 2025:</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7500" w:type="dxa"/>
            <w:vAlign w:val="bottom"/>
          </w:tcPr>
          <w:p>
            <w:pPr>
              <w:spacing w:after="0"/>
              <w:rPr>
                <w:sz w:val="21"/>
                <w:szCs w:val="21"/>
                <w:color w:val="auto"/>
              </w:rPr>
            </w:pPr>
          </w:p>
        </w:tc>
        <w:tc>
          <w:tcPr>
            <w:tcW w:w="25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2025 Guidance</w:t>
            </w:r>
          </w:p>
        </w:tc>
      </w:tr>
      <w:tr>
        <w:trPr>
          <w:trHeight w:val="276"/>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Net production - MBOE/d</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- 909</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Oil production - MBO/d</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- 498</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Q1 2025 oil production - MBO/d (total - MBOE/d)</w:t>
            </w:r>
            <w:r>
              <w:rPr>
                <w:rFonts w:ascii="Times New Roman" w:cs="Times New Roman" w:eastAsia="Times New Roman" w:hAnsi="Times New Roman"/>
                <w:sz w:val="20"/>
                <w:szCs w:val="20"/>
                <w:color w:val="B3B3B3"/>
                <w:w w:val="97"/>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470 - 475 (860 - 875)</w:t>
            </w:r>
          </w:p>
        </w:tc>
      </w:tr>
      <w:tr>
        <w:trPr>
          <w:trHeight w:val="603"/>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 costs $/BOE):</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Lease operating expenses, including workovers</w:t>
            </w:r>
            <w:r>
              <w:rPr>
                <w:rFonts w:ascii="Times New Roman" w:cs="Times New Roman" w:eastAsia="Times New Roman" w:hAnsi="Times New Roman"/>
                <w:sz w:val="20"/>
                <w:szCs w:val="20"/>
                <w:color w:val="B3B3B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$6.30</w:t>
            </w:r>
          </w:p>
        </w:tc>
      </w:tr>
      <w:tr>
        <w:trPr>
          <w:trHeight w:val="298"/>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General and administrative expenses - cash </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$0.75</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Non-cash stock-based compensation </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$0.35</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Depreciation, depletion, amortization and accretion</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$15.00</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Interest expense (net of interest income) </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$0.50</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Gathering, processing and transportation</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$1.40</w:t>
            </w:r>
          </w:p>
        </w:tc>
      </w:tr>
      <w:tr>
        <w:trPr>
          <w:trHeight w:val="617"/>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Production and ad valorem taxes (% of revenue) </w:t>
            </w:r>
            <w:r>
              <w:rPr>
                <w:rFonts w:ascii="Times New Roman" w:cs="Times New Roman" w:eastAsia="Times New Roman" w:hAnsi="Times New Roman"/>
                <w:sz w:val="20"/>
                <w:szCs w:val="20"/>
                <w:color w:val="B3B3B3"/>
                <w:w w:val="97"/>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~7%</w:t>
            </w:r>
          </w:p>
        </w:tc>
      </w:tr>
      <w:tr>
        <w:trPr>
          <w:trHeight w:val="298"/>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Corporate tax rate (% of pre-tax income) </w:t>
            </w:r>
            <w:r>
              <w:rPr>
                <w:rFonts w:ascii="Times New Roman" w:cs="Times New Roman" w:eastAsia="Times New Roman" w:hAnsi="Times New Roman"/>
                <w:sz w:val="20"/>
                <w:szCs w:val="20"/>
                <w:color w:val="B3B3B3"/>
                <w:w w:val="97"/>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r>
      <w:tr>
        <w:trPr>
          <w:trHeight w:val="300"/>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Cash tax rate (% of pre-tax income) </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- 20%</w:t>
            </w:r>
          </w:p>
        </w:tc>
      </w:tr>
      <w:tr>
        <w:trPr>
          <w:trHeight w:val="283"/>
        </w:trPr>
        <w:tc>
          <w:tcPr>
            <w:tcW w:w="7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Q1 2025 cash taxes (in millions)</w:t>
            </w:r>
            <w:r>
              <w:rPr>
                <w:rFonts w:ascii="Times New Roman" w:cs="Times New Roman" w:eastAsia="Times New Roman" w:hAnsi="Times New Roman"/>
                <w:sz w:val="20"/>
                <w:szCs w:val="20"/>
                <w:color w:val="B3B3B3"/>
                <w:w w:val="97"/>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$340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180"/>
          </w:cols>
          <w:pgMar w:left="980" w:top="205" w:right="108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253" w:lineRule="exact"/>
        <w:rPr>
          <w:sz w:val="20"/>
          <w:szCs w:val="20"/>
          <w:color w:val="auto"/>
        </w:rPr>
      </w:pPr>
    </w:p>
    <w:p>
      <w:pPr>
        <w:jc w:val="both"/>
        <w:ind w:left="100" w:right="20" w:firstLine="720"/>
        <w:spacing w:after="0" w:line="261" w:lineRule="auto"/>
        <w:rPr>
          <w:sz w:val="20"/>
          <w:szCs w:val="20"/>
          <w:color w:val="auto"/>
        </w:rPr>
      </w:pPr>
      <w:r>
        <w:rPr>
          <w:rFonts w:ascii="Times New Roman" w:cs="Times New Roman" w:eastAsia="Times New Roman" w:hAnsi="Times New Roman"/>
          <w:sz w:val="20"/>
          <w:szCs w:val="20"/>
          <w:color w:val="auto"/>
        </w:rPr>
        <w:t>For a discussion of the results of operations for the year ended December 31, 2023 as compared to the year ended December 31, 2022, please refer to Part II, Item 7. Management's Discussion and Analysis of Financial Condition and Results of Operations in our Annual Report on Form 10-K for the year ended December 31, 2023 (filed with the SEC on February 22, 2024), which is incorporated in this report by reference from such prior report on Form 10-K.</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selected historical operating data for the periods indicated:</w:t>
      </w:r>
    </w:p>
    <w:p>
      <w:pPr>
        <w:spacing w:after="0" w:line="29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3" w:lineRule="exact"/>
        <w:rPr>
          <w:sz w:val="20"/>
          <w:szCs w:val="20"/>
          <w:color w:val="auto"/>
        </w:rPr>
      </w:pPr>
    </w:p>
    <w:p>
      <w:pPr>
        <w:ind w:left="7540"/>
        <w:spacing w:after="0"/>
        <w:tabs>
          <w:tab w:leader="none" w:pos="9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4406900</wp:posOffset>
                </wp:positionH>
                <wp:positionV relativeFrom="paragraph">
                  <wp:posOffset>-118745</wp:posOffset>
                </wp:positionV>
                <wp:extent cx="20478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9.3499pt" to="508.25pt,-9.3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4406900</wp:posOffset>
                </wp:positionH>
                <wp:positionV relativeFrom="paragraph">
                  <wp:posOffset>33020</wp:posOffset>
                </wp:positionV>
                <wp:extent cx="10001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pt,2.6pt" to="425.75pt,2.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5454650</wp:posOffset>
                </wp:positionH>
                <wp:positionV relativeFrom="paragraph">
                  <wp:posOffset>33020</wp:posOffset>
                </wp:positionV>
                <wp:extent cx="10001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pt,2.6pt" to="508.25pt,2.6pt" o:allowincell="f" strokecolor="#000000" strokeweight="1pt"/>
            </w:pict>
          </mc:Fallback>
        </mc:AlternateContent>
      </w:r>
    </w:p>
    <w:p>
      <w:pPr>
        <w:spacing w:after="0" w:line="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Revenues (in millions):</w:t>
      </w:r>
    </w:p>
    <w:p>
      <w:pPr>
        <w:spacing w:after="0" w:line="73" w:lineRule="exact"/>
        <w:rPr>
          <w:sz w:val="20"/>
          <w:szCs w:val="20"/>
          <w:color w:val="auto"/>
        </w:rPr>
      </w:pPr>
    </w:p>
    <w:tbl>
      <w:tblPr>
        <w:tblLayout w:type="fixed"/>
        <w:tblInd w:w="160" w:type="dxa"/>
        <w:tblCellMar>
          <w:top w:w="0" w:type="dxa"/>
          <w:left w:w="0" w:type="dxa"/>
          <w:bottom w:w="0" w:type="dxa"/>
          <w:right w:w="0" w:type="dxa"/>
        </w:tblCellMar>
      </w:tblPr>
      <w:tr>
        <w:trPr>
          <w:trHeight w:val="266"/>
        </w:trPr>
        <w:tc>
          <w:tcPr>
            <w:tcW w:w="67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Oil sales</w:t>
            </w:r>
            <w:r>
              <w:rPr>
                <w:rFonts w:ascii="Times New Roman" w:cs="Times New Roman" w:eastAsia="Times New Roman" w:hAnsi="Times New Roman"/>
                <w:sz w:val="20"/>
                <w:szCs w:val="20"/>
                <w:color w:val="B3B3B3"/>
                <w:w w:val="96"/>
              </w:rPr>
              <w:t>....................................................................................................................</w:t>
            </w:r>
          </w:p>
        </w:tc>
        <w:tc>
          <w:tcPr>
            <w:tcW w:w="5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9,067</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78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auto"/>
                <w:w w:val="96"/>
              </w:rPr>
              <w:t xml:space="preserve">Natural gas sales </w:t>
            </w:r>
            <w:r>
              <w:rPr>
                <w:rFonts w:ascii="Times New Roman" w:cs="Times New Roman" w:eastAsia="Times New Roman" w:hAnsi="Times New Roman"/>
                <w:sz w:val="20"/>
                <w:szCs w:val="20"/>
                <w:color w:val="B3B3B3"/>
                <w:w w:val="96"/>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8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auto"/>
                <w:w w:val="96"/>
              </w:rPr>
              <w:t xml:space="preserve">Natural gas liquid sales </w:t>
            </w:r>
            <w:r>
              <w:rPr>
                <w:rFonts w:ascii="Times New Roman" w:cs="Times New Roman" w:eastAsia="Times New Roman" w:hAnsi="Times New Roman"/>
                <w:sz w:val="20"/>
                <w:szCs w:val="20"/>
                <w:color w:val="B3B3B3"/>
                <w:w w:val="96"/>
              </w:rPr>
              <w:t>............................................................................................</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76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Total oil, natural gas and natural gas liquid revenues</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10,100</w:t>
            </w:r>
          </w:p>
        </w:tc>
        <w:tc>
          <w:tcPr>
            <w:tcW w:w="80" w:type="dxa"/>
            <w:vAlign w:val="bottom"/>
          </w:tcPr>
          <w:p>
            <w:pPr>
              <w:spacing w:after="0"/>
              <w:rPr>
                <w:sz w:val="20"/>
                <w:szCs w:val="20"/>
                <w:color w:val="auto"/>
              </w:rPr>
            </w:pPr>
          </w:p>
        </w:tc>
        <w:tc>
          <w:tcPr>
            <w:tcW w:w="5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6"/>
        </w:trPr>
        <w:tc>
          <w:tcPr>
            <w:tcW w:w="67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Oil (MBbls)</w:t>
            </w:r>
            <w:r>
              <w:rPr>
                <w:rFonts w:ascii="Times New Roman" w:cs="Times New Roman" w:eastAsia="Times New Roman" w:hAnsi="Times New Roman"/>
                <w:sz w:val="20"/>
                <w:szCs w:val="20"/>
                <w:color w:val="B3B3B3"/>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w w:val="99"/>
              </w:rPr>
              <w:t xml:space="preserve">Natural gas (MMcf) </w:t>
            </w:r>
            <w:r>
              <w:rPr>
                <w:rFonts w:ascii="Times New Roman" w:cs="Times New Roman" w:eastAsia="Times New Roman" w:hAnsi="Times New Roman"/>
                <w:sz w:val="20"/>
                <w:szCs w:val="20"/>
                <w:color w:val="B3B3B3"/>
                <w:w w:val="99"/>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275,680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198,117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Natural gas liquids (MBbls)</w:t>
            </w:r>
            <w:r>
              <w:rPr>
                <w:rFonts w:ascii="Times New Roman" w:cs="Times New Roman" w:eastAsia="Times New Roman" w:hAnsi="Times New Roman"/>
                <w:sz w:val="20"/>
                <w:szCs w:val="20"/>
                <w:color w:val="B3B3B3"/>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w w:val="99"/>
              </w:rPr>
              <w:t>Combined volumes (MBOE)</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B3B3B3"/>
                <w:w w:val="99"/>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218,972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 xml:space="preserve">Daily oil volumes (BO/d) </w:t>
            </w:r>
            <w:r>
              <w:rPr>
                <w:rFonts w:ascii="Times New Roman" w:cs="Times New Roman" w:eastAsia="Times New Roman" w:hAnsi="Times New Roman"/>
                <w:sz w:val="20"/>
                <w:szCs w:val="20"/>
                <w:color w:val="B3B3B3"/>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336,954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 xml:space="preserve">Daily combined volumes (BOE/d) </w:t>
            </w:r>
            <w:r>
              <w:rPr>
                <w:rFonts w:ascii="Times New Roman" w:cs="Times New Roman" w:eastAsia="Times New Roman" w:hAnsi="Times New Roman"/>
                <w:sz w:val="20"/>
                <w:szCs w:val="20"/>
                <w:color w:val="B3B3B3"/>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598,284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6"/>
              </w:rPr>
              <w:t>Oil ($ per Bbl)</w:t>
            </w:r>
            <w:r>
              <w:rPr>
                <w:rFonts w:ascii="Times New Roman" w:cs="Times New Roman" w:eastAsia="Times New Roman" w:hAnsi="Times New Roman"/>
                <w:sz w:val="20"/>
                <w:szCs w:val="20"/>
                <w:color w:val="B3B3B3"/>
                <w:w w:val="96"/>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7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6"/>
              </w:rPr>
              <w:t>Natural gas ($ per Mcf)</w:t>
            </w:r>
            <w:r>
              <w:rPr>
                <w:rFonts w:ascii="Times New Roman" w:cs="Times New Roman" w:eastAsia="Times New Roman" w:hAnsi="Times New Roman"/>
                <w:sz w:val="20"/>
                <w:szCs w:val="20"/>
                <w:color w:val="B3B3B3"/>
                <w:w w:val="96"/>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7"/>
              </w:rPr>
              <w:t>Natural gas liquids ($ per Bbl)</w:t>
            </w:r>
            <w:r>
              <w:rPr>
                <w:rFonts w:ascii="Times New Roman" w:cs="Times New Roman" w:eastAsia="Times New Roman" w:hAnsi="Times New Roman"/>
                <w:sz w:val="20"/>
                <w:szCs w:val="20"/>
                <w:color w:val="B3B3B3"/>
                <w:w w:val="97"/>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7"/>
              </w:rPr>
              <w:t>Combined ($ per BOE)</w:t>
            </w:r>
            <w:r>
              <w:rPr>
                <w:rFonts w:ascii="Times New Roman" w:cs="Times New Roman" w:eastAsia="Times New Roman" w:hAnsi="Times New Roman"/>
                <w:sz w:val="20"/>
                <w:szCs w:val="20"/>
                <w:color w:val="B3B3B3"/>
                <w:w w:val="97"/>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78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6"/>
              </w:rPr>
              <w:t>Oil, hedged ($/Bbl)</w:t>
            </w:r>
            <w:r>
              <w:rPr>
                <w:rFonts w:ascii="Times New Roman" w:cs="Times New Roman" w:eastAsia="Times New Roman" w:hAnsi="Times New Roman"/>
                <w:sz w:val="25"/>
                <w:szCs w:val="25"/>
                <w:color w:val="auto"/>
                <w:w w:val="96"/>
                <w:vertAlign w:val="superscript"/>
              </w:rPr>
              <w:t>(2)</w:t>
            </w:r>
            <w:r>
              <w:rPr>
                <w:rFonts w:ascii="Times New Roman" w:cs="Times New Roman" w:eastAsia="Times New Roman" w:hAnsi="Times New Roman"/>
                <w:sz w:val="20"/>
                <w:szCs w:val="20"/>
                <w:color w:val="auto"/>
                <w:w w:val="96"/>
              </w:rPr>
              <w:t xml:space="preserve"> </w:t>
            </w:r>
            <w:r>
              <w:rPr>
                <w:rFonts w:ascii="Times New Roman" w:cs="Times New Roman" w:eastAsia="Times New Roman" w:hAnsi="Times New Roman"/>
                <w:sz w:val="20"/>
                <w:szCs w:val="20"/>
                <w:color w:val="B3B3B3"/>
                <w:w w:val="96"/>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72.68</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80" w:type="dxa"/>
            <w:vAlign w:val="bottom"/>
            <w:gridSpan w:val="2"/>
          </w:tcPr>
          <w:p>
            <w:pPr>
              <w:jc w:val="center"/>
              <w:ind w:left="361"/>
              <w:spacing w:after="0"/>
              <w:rPr>
                <w:sz w:val="20"/>
                <w:szCs w:val="20"/>
                <w:color w:val="auto"/>
              </w:rPr>
            </w:pPr>
            <w:r>
              <w:rPr>
                <w:rFonts w:ascii="Times New Roman" w:cs="Times New Roman" w:eastAsia="Times New Roman" w:hAnsi="Times New Roman"/>
                <w:sz w:val="20"/>
                <w:szCs w:val="20"/>
                <w:color w:val="auto"/>
                <w:w w:val="96"/>
              </w:rPr>
              <w:t>Natural gas, hedged ($/Mcf)</w:t>
            </w:r>
            <w:r>
              <w:rPr>
                <w:rFonts w:ascii="Times New Roman" w:cs="Times New Roman" w:eastAsia="Times New Roman" w:hAnsi="Times New Roman"/>
                <w:sz w:val="25"/>
                <w:szCs w:val="25"/>
                <w:color w:val="auto"/>
                <w:w w:val="96"/>
                <w:vertAlign w:val="superscript"/>
              </w:rPr>
              <w:t>(2)</w:t>
            </w:r>
            <w:r>
              <w:rPr>
                <w:rFonts w:ascii="Times New Roman" w:cs="Times New Roman" w:eastAsia="Times New Roman" w:hAnsi="Times New Roman"/>
                <w:sz w:val="20"/>
                <w:szCs w:val="20"/>
                <w:color w:val="auto"/>
                <w:w w:val="96"/>
              </w:rPr>
              <w:t xml:space="preserve"> </w:t>
            </w:r>
            <w:r>
              <w:rPr>
                <w:rFonts w:ascii="Times New Roman" w:cs="Times New Roman" w:eastAsia="Times New Roman" w:hAnsi="Times New Roman"/>
                <w:sz w:val="20"/>
                <w:szCs w:val="20"/>
                <w:color w:val="B3B3B3"/>
                <w:w w:val="96"/>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0.91</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780" w:type="dxa"/>
            <w:vAlign w:val="bottom"/>
            <w:gridSpan w:val="2"/>
          </w:tcPr>
          <w:p>
            <w:pPr>
              <w:jc w:val="center"/>
              <w:ind w:left="341"/>
              <w:spacing w:after="0" w:line="281" w:lineRule="exact"/>
              <w:rPr>
                <w:sz w:val="20"/>
                <w:szCs w:val="20"/>
                <w:color w:val="auto"/>
              </w:rPr>
            </w:pPr>
            <w:r>
              <w:rPr>
                <w:rFonts w:ascii="Times New Roman" w:cs="Times New Roman" w:eastAsia="Times New Roman" w:hAnsi="Times New Roman"/>
                <w:sz w:val="20"/>
                <w:szCs w:val="20"/>
                <w:color w:val="auto"/>
                <w:w w:val="96"/>
              </w:rPr>
              <w:t>Natural gas liquids, hedged ($/Bbl)</w:t>
            </w:r>
            <w:r>
              <w:rPr>
                <w:rFonts w:ascii="Times New Roman" w:cs="Times New Roman" w:eastAsia="Times New Roman" w:hAnsi="Times New Roman"/>
                <w:sz w:val="25"/>
                <w:szCs w:val="25"/>
                <w:color w:val="auto"/>
                <w:w w:val="96"/>
                <w:vertAlign w:val="superscript"/>
              </w:rPr>
              <w:t>(2)</w:t>
            </w:r>
            <w:r>
              <w:rPr>
                <w:rFonts w:ascii="Times New Roman" w:cs="Times New Roman" w:eastAsia="Times New Roman" w:hAnsi="Times New Roman"/>
                <w:sz w:val="20"/>
                <w:szCs w:val="20"/>
                <w:color w:val="auto"/>
                <w:w w:val="96"/>
              </w:rPr>
              <w:t xml:space="preserve"> </w:t>
            </w:r>
            <w:r>
              <w:rPr>
                <w:rFonts w:ascii="Times New Roman" w:cs="Times New Roman" w:eastAsia="Times New Roman" w:hAnsi="Times New Roman"/>
                <w:sz w:val="20"/>
                <w:szCs w:val="20"/>
                <w:color w:val="B3B3B3"/>
                <w:w w:val="96"/>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78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7"/>
              </w:rPr>
              <w:t>Average price, hedged ($/BOE)</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color w:val="B3B3B3"/>
                <w:w w:val="97"/>
              </w:rPr>
              <w: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46.38</w:t>
            </w: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360"/>
        <w:spacing w:after="0"/>
        <w:tabs>
          <w:tab w:leader="none" w:pos="4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Bbl equivalents are calculated using a conversion rate of six Mcf per Bbl.</w:t>
      </w:r>
    </w:p>
    <w:p>
      <w:pPr>
        <w:spacing w:after="0" w:line="10" w:lineRule="exact"/>
        <w:rPr>
          <w:rFonts w:ascii="Times New Roman" w:cs="Times New Roman" w:eastAsia="Times New Roman" w:hAnsi="Times New Roman"/>
          <w:sz w:val="20"/>
          <w:szCs w:val="20"/>
          <w:color w:val="auto"/>
        </w:rPr>
      </w:pPr>
    </w:p>
    <w:p>
      <w:pPr>
        <w:jc w:val="both"/>
        <w:ind w:left="460" w:right="20" w:hanging="360"/>
        <w:spacing w:after="0" w:line="268" w:lineRule="auto"/>
        <w:tabs>
          <w:tab w:leader="none" w:pos="4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00"/>
          </w:cols>
          <w:pgMar w:left="980" w:top="205" w:right="1060" w:bottom="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Production Data. </w:t>
      </w:r>
      <w:r>
        <w:rPr>
          <w:rFonts w:ascii="Times New Roman" w:cs="Times New Roman" w:eastAsia="Times New Roman" w:hAnsi="Times New Roman"/>
          <w:sz w:val="20"/>
          <w:szCs w:val="20"/>
          <w:color w:val="auto"/>
        </w:rPr>
        <w:t>Substantially all of our revenues are generated through the sale of oil, natural gas and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liquids production. The following table provides information on the mix of our production for the years ended December 31,</w:t>
      </w:r>
    </w:p>
    <w:p>
      <w:pPr>
        <w:ind w:left="100"/>
        <w:spacing w:after="0"/>
        <w:rPr>
          <w:sz w:val="20"/>
          <w:szCs w:val="20"/>
          <w:color w:val="auto"/>
        </w:rPr>
      </w:pPr>
      <w:r>
        <w:rPr>
          <w:rFonts w:ascii="Times New Roman" w:cs="Times New Roman" w:eastAsia="Times New Roman" w:hAnsi="Times New Roman"/>
          <w:sz w:val="20"/>
          <w:szCs w:val="20"/>
          <w:color w:val="auto"/>
        </w:rPr>
        <w:t>2024 and 2023:</w:t>
      </w:r>
    </w:p>
    <w:p>
      <w:pPr>
        <w:spacing w:after="0" w:line="200" w:lineRule="exact"/>
        <w:rPr>
          <w:sz w:val="20"/>
          <w:szCs w:val="20"/>
          <w:color w:val="auto"/>
        </w:rPr>
      </w:pP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59"/>
        </w:trPr>
        <w:tc>
          <w:tcPr>
            <w:tcW w:w="752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1"/>
        </w:trPr>
        <w:tc>
          <w:tcPr>
            <w:tcW w:w="7520" w:type="dxa"/>
            <w:vAlign w:val="bottom"/>
          </w:tcPr>
          <w:p>
            <w:pPr>
              <w:spacing w:after="0"/>
              <w:rPr>
                <w:sz w:val="19"/>
                <w:szCs w:val="19"/>
                <w:color w:val="auto"/>
              </w:rPr>
            </w:pPr>
          </w:p>
        </w:tc>
        <w:tc>
          <w:tcPr>
            <w:tcW w:w="11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r>
      <w:tr>
        <w:trPr>
          <w:trHeight w:val="27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Oil (MBbls) </w:t>
            </w:r>
            <w:r>
              <w:rPr>
                <w:rFonts w:ascii="Times New Roman" w:cs="Times New Roman" w:eastAsia="Times New Roman" w:hAnsi="Times New Roman"/>
                <w:sz w:val="20"/>
                <w:szCs w:val="20"/>
                <w:color w:val="B3B3B3"/>
                <w:w w:val="9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56 %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59 %</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(MMcf)</w:t>
            </w:r>
            <w:r>
              <w:rPr>
                <w:rFonts w:ascii="Times New Roman" w:cs="Times New Roman" w:eastAsia="Times New Roman" w:hAnsi="Times New Roman"/>
                <w:sz w:val="20"/>
                <w:szCs w:val="20"/>
                <w:color w:val="B3B3B3"/>
                <w:w w:val="99"/>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30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Natural gas liquids (MBbls) </w:t>
            </w:r>
            <w:r>
              <w:rPr>
                <w:rFonts w:ascii="Times New Roman" w:cs="Times New Roman" w:eastAsia="Times New Roman" w:hAnsi="Times New Roman"/>
                <w:sz w:val="20"/>
                <w:szCs w:val="20"/>
                <w:color w:val="B3B3B3"/>
                <w:w w:val="98"/>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23 %</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09"/>
        </w:trPr>
        <w:tc>
          <w:tcPr>
            <w:tcW w:w="7520" w:type="dxa"/>
            <w:vAlign w:val="bottom"/>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100 %</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line="208" w:lineRule="exact"/>
              <w:rPr>
                <w:sz w:val="20"/>
                <w:szCs w:val="20"/>
                <w:color w:val="auto"/>
              </w:rPr>
            </w:pPr>
            <w:r>
              <w:rPr>
                <w:rFonts w:ascii="Times New Roman" w:cs="Times New Roman" w:eastAsia="Times New Roman" w:hAnsi="Times New Roman"/>
                <w:sz w:val="20"/>
                <w:szCs w:val="20"/>
                <w:color w:val="auto"/>
              </w:rPr>
              <w:t>100 %</w:t>
            </w:r>
          </w:p>
        </w:tc>
      </w:tr>
      <w:tr>
        <w:trPr>
          <w:trHeight w:val="20"/>
        </w:trPr>
        <w:tc>
          <w:tcPr>
            <w:tcW w:w="7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4940300</wp:posOffset>
                </wp:positionH>
                <wp:positionV relativeFrom="paragraph">
                  <wp:posOffset>23495</wp:posOffset>
                </wp:positionV>
                <wp:extent cx="73342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pt,1.85pt" to="446.75pt,1.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5721350</wp:posOffset>
                </wp:positionH>
                <wp:positionV relativeFrom="paragraph">
                  <wp:posOffset>23495</wp:posOffset>
                </wp:positionV>
                <wp:extent cx="73342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5pt,1.85pt" to="508.25pt,1.85pt" o:allowincell="f" strokecolor="#000000" strokeweight="1pt"/>
            </w:pict>
          </mc:Fallback>
        </mc:AlternateContent>
      </w:r>
    </w:p>
    <w:p>
      <w:pPr>
        <w:spacing w:after="0" w:line="2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See Items 1 and 2. Business and Properties—Oil and Natural Gas Data—Oil and Natural Gas Production and Price History of this report for further discussion of production by basin.</w:t>
      </w:r>
    </w:p>
    <w:p>
      <w:pPr>
        <w:spacing w:after="0" w:line="166" w:lineRule="exact"/>
        <w:rPr>
          <w:sz w:val="20"/>
          <w:szCs w:val="20"/>
          <w:color w:val="auto"/>
        </w:rPr>
      </w:pPr>
    </w:p>
    <w:p>
      <w:pPr>
        <w:jc w:val="both"/>
        <w:ind w:left="100" w:firstLine="721"/>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Oil, Natural Gas and Natural Gas Liquids Revenues. </w:t>
      </w:r>
      <w:r>
        <w:rPr>
          <w:rFonts w:ascii="Times New Roman" w:cs="Times New Roman" w:eastAsia="Times New Roman" w:hAnsi="Times New Roman"/>
          <w:sz w:val="20"/>
          <w:szCs w:val="20"/>
          <w:color w:val="auto"/>
        </w:rPr>
        <w:t>Our revenues are a function of oil, natural gas and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liquids production volumes sold and average sales prices received for those volumes.</w:t>
      </w:r>
    </w:p>
    <w:p>
      <w:pPr>
        <w:spacing w:after="0" w:line="170"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Our oil, natural gas and natural gas liquids revenues increased by approximately $1.9 billion, or 23%, to $10.1 billion in 2024 compared to $8.2 billion in 2023. This net increase consisted of an additional $2.5 billion attributable to the 34% growth in our combined production volumes, and a reduction of $596 million attributable to lower average prices received for our oil, natural gas and natural gas liquids production.</w:t>
      </w:r>
    </w:p>
    <w:p>
      <w:pPr>
        <w:spacing w:after="0" w:line="194"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Approximately 72% of the increase in combined production volumes is attributable to the Endeavor Acquisition, 4% is attributable to Viper’s GRP Acquisition and 1% is attributable to Viper’s Tumbleweed Acquisitions. The remainder of the change is attributable to new wells drilled on previously existing acreage.</w:t>
      </w:r>
    </w:p>
    <w:p>
      <w:pPr>
        <w:spacing w:after="0" w:line="187" w:lineRule="exact"/>
        <w:rPr>
          <w:sz w:val="20"/>
          <w:szCs w:val="20"/>
          <w:color w:val="auto"/>
        </w:rPr>
      </w:pPr>
    </w:p>
    <w:p>
      <w:pPr>
        <w:jc w:val="both"/>
        <w:ind w:left="100" w:firstLine="720"/>
        <w:spacing w:after="0" w:line="269" w:lineRule="auto"/>
        <w:rPr>
          <w:sz w:val="20"/>
          <w:szCs w:val="20"/>
          <w:color w:val="auto"/>
        </w:rPr>
      </w:pPr>
      <w:r>
        <w:rPr>
          <w:rFonts w:ascii="Times New Roman" w:cs="Times New Roman" w:eastAsia="Times New Roman" w:hAnsi="Times New Roman"/>
          <w:sz w:val="20"/>
          <w:szCs w:val="20"/>
          <w:color w:val="auto"/>
        </w:rPr>
        <w:t>See Note 4—Acquisitions and Divestitures and Note 5—Endeavor Energy Resources, LP Acquisition in Item 8. Financial Statements and Supplementary Data of this report for further definition and discussion of Viper’s GRP Acquisition, the Viper Tumbleweed Acquisitions and the Endeavor Acquisition.</w:t>
      </w:r>
    </w:p>
    <w:p>
      <w:pPr>
        <w:spacing w:after="0" w:line="187"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Net Sales of Purchased Oil</w:t>
      </w:r>
      <w:r>
        <w:rPr>
          <w:rFonts w:ascii="Times New Roman" w:cs="Times New Roman" w:eastAsia="Times New Roman" w:hAnsi="Times New Roman"/>
          <w:sz w:val="20"/>
          <w:szCs w:val="20"/>
          <w:color w:val="auto"/>
        </w:rPr>
        <w:t>. Beginning in the third quarter of 2023, we entered into purchase transactions with third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parties and separate sale transactions with third parties to satisfy certain of our unused oil pipeline capacity commitments.</w:t>
      </w:r>
    </w:p>
    <w:p>
      <w:pPr>
        <w:spacing w:after="0" w:line="172"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the net sales of purchased oil from third parties for the year ended December 31, 2024 and 2023:</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7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720" w:type="dxa"/>
            <w:vAlign w:val="bottom"/>
          </w:tcPr>
          <w:p>
            <w:pPr>
              <w:jc w:val="right"/>
              <w:ind w:right="5703"/>
              <w:spacing w:after="0"/>
              <w:rPr>
                <w:sz w:val="20"/>
                <w:szCs w:val="20"/>
                <w:color w:val="auto"/>
              </w:rPr>
            </w:pPr>
            <w:r>
              <w:rPr>
                <w:rFonts w:ascii="Times New Roman" w:cs="Times New Roman" w:eastAsia="Times New Roman" w:hAnsi="Times New Roman"/>
                <w:sz w:val="18"/>
                <w:szCs w:val="18"/>
                <w:b w:val="1"/>
                <w:bCs w:val="1"/>
                <w:color w:val="auto"/>
                <w:w w:val="95"/>
              </w:rPr>
              <w:t>(In millions)</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720" w:type="dxa"/>
            <w:vAlign w:val="bottom"/>
          </w:tcPr>
          <w:p>
            <w:pPr>
              <w:jc w:val="right"/>
              <w:ind w:right="163"/>
              <w:spacing w:after="0" w:line="218" w:lineRule="exact"/>
              <w:rPr>
                <w:sz w:val="20"/>
                <w:szCs w:val="20"/>
                <w:color w:val="auto"/>
              </w:rPr>
            </w:pPr>
            <w:r>
              <w:rPr>
                <w:rFonts w:ascii="Times New Roman" w:cs="Times New Roman" w:eastAsia="Times New Roman" w:hAnsi="Times New Roman"/>
                <w:sz w:val="20"/>
                <w:szCs w:val="20"/>
                <w:color w:val="B3B3B3"/>
                <w:w w:val="98"/>
              </w:rPr>
              <w:t>..................................................................................................</w:t>
            </w:r>
            <w:r>
              <w:rPr>
                <w:rFonts w:ascii="Times New Roman" w:cs="Times New Roman" w:eastAsia="Times New Roman" w:hAnsi="Times New Roman"/>
                <w:sz w:val="20"/>
                <w:szCs w:val="20"/>
                <w:color w:val="000000"/>
                <w:w w:val="98"/>
              </w:rPr>
              <w:t>Salesofpurchasedoil</w:t>
            </w:r>
          </w:p>
        </w:tc>
        <w:tc>
          <w:tcPr>
            <w:tcW w:w="400" w:type="dxa"/>
            <w:vAlign w:val="bottom"/>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rPr>
              <w:t>923</w:t>
            </w:r>
          </w:p>
        </w:tc>
        <w:tc>
          <w:tcPr>
            <w:tcW w:w="440" w:type="dxa"/>
            <w:vAlign w:val="bottom"/>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111</w:t>
            </w:r>
          </w:p>
        </w:tc>
      </w:tr>
      <w:tr>
        <w:trPr>
          <w:trHeight w:val="270"/>
        </w:trPr>
        <w:tc>
          <w:tcPr>
            <w:tcW w:w="672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w w:val="96"/>
              </w:rPr>
              <w:t xml:space="preserve">Purchased oil expense </w:t>
            </w:r>
            <w:r>
              <w:rPr>
                <w:rFonts w:ascii="Times New Roman" w:cs="Times New Roman" w:eastAsia="Times New Roman" w:hAnsi="Times New Roman"/>
                <w:sz w:val="20"/>
                <w:szCs w:val="20"/>
                <w:color w:val="B3B3B3"/>
                <w:w w:val="96"/>
              </w:rPr>
              <w: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921</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18"/>
        </w:trPr>
        <w:tc>
          <w:tcPr>
            <w:tcW w:w="67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.........................................................................................Netsalesofpurchasedoil</w:t>
            </w:r>
          </w:p>
        </w:tc>
        <w:tc>
          <w:tcPr>
            <w:tcW w:w="400" w:type="dxa"/>
            <w:vAlign w:val="bottom"/>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rPr>
              <w:t>2</w:t>
            </w:r>
          </w:p>
        </w:tc>
        <w:tc>
          <w:tcPr>
            <w:tcW w:w="440" w:type="dxa"/>
            <w:vAlign w:val="bottom"/>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Other Revenues. </w:t>
      </w:r>
      <w:r>
        <w:rPr>
          <w:rFonts w:ascii="Times New Roman" w:cs="Times New Roman" w:eastAsia="Times New Roman" w:hAnsi="Times New Roman"/>
          <w:sz w:val="20"/>
          <w:szCs w:val="20"/>
          <w:color w:val="auto"/>
        </w:rPr>
        <w:t>The following table shows the other revenues for the year ended December 31, 2024 and 2023:</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70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Other operating income </w:t>
            </w:r>
            <w:r>
              <w:rPr>
                <w:rFonts w:ascii="Times New Roman" w:cs="Times New Roman" w:eastAsia="Times New Roman" w:hAnsi="Times New Roman"/>
                <w:sz w:val="20"/>
                <w:szCs w:val="20"/>
                <w:color w:val="B3B3B3"/>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bl>
    <w:p>
      <w:pPr>
        <w:spacing w:after="0" w:line="285" w:lineRule="exact"/>
        <w:rPr>
          <w:sz w:val="20"/>
          <w:szCs w:val="20"/>
          <w:color w:val="auto"/>
        </w:rPr>
      </w:pPr>
    </w:p>
    <w:p>
      <w:pPr>
        <w:jc w:val="both"/>
        <w:ind w:left="100" w:right="40" w:firstLine="719"/>
        <w:spacing w:after="0" w:line="262" w:lineRule="auto"/>
        <w:rPr>
          <w:sz w:val="20"/>
          <w:szCs w:val="20"/>
          <w:color w:val="auto"/>
        </w:rPr>
      </w:pPr>
      <w:r>
        <w:rPr>
          <w:rFonts w:ascii="Times New Roman" w:cs="Times New Roman" w:eastAsia="Times New Roman" w:hAnsi="Times New Roman"/>
          <w:sz w:val="20"/>
          <w:szCs w:val="20"/>
          <w:color w:val="auto"/>
        </w:rPr>
        <w:t>Other operating income decreased by $30 million in 2024 compared to 2023 primarily due to (i) a $37 million reduction in midstream service revenues following the sale of the Deep Blue Water Assets in the third quarter of 2023, (ii) a $5 million increase in midstream service revenues resulting from the Endeavor Acquisition and (iii) other individually insignificant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180"/>
          </w:cols>
          <w:pgMar w:left="980" w:top="205" w:right="1080"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Lease Operating Expenses. </w:t>
      </w:r>
      <w:r>
        <w:rPr>
          <w:rFonts w:ascii="Times New Roman" w:cs="Times New Roman" w:eastAsia="Times New Roman" w:hAnsi="Times New Roman"/>
          <w:sz w:val="20"/>
          <w:szCs w:val="20"/>
          <w:color w:val="auto"/>
        </w:rPr>
        <w:t>The following table shows lease operating expenses for the years ended December 31,</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2024 and 2023:</w:t>
      </w:r>
    </w:p>
    <w:p>
      <w:pPr>
        <w:spacing w:after="0" w:line="399"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4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3"/>
          </w:tcPr>
          <w:p>
            <w:pPr>
              <w:jc w:val="right"/>
              <w:ind w:right="66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1"/>
        </w:trPr>
        <w:tc>
          <w:tcPr>
            <w:tcW w:w="6480" w:type="dxa"/>
            <w:vAlign w:val="bottom"/>
          </w:tcPr>
          <w:p>
            <w:pPr>
              <w:spacing w:after="0"/>
              <w:rPr>
                <w:sz w:val="19"/>
                <w:szCs w:val="19"/>
                <w:color w:val="auto"/>
              </w:rPr>
            </w:pPr>
          </w:p>
        </w:tc>
        <w:tc>
          <w:tcPr>
            <w:tcW w:w="1760" w:type="dxa"/>
            <w:vAlign w:val="bottom"/>
            <w:tcBorders>
              <w:bottom w:val="single" w:sz="8" w:color="auto"/>
            </w:tcBorders>
            <w:gridSpan w:val="2"/>
          </w:tcPr>
          <w:p>
            <w:pPr>
              <w:jc w:val="right"/>
              <w:ind w:right="627"/>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Borders>
              <w:bottom w:val="single" w:sz="8" w:color="auto"/>
            </w:tcBorders>
            <w:gridSpan w:val="2"/>
          </w:tcPr>
          <w:p>
            <w:pPr>
              <w:jc w:val="right"/>
              <w:ind w:right="585"/>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8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BOE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 BOE</w:t>
            </w:r>
          </w:p>
        </w:tc>
      </w:tr>
      <w:tr>
        <w:trPr>
          <w:trHeight w:val="26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Leaseoperatingexpenses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1,286</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   5.87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   872</w:t>
            </w: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5.34</w:t>
            </w:r>
          </w:p>
        </w:tc>
      </w:tr>
    </w:tbl>
    <w:p>
      <w:pPr>
        <w:spacing w:after="0" w:line="288" w:lineRule="exact"/>
        <w:rPr>
          <w:sz w:val="20"/>
          <w:szCs w:val="20"/>
          <w:color w:val="auto"/>
        </w:rPr>
      </w:pPr>
    </w:p>
    <w:p>
      <w:pPr>
        <w:jc w:val="both"/>
        <w:ind w:left="100" w:firstLine="720"/>
        <w:spacing w:after="0" w:line="249" w:lineRule="auto"/>
        <w:rPr>
          <w:sz w:val="20"/>
          <w:szCs w:val="20"/>
          <w:color w:val="auto"/>
        </w:rPr>
      </w:pPr>
      <w:r>
        <w:rPr>
          <w:rFonts w:ascii="Times New Roman" w:cs="Times New Roman" w:eastAsia="Times New Roman" w:hAnsi="Times New Roman"/>
          <w:sz w:val="20"/>
          <w:szCs w:val="20"/>
          <w:color w:val="auto"/>
        </w:rPr>
        <w:t>Lease operating expenses increased by $414 million, or $0.53 per BOE in 2024 as compared to 2023. The increase primarily consists of (i) $220 million in lease operating expenses related to the Endeavor Acquisition, (ii) $66 million in additional costs incurred for water services as a result of divesting the Deep Blue Water Assets in the third quarter of 2023,</w:t>
      </w:r>
    </w:p>
    <w:p>
      <w:pPr>
        <w:spacing w:after="0" w:line="2" w:lineRule="exact"/>
        <w:rPr>
          <w:sz w:val="20"/>
          <w:szCs w:val="20"/>
          <w:color w:val="auto"/>
        </w:rPr>
      </w:pPr>
    </w:p>
    <w:p>
      <w:pPr>
        <w:ind w:left="460" w:hanging="361"/>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million due to an increase in legacy production volumes, (iv) $48 million due to an increase in workover expense,</w:t>
      </w:r>
    </w:p>
    <w:p>
      <w:pPr>
        <w:spacing w:after="0" w:line="10" w:lineRule="exact"/>
        <w:rPr>
          <w:rFonts w:ascii="Times New Roman" w:cs="Times New Roman" w:eastAsia="Times New Roman" w:hAnsi="Times New Roman"/>
          <w:sz w:val="20"/>
          <w:szCs w:val="20"/>
          <w:color w:val="auto"/>
        </w:rPr>
      </w:pPr>
    </w:p>
    <w:p>
      <w:pPr>
        <w:ind w:left="380" w:hanging="281"/>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million due to an increase in electrical generation costs, and (vi) other individually insignificant changes.</w:t>
      </w:r>
    </w:p>
    <w:p>
      <w:pPr>
        <w:spacing w:after="0" w:line="250"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Production and Ad Valorem Tax Expense. </w:t>
      </w:r>
      <w:r>
        <w:rPr>
          <w:rFonts w:ascii="Times New Roman" w:cs="Times New Roman" w:eastAsia="Times New Roman" w:hAnsi="Times New Roman"/>
          <w:sz w:val="20"/>
          <w:szCs w:val="20"/>
          <w:color w:val="auto"/>
        </w:rPr>
        <w:t>The following table shows production and ad valorem tax expense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years ended December 31, 2024 and 2023:</w:t>
      </w:r>
    </w:p>
    <w:p>
      <w:pPr>
        <w:spacing w:after="0" w:line="321"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3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0"/>
              <w:spacing w:after="0" w:line="163"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oil, natural gas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8"/>
                <w:szCs w:val="18"/>
                <w:b w:val="1"/>
                <w:bCs w:val="1"/>
                <w:color w:val="auto"/>
              </w:rPr>
              <w:t>oil, natural gas</w:t>
            </w:r>
          </w:p>
        </w:tc>
        <w:tc>
          <w:tcPr>
            <w:tcW w:w="0" w:type="dxa"/>
            <w:vAlign w:val="bottom"/>
          </w:tcPr>
          <w:p>
            <w:pPr>
              <w:spacing w:after="0"/>
              <w:rPr>
                <w:sz w:val="1"/>
                <w:szCs w:val="1"/>
                <w:color w:val="auto"/>
              </w:rPr>
            </w:pPr>
          </w:p>
        </w:tc>
      </w:tr>
      <w:tr>
        <w:trPr>
          <w:trHeight w:val="18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2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and natural gas</w:t>
            </w:r>
          </w:p>
        </w:tc>
        <w:tc>
          <w:tcPr>
            <w:tcW w:w="8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8"/>
                <w:szCs w:val="18"/>
                <w:b w:val="1"/>
                <w:bCs w:val="1"/>
                <w:color w:val="auto"/>
              </w:rPr>
              <w:t>and natural gas</w:t>
            </w:r>
          </w:p>
        </w:tc>
        <w:tc>
          <w:tcPr>
            <w:tcW w:w="0" w:type="dxa"/>
            <w:vAlign w:val="bottom"/>
          </w:tcPr>
          <w:p>
            <w:pPr>
              <w:spacing w:after="0"/>
              <w:rPr>
                <w:sz w:val="1"/>
                <w:szCs w:val="1"/>
                <w:color w:val="auto"/>
              </w:rPr>
            </w:pPr>
          </w:p>
        </w:tc>
      </w:tr>
      <w:tr>
        <w:trPr>
          <w:trHeight w:val="240"/>
        </w:trPr>
        <w:tc>
          <w:tcPr>
            <w:tcW w:w="37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vMerge w:val="continue"/>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liquids revenue</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vMerge w:val="continue"/>
          </w:tcPr>
          <w:p>
            <w:pPr>
              <w:spacing w:after="0"/>
              <w:rPr>
                <w:sz w:val="20"/>
                <w:szCs w:val="20"/>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liquids revenue</w:t>
            </w:r>
          </w:p>
        </w:tc>
        <w:tc>
          <w:tcPr>
            <w:tcW w:w="0" w:type="dxa"/>
            <w:vAlign w:val="bottom"/>
          </w:tcPr>
          <w:p>
            <w:pPr>
              <w:spacing w:after="0"/>
              <w:rPr>
                <w:sz w:val="1"/>
                <w:szCs w:val="1"/>
                <w:color w:val="auto"/>
              </w:rPr>
            </w:pPr>
          </w:p>
        </w:tc>
      </w:tr>
      <w:tr>
        <w:trPr>
          <w:trHeight w:val="278"/>
        </w:trPr>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Production taxes</w:t>
            </w:r>
            <w:r>
              <w:rPr>
                <w:rFonts w:ascii="Times New Roman" w:cs="Times New Roman" w:eastAsia="Times New Roman" w:hAnsi="Times New Roman"/>
                <w:sz w:val="20"/>
                <w:szCs w:val="20"/>
                <w:color w:val="B3B3B3"/>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0" w:type="dxa"/>
            <w:vAlign w:val="bottom"/>
          </w:tcPr>
          <w:p>
            <w:pPr>
              <w:spacing w:after="0"/>
              <w:rPr>
                <w:sz w:val="1"/>
                <w:szCs w:val="1"/>
                <w:color w:val="auto"/>
              </w:rPr>
            </w:pPr>
          </w:p>
        </w:tc>
      </w:tr>
      <w:tr>
        <w:trPr>
          <w:trHeight w:val="302"/>
        </w:trPr>
        <w:tc>
          <w:tcPr>
            <w:tcW w:w="3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 valorem taxes</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0.80</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production and ad valorem expense</w:t>
            </w:r>
            <w:r>
              <w:rPr>
                <w:rFonts w:ascii="Times New Roman" w:cs="Times New Roman" w:eastAsia="Times New Roman" w:hAnsi="Times New Roman"/>
                <w:sz w:val="20"/>
                <w:szCs w:val="20"/>
                <w:color w:val="B3B3B3"/>
              </w:rPr>
              <w:t>....</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6.4 %</w:t>
            </w: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 general, production taxes are directly related to production revenues and are based upon current year commodity prices. Production taxes as a percentage of oil, natural gas and natural gas liquids revenues remained consistent during 2024 compared to 2023.</w:t>
      </w:r>
    </w:p>
    <w:p>
      <w:pPr>
        <w:spacing w:after="0" w:line="190"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Ad valorem taxes are based, among other factors, on property values driven by prior year commodity prices. Ad valorem taxes increased by $31 million in 2024 compared to 2023 primarily due to $28 million of ad valorem taxes accrued on properties acquired as part of the Endeavor Acquisition and other individually insignificant changes.</w:t>
      </w:r>
    </w:p>
    <w:p>
      <w:pPr>
        <w:spacing w:after="0" w:line="187"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Gathering, Processing and Transportation Expense. </w:t>
      </w:r>
      <w:r>
        <w:rPr>
          <w:rFonts w:ascii="Times New Roman" w:cs="Times New Roman" w:eastAsia="Times New Roman" w:hAnsi="Times New Roman"/>
          <w:sz w:val="20"/>
          <w:szCs w:val="20"/>
          <w:color w:val="auto"/>
        </w:rPr>
        <w:t>The following table shows gathering, processing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transportation expense for the years ended December 31, 2024 and 2023:</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6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80" w:type="dxa"/>
            <w:vAlign w:val="bottom"/>
            <w:tcBorders>
              <w:bottom w:val="single" w:sz="8" w:color="auto"/>
            </w:tcBorders>
          </w:tcPr>
          <w:p>
            <w:pPr>
              <w:spacing w:after="0"/>
              <w:rPr>
                <w:sz w:val="18"/>
                <w:szCs w:val="18"/>
                <w:color w:val="auto"/>
              </w:rPr>
            </w:pPr>
          </w:p>
        </w:tc>
      </w:tr>
      <w:tr>
        <w:trPr>
          <w:trHeight w:val="277"/>
        </w:trPr>
        <w:tc>
          <w:tcPr>
            <w:tcW w:w="6460" w:type="dxa"/>
            <w:vAlign w:val="bottom"/>
          </w:tcPr>
          <w:p>
            <w:pPr>
              <w:spacing w:after="0"/>
              <w:rPr>
                <w:sz w:val="24"/>
                <w:szCs w:val="24"/>
                <w:color w:val="auto"/>
              </w:rPr>
            </w:pPr>
          </w:p>
        </w:tc>
        <w:tc>
          <w:tcPr>
            <w:tcW w:w="1780" w:type="dxa"/>
            <w:vAlign w:val="bottom"/>
            <w:gridSpan w:val="3"/>
          </w:tcPr>
          <w:p>
            <w:pPr>
              <w:jc w:val="right"/>
              <w:ind w:right="627"/>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2"/>
          </w:tcPr>
          <w:p>
            <w:pPr>
              <w:jc w:val="right"/>
              <w:ind w:right="585"/>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20" w:type="dxa"/>
            <w:vAlign w:val="bottom"/>
          </w:tcPr>
          <w:p>
            <w:pPr>
              <w:spacing w:after="0"/>
              <w:rPr>
                <w:sz w:val="23"/>
                <w:szCs w:val="23"/>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r>
      <w:tr>
        <w:trPr>
          <w:trHeight w:val="26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.................................................................Gathering,processingandtransportation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356</w:t>
            </w:r>
          </w:p>
        </w:tc>
        <w:tc>
          <w:tcPr>
            <w:tcW w:w="1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1.63</w:t>
            </w: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rPr>
              <w:t>$   287</w:t>
            </w:r>
          </w:p>
        </w:tc>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   1.76</w:t>
            </w:r>
          </w:p>
        </w:tc>
      </w:tr>
    </w:tbl>
    <w:p>
      <w:pPr>
        <w:spacing w:after="0" w:line="29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Gathering, processing and transportation expense increased by $69 million in 2024 compared to 2023 primarily due to an increase in our production from legacy wells as well as an increase in our contractual rates throughout the year. The decrease in the overall rate per BOE between 2024 and 2023 is due to recording gathering, processing and transportation charges for production from the Endeavor Acquisition as a reduction to revenue in accordance with the terms of the acquired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180"/>
          </w:cols>
          <w:pgMar w:left="980" w:top="205" w:right="1080"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8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Depletion, Amortization and Accretion. </w:t>
      </w:r>
      <w:r>
        <w:rPr>
          <w:rFonts w:ascii="Times New Roman" w:cs="Times New Roman" w:eastAsia="Times New Roman" w:hAnsi="Times New Roman"/>
          <w:sz w:val="20"/>
          <w:szCs w:val="20"/>
          <w:color w:val="auto"/>
        </w:rPr>
        <w:t>The following table shows the components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depletion and amortization expense for the years ended December 31, 2024 and 2023:</w:t>
      </w: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21"/>
                <w:szCs w:val="21"/>
                <w:color w:val="auto"/>
              </w:rPr>
            </w:pPr>
          </w:p>
        </w:tc>
      </w:tr>
      <w:tr>
        <w:trPr>
          <w:trHeight w:val="26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BOE amounts)</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Depletion of proved oil and natural gas properties </w:t>
            </w:r>
            <w:r>
              <w:rPr>
                <w:rFonts w:ascii="Times New Roman" w:cs="Times New Roman" w:eastAsia="Times New Roman" w:hAnsi="Times New Roman"/>
                <w:sz w:val="20"/>
                <w:szCs w:val="20"/>
                <w:color w:val="B3B3B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2,759</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of other property and equipment</w:t>
            </w:r>
            <w:r>
              <w:rPr>
                <w:rFonts w:ascii="Times New Roman" w:cs="Times New Roman" w:eastAsia="Times New Roman" w:hAnsi="Times New Roman"/>
                <w:sz w:val="20"/>
                <w:szCs w:val="20"/>
                <w:color w:val="B3B3B3"/>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amortization</w:t>
            </w:r>
            <w:r>
              <w:rPr>
                <w:rFonts w:ascii="Times New Roman" w:cs="Times New Roman" w:eastAsia="Times New Roman" w:hAnsi="Times New Roman"/>
                <w:sz w:val="20"/>
                <w:szCs w:val="20"/>
                <w:color w:val="B3B3B3"/>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Asset retirement obligation accretion</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depletion, amortization and accretion expense</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2,850</w:t>
            </w:r>
          </w:p>
        </w:tc>
        <w:tc>
          <w:tcPr>
            <w:tcW w:w="60" w:type="dxa"/>
            <w:vAlign w:val="bottom"/>
          </w:tcPr>
          <w:p>
            <w:pPr>
              <w:spacing w:after="0"/>
              <w:rPr>
                <w:sz w:val="20"/>
                <w:szCs w:val="20"/>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41"/>
        </w:trPr>
        <w:tc>
          <w:tcPr>
            <w:tcW w:w="7620" w:type="dxa"/>
            <w:vAlign w:val="bottom"/>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7"/>
        </w:trPr>
        <w:tc>
          <w:tcPr>
            <w:tcW w:w="76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OilandnaturalgaspropertiesdepletionrateperBOE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12.60</w:t>
            </w:r>
          </w:p>
        </w:tc>
        <w:tc>
          <w:tcPr>
            <w:tcW w:w="80" w:type="dxa"/>
            <w:vAlign w:val="bottom"/>
            <w:gridSpan w:val="2"/>
          </w:tcPr>
          <w:p>
            <w:pPr>
              <w:spacing w:after="0"/>
              <w:rPr>
                <w:sz w:val="23"/>
                <w:szCs w:val="23"/>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1"/>
        </w:trPr>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depletion, amortization and accretion per BOE</w:t>
            </w:r>
            <w:r>
              <w:rPr>
                <w:rFonts w:ascii="Times New Roman" w:cs="Times New Roman" w:eastAsia="Times New Roman" w:hAnsi="Times New Roman"/>
                <w:sz w:val="20"/>
                <w:szCs w:val="20"/>
                <w:color w:val="B3B3B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13.02</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82" w:lineRule="exact"/>
        <w:rPr>
          <w:sz w:val="20"/>
          <w:szCs w:val="20"/>
          <w:color w:val="auto"/>
        </w:rPr>
      </w:pPr>
    </w:p>
    <w:p>
      <w:pPr>
        <w:jc w:val="both"/>
        <w:ind w:left="100" w:right="40" w:firstLine="720"/>
        <w:spacing w:after="0" w:line="262" w:lineRule="auto"/>
        <w:rPr>
          <w:sz w:val="20"/>
          <w:szCs w:val="20"/>
          <w:color w:val="auto"/>
        </w:rPr>
      </w:pPr>
      <w:r>
        <w:rPr>
          <w:rFonts w:ascii="Times New Roman" w:cs="Times New Roman" w:eastAsia="Times New Roman" w:hAnsi="Times New Roman"/>
          <w:sz w:val="20"/>
          <w:szCs w:val="20"/>
          <w:color w:val="auto"/>
        </w:rPr>
        <w:t>The increase in depletion of proved oil and natural gas properties of $1.1 billion in 2024 as compared to 2023 consists of an additional (i) $567 million from the growth in production volumes, and (ii) $523 million due to applying a higher depletion rate in 2024. The increase in depletion rate was primarily due to the addition of higher value leasehold costs and proved reserves from the Endeavor Acquisition and Viper’s Tumbleweed Acquisitions into the depletable base in 2024.</w:t>
      </w:r>
    </w:p>
    <w:p>
      <w:pPr>
        <w:spacing w:after="0" w:line="196" w:lineRule="exact"/>
        <w:rPr>
          <w:sz w:val="20"/>
          <w:szCs w:val="20"/>
          <w:color w:val="auto"/>
        </w:rPr>
      </w:pPr>
    </w:p>
    <w:p>
      <w:pPr>
        <w:jc w:val="both"/>
        <w:ind w:left="100" w:right="4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Expenses. </w:t>
      </w:r>
      <w:r>
        <w:rPr>
          <w:rFonts w:ascii="Times New Roman" w:cs="Times New Roman" w:eastAsia="Times New Roman" w:hAnsi="Times New Roman"/>
          <w:sz w:val="20"/>
          <w:szCs w:val="20"/>
          <w:color w:val="auto"/>
        </w:rPr>
        <w:t>The following table shows general and administrative expenses for the years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2024 and 2023:</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6"/>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6"/>
        </w:trPr>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65"/>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20" w:type="dxa"/>
            <w:vAlign w:val="bottom"/>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40" w:type="dxa"/>
            <w:vAlign w:val="bottom"/>
          </w:tcPr>
          <w:p>
            <w:pPr>
              <w:spacing w:after="0"/>
              <w:rPr>
                <w:sz w:val="23"/>
                <w:szCs w:val="23"/>
                <w:color w:val="auto"/>
              </w:rPr>
            </w:pPr>
          </w:p>
        </w:tc>
      </w:tr>
      <w:tr>
        <w:trPr>
          <w:trHeight w:val="276"/>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General and administrative expenses </w:t>
            </w:r>
            <w:r>
              <w:rPr>
                <w:rFonts w:ascii="Times New Roman" w:cs="Times New Roman" w:eastAsia="Times New Roman" w:hAnsi="Times New Roman"/>
                <w:sz w:val="20"/>
                <w:szCs w:val="20"/>
                <w:color w:val="B3B3B3"/>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4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40" w:type="dxa"/>
            <w:vAlign w:val="bottom"/>
          </w:tcPr>
          <w:p>
            <w:pPr>
              <w:spacing w:after="0"/>
              <w:rPr>
                <w:sz w:val="24"/>
                <w:szCs w:val="24"/>
                <w:color w:val="auto"/>
              </w:rPr>
            </w:pPr>
          </w:p>
        </w:tc>
      </w:tr>
      <w:tr>
        <w:trPr>
          <w:trHeight w:val="304"/>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Non-cash stock-based compensation</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40" w:type="dxa"/>
            <w:vAlign w:val="bottom"/>
          </w:tcPr>
          <w:p>
            <w:pPr>
              <w:spacing w:after="0"/>
              <w:rPr>
                <w:sz w:val="24"/>
                <w:szCs w:val="24"/>
                <w:color w:val="auto"/>
              </w:rPr>
            </w:pPr>
          </w:p>
        </w:tc>
      </w:tr>
      <w:tr>
        <w:trPr>
          <w:trHeight w:val="228"/>
        </w:trPr>
        <w:tc>
          <w:tcPr>
            <w:tcW w:w="6460" w:type="dxa"/>
            <w:vAlign w:val="bottom"/>
            <w:gridSpan w:val="2"/>
          </w:tcPr>
          <w:p>
            <w:pPr>
              <w:ind w:left="120"/>
              <w:spacing w:after="0" w:line="228"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Totalgeneralandadministrativeexpenses</w:t>
            </w:r>
          </w:p>
        </w:tc>
        <w:tc>
          <w:tcPr>
            <w:tcW w:w="320" w:type="dxa"/>
            <w:vAlign w:val="bottom"/>
            <w:gridSpan w:val="2"/>
          </w:tcPr>
          <w:p>
            <w:pPr>
              <w:jc w:val="right"/>
              <w:ind w:right="90"/>
              <w:spacing w:after="0" w:line="228"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213</w:t>
            </w:r>
          </w:p>
        </w:tc>
        <w:tc>
          <w:tcPr>
            <w:tcW w:w="400" w:type="dxa"/>
            <w:vAlign w:val="bottom"/>
          </w:tcPr>
          <w:p>
            <w:pPr>
              <w:jc w:val="right"/>
              <w:ind w:right="45"/>
              <w:spacing w:after="0" w:line="228"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0.98</w:t>
            </w:r>
          </w:p>
        </w:tc>
        <w:tc>
          <w:tcPr>
            <w:tcW w:w="400" w:type="dxa"/>
            <w:vAlign w:val="bottom"/>
            <w:gridSpan w:val="2"/>
          </w:tcPr>
          <w:p>
            <w:pPr>
              <w:jc w:val="right"/>
              <w:ind w:right="90"/>
              <w:spacing w:after="0" w:line="228"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3"/>
              <w:spacing w:after="0" w:line="228" w:lineRule="exact"/>
              <w:rPr>
                <w:sz w:val="20"/>
                <w:szCs w:val="20"/>
                <w:color w:val="auto"/>
              </w:rPr>
            </w:pPr>
            <w:r>
              <w:rPr>
                <w:rFonts w:ascii="Times New Roman" w:cs="Times New Roman" w:eastAsia="Times New Roman" w:hAnsi="Times New Roman"/>
                <w:sz w:val="20"/>
                <w:szCs w:val="20"/>
                <w:color w:val="auto"/>
              </w:rPr>
              <w:t>150</w:t>
            </w:r>
          </w:p>
        </w:tc>
        <w:tc>
          <w:tcPr>
            <w:tcW w:w="340" w:type="dxa"/>
            <w:vAlign w:val="bottom"/>
          </w:tcPr>
          <w:p>
            <w:pPr>
              <w:jc w:val="right"/>
              <w:ind w:right="64"/>
              <w:spacing w:after="0" w:line="228"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92</w:t>
            </w:r>
          </w:p>
        </w:tc>
        <w:tc>
          <w:tcPr>
            <w:tcW w:w="40" w:type="dxa"/>
            <w:vAlign w:val="bottom"/>
          </w:tcPr>
          <w:p>
            <w:pPr>
              <w:spacing w:after="0"/>
              <w:rPr>
                <w:sz w:val="19"/>
                <w:szCs w:val="19"/>
                <w:color w:val="auto"/>
              </w:rPr>
            </w:pPr>
          </w:p>
        </w:tc>
      </w:tr>
      <w:tr>
        <w:trPr>
          <w:trHeight w:val="43"/>
        </w:trPr>
        <w:tc>
          <w:tcPr>
            <w:tcW w:w="64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r>
    </w:tbl>
    <w:p>
      <w:pPr>
        <w:spacing w:after="0" w:line="2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increase in general and administrative expenses of $52 million in 2024 compared to 2023 was primarily due to</w:t>
      </w:r>
    </w:p>
    <w:p>
      <w:pPr>
        <w:spacing w:after="0" w:line="10" w:lineRule="exact"/>
        <w:rPr>
          <w:sz w:val="20"/>
          <w:szCs w:val="20"/>
          <w:color w:val="auto"/>
        </w:rPr>
      </w:pPr>
    </w:p>
    <w:p>
      <w:pPr>
        <w:jc w:val="both"/>
        <w:ind w:left="100" w:right="40"/>
        <w:spacing w:after="0" w:line="268" w:lineRule="auto"/>
        <w:tabs>
          <w:tab w:leader="none" w:pos="37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$41 million increase in employee compensation and benefit costs related to additional headcount largely from the Endeavor Acquisition and annual compensation adjustments, (ii) a $12 million increase in software costs, and (iii) offsetting changes in other individually insignificant items.</w:t>
      </w:r>
    </w:p>
    <w:p>
      <w:pPr>
        <w:spacing w:after="0" w:line="187" w:lineRule="exact"/>
        <w:rPr>
          <w:sz w:val="20"/>
          <w:szCs w:val="20"/>
          <w:color w:val="auto"/>
        </w:rPr>
      </w:pPr>
    </w:p>
    <w:p>
      <w:pPr>
        <w:ind w:left="100" w:right="100" w:firstLine="719"/>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Operating Costs and Expenses. </w:t>
      </w:r>
      <w:r>
        <w:rPr>
          <w:rFonts w:ascii="Times New Roman" w:cs="Times New Roman" w:eastAsia="Times New Roman" w:hAnsi="Times New Roman"/>
          <w:sz w:val="20"/>
          <w:szCs w:val="20"/>
          <w:color w:val="auto"/>
        </w:rPr>
        <w:t>The following table shows the other operating costs and expenses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2024 and 2023:</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6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840" w:type="dxa"/>
            <w:vAlign w:val="bottom"/>
          </w:tcPr>
          <w:p>
            <w:pPr>
              <w:jc w:val="right"/>
              <w:ind w:right="5824"/>
              <w:spacing w:after="0"/>
              <w:rPr>
                <w:sz w:val="20"/>
                <w:szCs w:val="20"/>
                <w:color w:val="auto"/>
              </w:rPr>
            </w:pPr>
            <w:r>
              <w:rPr>
                <w:rFonts w:ascii="Times New Roman" w:cs="Times New Roman" w:eastAsia="Times New Roman" w:hAnsi="Times New Roman"/>
                <w:sz w:val="18"/>
                <w:szCs w:val="18"/>
                <w:b w:val="1"/>
                <w:bCs w:val="1"/>
                <w:color w:val="auto"/>
                <w:w w:val="95"/>
              </w:rPr>
              <w:t>(In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7"/>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Mergerandintegrationexpenses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60" w:type="dxa"/>
            <w:vAlign w:val="bottom"/>
          </w:tcPr>
          <w:p>
            <w:pPr>
              <w:spacing w:after="0"/>
              <w:rPr>
                <w:sz w:val="23"/>
                <w:szCs w:val="23"/>
                <w:color w:val="auto"/>
              </w:rPr>
            </w:pP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1"/>
        </w:trPr>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operating expenses</w:t>
            </w:r>
            <w:r>
              <w:rPr>
                <w:rFonts w:ascii="Times New Roman" w:cs="Times New Roman" w:eastAsia="Times New Roman" w:hAnsi="Times New Roman"/>
                <w:sz w:val="20"/>
                <w:szCs w:val="20"/>
                <w:color w:val="B3B3B3"/>
                <w:w w:val="99"/>
              </w:rPr>
              <w:t>...............................................................................................</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bl>
    <w:p>
      <w:pPr>
        <w:spacing w:after="0" w:line="285" w:lineRule="exact"/>
        <w:rPr>
          <w:sz w:val="20"/>
          <w:szCs w:val="20"/>
          <w:color w:val="auto"/>
        </w:rPr>
      </w:pPr>
    </w:p>
    <w:p>
      <w:pPr>
        <w:jc w:val="both"/>
        <w:ind w:left="100" w:right="40" w:firstLine="720"/>
        <w:spacing w:after="0" w:line="261" w:lineRule="auto"/>
        <w:rPr>
          <w:sz w:val="20"/>
          <w:szCs w:val="20"/>
          <w:color w:val="auto"/>
        </w:rPr>
      </w:pPr>
      <w:r>
        <w:rPr>
          <w:rFonts w:ascii="Times New Roman" w:cs="Times New Roman" w:eastAsia="Times New Roman" w:hAnsi="Times New Roman"/>
          <w:sz w:val="20"/>
          <w:szCs w:val="20"/>
          <w:color w:val="auto"/>
        </w:rPr>
        <w:t>Merger and integration expenses in 2024 include costs incurred in connection with the Endeavor Acquisition primarily for severance and accelerated incentive compensation payments to former Endeavor employees as well as investment banking and legal costs. See Note 5—Endeavor Energy Resources, LP Acquisition in Item 8. Financial Statements and Supplementary Data of this report for further details regarding expenses incurred the Endeavor Acquisition.</w:t>
      </w:r>
    </w:p>
    <w:p>
      <w:pPr>
        <w:spacing w:after="0" w:line="197" w:lineRule="exact"/>
        <w:rPr>
          <w:sz w:val="20"/>
          <w:szCs w:val="20"/>
          <w:color w:val="auto"/>
        </w:rPr>
      </w:pPr>
    </w:p>
    <w:p>
      <w:pPr>
        <w:jc w:val="both"/>
        <w:ind w:left="100" w:right="40" w:firstLine="720"/>
        <w:spacing w:after="0" w:line="249" w:lineRule="auto"/>
        <w:rPr>
          <w:sz w:val="20"/>
          <w:szCs w:val="20"/>
          <w:color w:val="auto"/>
        </w:rPr>
      </w:pPr>
      <w:r>
        <w:rPr>
          <w:rFonts w:ascii="Times New Roman" w:cs="Times New Roman" w:eastAsia="Times New Roman" w:hAnsi="Times New Roman"/>
          <w:sz w:val="20"/>
          <w:szCs w:val="20"/>
          <w:color w:val="auto"/>
        </w:rPr>
        <w:t>Other operating expenses decreased by $37 million in 2024 compared to 2023 primarily due to a $77 million reduction in midstream services costs as a result of the sale of the Deep Blue Water Assets in the third quarter of 2023. This reduction was partially offset by increases of (i) $25 million in midstream services costs following the Endeavor Acquisition,</w:t>
      </w:r>
    </w:p>
    <w:p>
      <w:pPr>
        <w:spacing w:after="0" w:line="2" w:lineRule="exact"/>
        <w:rPr>
          <w:sz w:val="20"/>
          <w:szCs w:val="20"/>
          <w:color w:val="auto"/>
        </w:rPr>
      </w:pPr>
    </w:p>
    <w:p>
      <w:pPr>
        <w:ind w:left="100" w:right="40"/>
        <w:spacing w:after="0" w:line="289" w:lineRule="auto"/>
        <w:tabs>
          <w:tab w:leader="none" w:pos="40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million in net losses on the sale of property, plant and equipment in 2024, (iii) $7 million primarily attributable to the write off of certain saltwater disposal assets during 2024, and (iv) other individually insignificant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20"/>
          </w:cols>
          <w:pgMar w:left="980" w:top="205" w:right="104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Derivative Instruments. </w:t>
      </w:r>
      <w:r>
        <w:rPr>
          <w:rFonts w:ascii="Times New Roman" w:cs="Times New Roman" w:eastAsia="Times New Roman" w:hAnsi="Times New Roman"/>
          <w:sz w:val="20"/>
          <w:szCs w:val="20"/>
          <w:color w:val="auto"/>
        </w:rPr>
        <w:t>The following table shows the net gain (loss) on derivative instruments and the net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received (paid) on settlements of derivative instruments for the years ended December 31, 2024 and 2023:</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7640" w:type="dxa"/>
            <w:vAlign w:val="bottom"/>
          </w:tcPr>
          <w:p>
            <w:pPr>
              <w:spacing w:after="0"/>
              <w:rPr>
                <w:sz w:val="21"/>
                <w:szCs w:val="21"/>
                <w:color w:val="auto"/>
              </w:rPr>
            </w:pPr>
          </w:p>
        </w:tc>
        <w:tc>
          <w:tcPr>
            <w:tcW w:w="2380" w:type="dxa"/>
            <w:vAlign w:val="bottom"/>
            <w:tcBorders>
              <w:bottom w:val="single" w:sz="8" w:color="auto"/>
            </w:tcBorders>
            <w:gridSpan w:val="5"/>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9"/>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Gain (loss) on derivative instruments, net </w:t>
            </w:r>
            <w:r>
              <w:rPr>
                <w:rFonts w:ascii="Times New Roman" w:cs="Times New Roman" w:eastAsia="Times New Roman" w:hAnsi="Times New Roman"/>
                <w:sz w:val="20"/>
                <w:szCs w:val="20"/>
                <w:color w:val="B3B3B3"/>
              </w:rPr>
              <w:t>.....................................................................................</w:t>
            </w:r>
          </w:p>
        </w:tc>
        <w:tc>
          <w:tcPr>
            <w:tcW w:w="760" w:type="dxa"/>
            <w:vAlign w:val="bottom"/>
          </w:tcPr>
          <w:p>
            <w:pPr>
              <w:jc w:val="right"/>
              <w:ind w:right="525"/>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345"/>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received (paid) on settlements</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3B3B3"/>
                <w:w w:val="99"/>
              </w:rPr>
              <w:t>.....................................................................................</w:t>
            </w:r>
          </w:p>
        </w:tc>
        <w:tc>
          <w:tcPr>
            <w:tcW w:w="760" w:type="dxa"/>
            <w:vAlign w:val="bottom"/>
          </w:tcPr>
          <w:p>
            <w:pPr>
              <w:jc w:val="right"/>
              <w:ind w:right="545"/>
              <w:spacing w:after="0"/>
              <w:rPr>
                <w:sz w:val="20"/>
                <w:szCs w:val="20"/>
                <w:color w:val="auto"/>
              </w:rPr>
            </w:pPr>
            <w:r>
              <w:rPr>
                <w:rFonts w:ascii="Times New Roman" w:cs="Times New Roman" w:eastAsia="Times New Roman" w:hAnsi="Times New Roman"/>
                <w:sz w:val="20"/>
                <w:szCs w:val="20"/>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bl>
    <w:p>
      <w:pPr>
        <w:ind w:left="460" w:right="40" w:hanging="360"/>
        <w:spacing w:after="0" w:line="286" w:lineRule="auto"/>
        <w:tabs>
          <w:tab w:leader="none" w:pos="45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ended December 31, 2024 includes cash paid on interest rate swaps terminated prior to their contractual maturity of $37 million and cash paid for the early settlement of treasury lock contracts of $25 million</w:t>
      </w:r>
    </w:p>
    <w:p>
      <w:pPr>
        <w:spacing w:after="0" w:line="170"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change from a loss to a gain on derivative instruments in 2024 compared to 2023 primarily reflects (i) a $374 million increase in the value of our unsettled natural gas contracts due to a decrease in market prices for natural gas compared to our contract prices, (ii) a $129 million increase in cash received on the settlement of natural gas contracts, and (iii) a $10 million increase in the value of our interest rate swap contracts primarily due to a decline in expected future interest rates. These increases were partially offset by (i) a $60 million increase in cash paid on the settlement of interest rate derivatives (ii) a $43 million decrease in the value of our unsettled oil contracts due to an increase in market prices for oil compared to our contract prices, (iii) an $11 million increase in cash paid for the settlement of oil contracts, and (iv) other individually insignificant changes.</w:t>
      </w:r>
    </w:p>
    <w:p>
      <w:pPr>
        <w:spacing w:after="0" w:line="208"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See Note 13—Derivatives in Item 8. Financial Statements and Supplementary Data of this report for further details regarding our derivative instruments and interest rate swaps.</w:t>
      </w:r>
    </w:p>
    <w:p>
      <w:pPr>
        <w:spacing w:after="0" w:line="166" w:lineRule="exact"/>
        <w:rPr>
          <w:sz w:val="20"/>
          <w:szCs w:val="20"/>
          <w:color w:val="auto"/>
        </w:rPr>
      </w:pPr>
    </w:p>
    <w:p>
      <w:pPr>
        <w:ind w:left="100" w:firstLine="720"/>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(Expense). </w:t>
      </w:r>
      <w:r>
        <w:rPr>
          <w:rFonts w:ascii="Times New Roman" w:cs="Times New Roman" w:eastAsia="Times New Roman" w:hAnsi="Times New Roman"/>
          <w:sz w:val="20"/>
          <w:szCs w:val="20"/>
          <w:color w:val="auto"/>
        </w:rPr>
        <w:t>The following table shows other income and expenses for the years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and 2023:</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7680" w:type="dxa"/>
            <w:vAlign w:val="bottom"/>
          </w:tcPr>
          <w:p>
            <w:pPr>
              <w:spacing w:after="0"/>
              <w:rPr>
                <w:sz w:val="22"/>
                <w:szCs w:val="22"/>
                <w:color w:val="auto"/>
              </w:rPr>
            </w:pPr>
          </w:p>
        </w:tc>
        <w:tc>
          <w:tcPr>
            <w:tcW w:w="234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5"/>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Interest expense, net </w:t>
            </w:r>
            <w:r>
              <w:rPr>
                <w:rFonts w:ascii="Times New Roman" w:cs="Times New Roman" w:eastAsia="Times New Roman" w:hAnsi="Times New Roman"/>
                <w:sz w:val="20"/>
                <w:szCs w:val="20"/>
                <w:color w:val="B3B3B3"/>
              </w:rPr>
              <w:t>.......................................................................................................................</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3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r>
              <w:rPr>
                <w:rFonts w:ascii="Times New Roman" w:cs="Times New Roman" w:eastAsia="Times New Roman" w:hAnsi="Times New Roman"/>
                <w:sz w:val="20"/>
                <w:szCs w:val="20"/>
                <w:color w:val="B3B3B3"/>
              </w:rPr>
              <w:t>...........................................................................................................</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80</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0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extinguishment of debt</w:t>
            </w:r>
            <w:r>
              <w:rPr>
                <w:rFonts w:ascii="Times New Roman" w:cs="Times New Roman" w:eastAsia="Times New Roman" w:hAnsi="Times New Roman"/>
                <w:sz w:val="20"/>
                <w:szCs w:val="20"/>
                <w:color w:val="B3B3B3"/>
              </w:rPr>
              <w:t>............................................................................................</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3"/>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equity investments, net</w:t>
            </w:r>
            <w:r>
              <w:rPr>
                <w:rFonts w:ascii="Times New Roman" w:cs="Times New Roman" w:eastAsia="Times New Roman" w:hAnsi="Times New Roman"/>
                <w:sz w:val="20"/>
                <w:szCs w:val="20"/>
                <w:color w:val="B3B3B3"/>
              </w:rPr>
              <w:t>....................................................................................</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bl>
    <w:p>
      <w:pPr>
        <w:spacing w:after="0" w:line="292" w:lineRule="exact"/>
        <w:rPr>
          <w:sz w:val="20"/>
          <w:szCs w:val="20"/>
          <w:color w:val="auto"/>
        </w:rPr>
      </w:pPr>
    </w:p>
    <w:p>
      <w:pPr>
        <w:jc w:val="both"/>
        <w:ind w:left="100" w:firstLine="720"/>
        <w:spacing w:after="0" w:line="250" w:lineRule="auto"/>
        <w:rPr>
          <w:sz w:val="20"/>
          <w:szCs w:val="20"/>
          <w:color w:val="auto"/>
        </w:rPr>
      </w:pPr>
      <w:r>
        <w:rPr>
          <w:rFonts w:ascii="Times New Roman" w:cs="Times New Roman" w:eastAsia="Times New Roman" w:hAnsi="Times New Roman"/>
          <w:sz w:val="20"/>
          <w:szCs w:val="20"/>
          <w:color w:val="auto"/>
        </w:rPr>
        <w:t>Interest expense, net decreased $24 million in 2024 compared to 2023 primarily due to (i) an additional $165 million in capitalized interest costs, which reduce interest expense, (ii) an increase in interest income of $138 million due to holding proceeds from the April 2024 Notes in short-term interest bearing accounts until the close of the Endeavor Acquisition, and</w:t>
      </w:r>
    </w:p>
    <w:p>
      <w:pPr>
        <w:spacing w:after="0" w:line="1" w:lineRule="exact"/>
        <w:rPr>
          <w:sz w:val="20"/>
          <w:szCs w:val="20"/>
          <w:color w:val="auto"/>
        </w:rPr>
      </w:pPr>
    </w:p>
    <w:p>
      <w:pPr>
        <w:jc w:val="both"/>
        <w:ind w:left="100"/>
        <w:spacing w:after="0" w:line="256" w:lineRule="auto"/>
        <w:tabs>
          <w:tab w:leader="none" w:pos="45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 million decrease in interest expense on our revolving credit facility due to lower average borrowings outstanding in 2024. These reductions were largely offset by (i) an increase of $233 million in interest expense on senior notes related primarily to the issuance of the April 2024 Notes and Viper’s 7.375% Senior Notes due 2031 which were issued in the fourth quarter of 2023, (ii) an increase of $39 million in amortization of debt issuance costs primarily related to our terminated Bridge Facility, Tranche A Loans and April 2024 Notes, and (iii) a $19 million increase in interest expense incurred in connection with the Tranche A Loans.</w:t>
      </w:r>
    </w:p>
    <w:p>
      <w:pPr>
        <w:spacing w:after="0" w:line="204"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See Note 9—Debt in Item 8. Financial Statements and Supplementary Data of this report for further details regarding outstanding borrowing, interest expense and gain (loss) on extinguishment of debt.</w:t>
      </w:r>
    </w:p>
    <w:p>
      <w:pPr>
        <w:spacing w:after="0" w:line="164" w:lineRule="exact"/>
        <w:rPr>
          <w:sz w:val="20"/>
          <w:szCs w:val="20"/>
          <w:color w:val="auto"/>
        </w:rPr>
      </w:pPr>
    </w:p>
    <w:p>
      <w:pPr>
        <w:jc w:val="both"/>
        <w:ind w:left="100" w:firstLine="720"/>
        <w:spacing w:after="0" w:line="269" w:lineRule="auto"/>
        <w:rPr>
          <w:sz w:val="20"/>
          <w:szCs w:val="20"/>
          <w:color w:val="auto"/>
        </w:rPr>
      </w:pPr>
      <w:r>
        <w:rPr>
          <w:rFonts w:ascii="Times New Roman" w:cs="Times New Roman" w:eastAsia="Times New Roman" w:hAnsi="Times New Roman"/>
          <w:sz w:val="20"/>
          <w:szCs w:val="20"/>
          <w:color w:val="auto"/>
        </w:rPr>
        <w:t>Other income (expense), net for 2024 includes a gain recorded on the WTG Midstream Transaction of approximately $74 million compared to 2023 including a $53 million gain on the sale of our equity method investment in Gray Oak Pipeline, LLC (“Gray Oak”), partially offset by various other insignificant activity.</w:t>
      </w:r>
    </w:p>
    <w:p>
      <w:pPr>
        <w:spacing w:after="0" w:line="235" w:lineRule="exact"/>
        <w:rPr>
          <w:sz w:val="20"/>
          <w:szCs w:val="20"/>
          <w:color w:val="auto"/>
        </w:rPr>
      </w:pPr>
    </w:p>
    <w:p>
      <w:pPr>
        <w:ind w:left="100" w:firstLine="720"/>
        <w:spacing w:after="0" w:line="268" w:lineRule="auto"/>
        <w:rPr>
          <w:sz w:val="20"/>
          <w:szCs w:val="20"/>
          <w:color w:val="auto"/>
        </w:rPr>
      </w:pPr>
      <w:r>
        <w:rPr>
          <w:rFonts w:ascii="Times New Roman" w:cs="Times New Roman" w:eastAsia="Times New Roman" w:hAnsi="Times New Roman"/>
          <w:sz w:val="20"/>
          <w:szCs w:val="20"/>
          <w:color w:val="auto"/>
        </w:rPr>
        <w:t>The decrease in income from our equity investments primarily reflects reductions of (i) $17 million due to the sale of our interest in OMOG JV LLC in the third quarter of 2023, (ii) $11 million due to the WTG Midstream Transaction, and (ii) other individually insignificant activity.</w:t>
      </w:r>
    </w:p>
    <w:p>
      <w:pPr>
        <w:spacing w:after="0" w:line="190" w:lineRule="exact"/>
        <w:rPr>
          <w:sz w:val="20"/>
          <w:szCs w:val="20"/>
          <w:color w:val="auto"/>
        </w:rPr>
      </w:pPr>
    </w:p>
    <w:p>
      <w:pPr>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8—Equity Method Investments and Related Party Transactions in Item 8. Financial Statements and Supplementary Data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180"/>
          </w:cols>
          <w:pgMar w:left="980" w:top="205" w:right="1080"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4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Provision for (Benefit from) Income Taxes. </w:t>
      </w:r>
      <w:r>
        <w:rPr>
          <w:rFonts w:ascii="Times New Roman" w:cs="Times New Roman" w:eastAsia="Times New Roman" w:hAnsi="Times New Roman"/>
          <w:sz w:val="20"/>
          <w:szCs w:val="20"/>
          <w:color w:val="auto"/>
        </w:rPr>
        <w:t>The following table shows the provision for (benefit from)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taxes for the years ended December 31, 2024 and 2023:</w:t>
      </w: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7620" w:type="dxa"/>
            <w:vAlign w:val="bottom"/>
          </w:tcPr>
          <w:p>
            <w:pPr>
              <w:spacing w:after="0"/>
              <w:rPr>
                <w:sz w:val="22"/>
                <w:szCs w:val="22"/>
                <w:color w:val="auto"/>
              </w:rPr>
            </w:pPr>
          </w:p>
        </w:tc>
        <w:tc>
          <w:tcPr>
            <w:tcW w:w="238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7"/>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r>
              <w:rPr>
                <w:rFonts w:ascii="Times New Roman" w:cs="Times New Roman" w:eastAsia="Times New Roman" w:hAnsi="Times New Roman"/>
                <w:sz w:val="20"/>
                <w:szCs w:val="20"/>
                <w:color w:val="B3B3B3"/>
              </w:rPr>
              <w:t>.....................................................................................</w:t>
            </w:r>
          </w:p>
        </w:tc>
        <w:tc>
          <w:tcPr>
            <w:tcW w:w="760" w:type="dxa"/>
            <w:vAlign w:val="bottom"/>
          </w:tcPr>
          <w:p>
            <w:pPr>
              <w:jc w:val="right"/>
              <w:ind w:right="527"/>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800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w:t>
            </w:r>
          </w:p>
        </w:tc>
      </w:tr>
    </w:tbl>
    <w:p>
      <w:pPr>
        <w:spacing w:after="0" w:line="28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change in our income tax provision for 2024 compared to 2023 was primarily due to a lower effective annual tax rate following the release of Viper’s $156 million valuation allowance in the fourth quarter of 2024. See Note 12— Income Taxes in Item 8. Financial Statements and Supplementary Data of this report for further discussion of our income tax expense.</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Overview of Sources and Uses of Cash</w:t>
      </w:r>
    </w:p>
    <w:p>
      <w:pPr>
        <w:spacing w:after="0" w:line="25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Historically, our primary sources of liquidity have included cash flows from operations, proceeds from our public equity offerings, issuances of common stock in connection with acquisitions, borrowings under our revolving credit facility, proceeds from the issuance of senior notes and sales of non-core assets. Our primary uses of capital have been for the acquisition, development and exploration of oil and natural gas properties and repayment of debt and returning capital to stockholders. At December 31, 2024, we had approximately $2.6 billion of liquidity consisting of $134 million in standalone cash and cash equivalents and $2.5 billion available under our credit facility. As discussed below, our capital budget for 2025, which gives effect to the pending Double Eagle Acquisition, is $3.80 billion to $4.20 billion. As of December 31, 2024, we have approximately $900 million of Tranche A Loans maturing in September 2025.</w:t>
      </w:r>
    </w:p>
    <w:p>
      <w:pPr>
        <w:spacing w:after="0" w:line="20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Future cash flows are subject to a number of variables, including the level of our oil and natural gas production and the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Item 1A. Risk Factors of this report above.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13—Derivatives in Item 8. Financial Statements and Supplementary Data and Item 7A. Quantitative and Qualitative Disclosures About Market Risk—Commodity Price Risk of this report. The level of our hedging activity and duration of the financial instruments employed depend on our desired cash flow protection, available hedge prices, the magnitude of our capital program and our operating strategy.</w:t>
      </w:r>
    </w:p>
    <w:p>
      <w:pPr>
        <w:spacing w:after="0" w:line="2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Cash Flow</w:t>
      </w: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cash flows for the years ended December 31, 2024 and 2023 are presented below:</w:t>
      </w: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8"/>
          </w:tcPr>
          <w:p>
            <w:pPr>
              <w:ind w:left="1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0"/>
        </w:trPr>
        <w:tc>
          <w:tcPr>
            <w:tcW w:w="70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(In</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5"/>
              </w:rPr>
              <w:t>millions)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7"/>
        </w:trPr>
        <w:tc>
          <w:tcPr>
            <w:tcW w:w="7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Net cash provided by (used in) operating activities</w:t>
            </w:r>
            <w:r>
              <w:rPr>
                <w:rFonts w:ascii="Times New Roman" w:cs="Times New Roman" w:eastAsia="Times New Roman" w:hAnsi="Times New Roman"/>
                <w:sz w:val="20"/>
                <w:szCs w:val="20"/>
                <w:color w:val="B3B3B3"/>
                <w:w w:val="97"/>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6,413</w:t>
            </w:r>
          </w:p>
        </w:tc>
        <w:tc>
          <w:tcPr>
            <w:tcW w:w="20" w:type="dxa"/>
            <w:vAlign w:val="bottom"/>
          </w:tcPr>
          <w:p>
            <w:pPr>
              <w:spacing w:after="0"/>
              <w:rPr>
                <w:sz w:val="23"/>
                <w:szCs w:val="23"/>
                <w:color w:val="auto"/>
              </w:rPr>
            </w:pP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7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 xml:space="preserve">Net cash provided by (used in) investing activities </w:t>
            </w:r>
            <w:r>
              <w:rPr>
                <w:rFonts w:ascii="Times New Roman" w:cs="Times New Roman" w:eastAsia="Times New Roman" w:hAnsi="Times New Roman"/>
                <w:sz w:val="20"/>
                <w:szCs w:val="20"/>
                <w:color w:val="B3B3B3"/>
                <w:w w:val="97"/>
              </w:rPr>
              <w:t>.............................................................</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7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Net cash provided by (used in) financing activities</w:t>
            </w:r>
            <w:r>
              <w:rPr>
                <w:rFonts w:ascii="Times New Roman" w:cs="Times New Roman" w:eastAsia="Times New Roman" w:hAnsi="Times New Roman"/>
                <w:sz w:val="20"/>
                <w:szCs w:val="20"/>
                <w:color w:val="B3B3B3"/>
                <w:w w:val="97"/>
              </w:rPr>
              <w: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(2,176)</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7020" w:type="dxa"/>
            <w:vAlign w:val="bottom"/>
            <w:gridSpan w:val="2"/>
          </w:tcPr>
          <w:p>
            <w:pPr>
              <w:jc w:val="right"/>
              <w:ind w:right="60"/>
              <w:spacing w:after="0" w:line="226"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Netchangeincash</w:t>
            </w:r>
          </w:p>
        </w:tc>
        <w:tc>
          <w:tcPr>
            <w:tcW w:w="300" w:type="dxa"/>
            <w:vAlign w:val="bottom"/>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19"/>
                <w:szCs w:val="19"/>
                <w:color w:val="auto"/>
              </w:rPr>
            </w:pPr>
          </w:p>
        </w:tc>
        <w:tc>
          <w:tcPr>
            <w:tcW w:w="540" w:type="dxa"/>
            <w:vAlign w:val="bottom"/>
            <w:gridSpan w:val="3"/>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19"/>
                <w:szCs w:val="19"/>
                <w:color w:val="auto"/>
              </w:rPr>
            </w:pPr>
          </w:p>
        </w:tc>
      </w:tr>
      <w:tr>
        <w:trPr>
          <w:trHeight w:val="42"/>
        </w:trPr>
        <w:tc>
          <w:tcPr>
            <w:tcW w:w="70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49"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Our operating cash flow is sensitive to many variables, the most significant of which is the volatility of prices for the oil and natural gas we produce.</w:t>
      </w:r>
    </w:p>
    <w:p>
      <w:pPr>
        <w:spacing w:after="0" w:line="170" w:lineRule="exact"/>
        <w:rPr>
          <w:sz w:val="20"/>
          <w:szCs w:val="20"/>
          <w:color w:val="auto"/>
        </w:rPr>
      </w:pPr>
    </w:p>
    <w:p>
      <w:pPr>
        <w:jc w:val="both"/>
        <w:ind w:left="100" w:firstLine="722"/>
        <w:spacing w:after="0" w:line="262" w:lineRule="auto"/>
        <w:rPr>
          <w:sz w:val="20"/>
          <w:szCs w:val="20"/>
          <w:color w:val="auto"/>
        </w:rPr>
      </w:pPr>
      <w:r>
        <w:rPr>
          <w:rFonts w:ascii="Times New Roman" w:cs="Times New Roman" w:eastAsia="Times New Roman" w:hAnsi="Times New Roman"/>
          <w:sz w:val="20"/>
          <w:szCs w:val="20"/>
          <w:color w:val="auto"/>
        </w:rPr>
        <w:t>The increase in operating cash flows for the year ended December 31, 2024 compared to the same period in 2023 primarily resulted from (i) an increase of $1.8 billion in total revenue, excluding sales of purchased oil, (ii) an additional $138 million in interest income, and (iii) a reduction of $59 million in cash paid on settlements of derivatives. These cash inflows were partially offset by an increase in our cash operating expenses, excluding purchased oil expense, of</w:t>
      </w: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180"/>
          </w:cols>
          <w:pgMar w:left="980" w:top="205" w:right="1080" w:bottom="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right="40"/>
        <w:spacing w:after="0" w:line="258" w:lineRule="auto"/>
        <w:rPr>
          <w:sz w:val="20"/>
          <w:szCs w:val="20"/>
          <w:color w:val="auto"/>
        </w:rPr>
      </w:pPr>
      <w:r>
        <w:rPr>
          <w:rFonts w:ascii="Times New Roman" w:cs="Times New Roman" w:eastAsia="Times New Roman" w:hAnsi="Times New Roman"/>
          <w:sz w:val="20"/>
          <w:szCs w:val="20"/>
          <w:color w:val="auto"/>
        </w:rPr>
        <w:t>approximately $903 million related primarily to merger and integration costs incurred in connection with the Endeavor Acquisition and additional lease operating expenses, (ii) an increase of $253 million in cash paid for taxes, (iii) an increase of $123 million in cash paid for interest, net of capitalized amounts, and (iv) fluctuations in other working capital balances due primarily to the timing of when collections were made on accounts receivable and payments were made on accounts payable. See “</w:t>
      </w:r>
      <w:r>
        <w:rPr>
          <w:rFonts w:ascii="Times New Roman" w:cs="Times New Roman" w:eastAsia="Times New Roman" w:hAnsi="Times New Roman"/>
          <w:sz w:val="20"/>
          <w:szCs w:val="20"/>
          <w:i w:val="1"/>
          <w:iCs w:val="1"/>
          <w:color w:val="auto"/>
        </w:rPr>
        <w:t>—Results of Operations</w:t>
      </w:r>
      <w:r>
        <w:rPr>
          <w:rFonts w:ascii="Times New Roman" w:cs="Times New Roman" w:eastAsia="Times New Roman" w:hAnsi="Times New Roman"/>
          <w:sz w:val="20"/>
          <w:szCs w:val="20"/>
          <w:color w:val="auto"/>
        </w:rPr>
        <w:t>” for discussion of significant changes in our revenues and expenses.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47" w:lineRule="exact"/>
        <w:rPr>
          <w:sz w:val="20"/>
          <w:szCs w:val="20"/>
          <w:color w:val="auto"/>
        </w:rPr>
      </w:pPr>
    </w:p>
    <w:p>
      <w:pPr>
        <w:jc w:val="both"/>
        <w:ind w:left="100" w:right="40" w:firstLine="720"/>
        <w:spacing w:after="0" w:line="249" w:lineRule="auto"/>
        <w:rPr>
          <w:sz w:val="20"/>
          <w:szCs w:val="20"/>
          <w:color w:val="auto"/>
        </w:rPr>
      </w:pPr>
      <w:r>
        <w:rPr>
          <w:rFonts w:ascii="Times New Roman" w:cs="Times New Roman" w:eastAsia="Times New Roman" w:hAnsi="Times New Roman"/>
          <w:sz w:val="20"/>
          <w:szCs w:val="20"/>
          <w:color w:val="auto"/>
        </w:rPr>
        <w:t>The majority of our net cash used for investing activities during the year ended December 31, 2024 and 2023 was for drilling and completion costs in conjunction with our development program as well as the purchase of oil and gas properties including the Endeavor Acquisition and Viper’s Tumbleweed Acquisitions in 2024 and the Lario Acquisition and Viper’s GRP Acquisition in 2023. These cash outflows were partially offset by proceeds received from the divestitures of various oil and gas properties and other assets, which are discussed further in Note 4—Acquisitions and Divestitures in Item</w:t>
      </w:r>
    </w:p>
    <w:p>
      <w:pPr>
        <w:spacing w:after="0" w:line="2" w:lineRule="exact"/>
        <w:rPr>
          <w:sz w:val="20"/>
          <w:szCs w:val="20"/>
          <w:color w:val="auto"/>
        </w:rPr>
      </w:pPr>
    </w:p>
    <w:p>
      <w:pPr>
        <w:ind w:left="820" w:right="5140" w:hanging="720"/>
        <w:spacing w:after="0" w:line="500" w:lineRule="auto"/>
        <w:tabs>
          <w:tab w:leader="none" w:pos="29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Financial Statements and Supplementary Data of this report. </w:t>
      </w:r>
      <w:r>
        <w:rPr>
          <w:rFonts w:ascii="Times New Roman" w:cs="Times New Roman" w:eastAsia="Times New Roman" w:hAnsi="Times New Roman"/>
          <w:sz w:val="20"/>
          <w:szCs w:val="20"/>
          <w:i w:val="1"/>
          <w:iCs w:val="1"/>
          <w:color w:val="auto"/>
        </w:rPr>
        <w:t>Capital Expenditure Activities</w:t>
      </w:r>
    </w:p>
    <w:p>
      <w:pPr>
        <w:spacing w:after="0" w:line="2" w:lineRule="exact"/>
        <w:rPr>
          <w:sz w:val="20"/>
          <w:szCs w:val="20"/>
          <w:color w:val="auto"/>
        </w:rPr>
      </w:pPr>
    </w:p>
    <w:p>
      <w:pPr>
        <w:jc w:val="both"/>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Our capital expenditures excluding acquisitions and equity method investments (on a cash basis) were as follows for the specified period:</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 w:type="dxa"/>
            <w:vAlign w:val="bottom"/>
          </w:tcPr>
          <w:p>
            <w:pPr>
              <w:spacing w:after="0"/>
              <w:rPr>
                <w:sz w:val="21"/>
                <w:szCs w:val="21"/>
                <w:color w:val="auto"/>
              </w:rPr>
            </w:pPr>
          </w:p>
        </w:tc>
      </w:tr>
      <w:tr>
        <w:trPr>
          <w:trHeight w:val="220"/>
        </w:trPr>
        <w:tc>
          <w:tcPr>
            <w:tcW w:w="7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r>
      <w:tr>
        <w:trPr>
          <w:trHeight w:val="234"/>
        </w:trPr>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(In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4"/>
              </w:rPr>
              <w:t>millions)</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Drilling, completions and non-operated additions to oil and natural gas properties</w:t>
            </w:r>
            <w:r>
              <w:rPr>
                <w:rFonts w:ascii="Times New Roman" w:cs="Times New Roman" w:eastAsia="Times New Roman" w:hAnsi="Times New Roman"/>
                <w:sz w:val="20"/>
                <w:szCs w:val="20"/>
                <w:color w:val="B3B3B3"/>
              </w:rPr>
              <w:t>............</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20" w:type="dxa"/>
            <w:vAlign w:val="bottom"/>
          </w:tcPr>
          <w:p>
            <w:pPr>
              <w:spacing w:after="0"/>
              <w:rPr>
                <w:sz w:val="23"/>
                <w:szCs w:val="23"/>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2,429</w:t>
            </w:r>
          </w:p>
        </w:tc>
        <w:tc>
          <w:tcPr>
            <w:tcW w:w="40" w:type="dxa"/>
            <w:vAlign w:val="bottom"/>
          </w:tcPr>
          <w:p>
            <w:pPr>
              <w:spacing w:after="0"/>
              <w:rPr>
                <w:sz w:val="23"/>
                <w:szCs w:val="23"/>
                <w:color w:val="auto"/>
              </w:rPr>
            </w:pPr>
          </w:p>
        </w:tc>
      </w:tr>
      <w:tr>
        <w:trPr>
          <w:trHeight w:val="28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Infrastructure additions to oil and natural gas properties</w:t>
            </w:r>
            <w:r>
              <w:rPr>
                <w:rFonts w:ascii="Times New Roman" w:cs="Times New Roman" w:eastAsia="Times New Roman" w:hAnsi="Times New Roman"/>
                <w:sz w:val="20"/>
                <w:szCs w:val="20"/>
                <w:color w:val="B3B3B3"/>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153</w:t>
            </w:r>
          </w:p>
        </w:tc>
        <w:tc>
          <w:tcPr>
            <w:tcW w:w="40" w:type="dxa"/>
            <w:vAlign w:val="bottom"/>
          </w:tcPr>
          <w:p>
            <w:pPr>
              <w:spacing w:after="0"/>
              <w:rPr>
                <w:sz w:val="24"/>
                <w:szCs w:val="24"/>
                <w:color w:val="auto"/>
              </w:rPr>
            </w:pPr>
          </w:p>
        </w:tc>
      </w:tr>
      <w:tr>
        <w:trPr>
          <w:trHeight w:val="286"/>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to midstream assets</w:t>
            </w:r>
            <w:r>
              <w:rPr>
                <w:rFonts w:ascii="Times New Roman" w:cs="Times New Roman" w:eastAsia="Times New Roman" w:hAnsi="Times New Roman"/>
                <w:sz w:val="20"/>
                <w:szCs w:val="20"/>
                <w:color w:val="B3B3B3"/>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40" w:type="dxa"/>
            <w:vAlign w:val="bottom"/>
          </w:tcPr>
          <w:p>
            <w:pPr>
              <w:spacing w:after="0"/>
              <w:rPr>
                <w:sz w:val="24"/>
                <w:szCs w:val="24"/>
                <w:color w:val="auto"/>
              </w:rPr>
            </w:pPr>
          </w:p>
        </w:tc>
      </w:tr>
      <w:tr>
        <w:trPr>
          <w:trHeight w:val="224"/>
        </w:trPr>
        <w:tc>
          <w:tcPr>
            <w:tcW w:w="72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260" w:type="dxa"/>
            <w:vAlign w:val="bottom"/>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2,867</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80" w:type="dxa"/>
            <w:vAlign w:val="bottom"/>
          </w:tcPr>
          <w:p>
            <w:pPr>
              <w:jc w:val="right"/>
              <w:ind w:right="240"/>
              <w:spacing w:after="0" w:line="224"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360"/>
              <w:spacing w:after="0" w:line="224" w:lineRule="exact"/>
              <w:rPr>
                <w:sz w:val="20"/>
                <w:szCs w:val="20"/>
                <w:color w:val="auto"/>
              </w:rPr>
            </w:pPr>
            <w:r>
              <w:rPr>
                <w:rFonts w:ascii="Times New Roman" w:cs="Times New Roman" w:eastAsia="Times New Roman" w:hAnsi="Times New Roman"/>
                <w:sz w:val="20"/>
                <w:szCs w:val="20"/>
                <w:color w:val="auto"/>
              </w:rPr>
              <w:t>2,701</w:t>
            </w:r>
          </w:p>
        </w:tc>
        <w:tc>
          <w:tcPr>
            <w:tcW w:w="40" w:type="dxa"/>
            <w:vAlign w:val="bottom"/>
          </w:tcPr>
          <w:p>
            <w:pPr>
              <w:spacing w:after="0"/>
              <w:rPr>
                <w:sz w:val="19"/>
                <w:szCs w:val="19"/>
                <w:color w:val="auto"/>
              </w:rPr>
            </w:pPr>
          </w:p>
        </w:tc>
      </w:tr>
      <w:tr>
        <w:trPr>
          <w:trHeight w:val="41"/>
        </w:trPr>
        <w:tc>
          <w:tcPr>
            <w:tcW w:w="71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r>
    </w:tbl>
    <w:p>
      <w:pPr>
        <w:spacing w:after="0" w:line="233" w:lineRule="exact"/>
        <w:rPr>
          <w:sz w:val="20"/>
          <w:szCs w:val="20"/>
          <w:color w:val="auto"/>
        </w:rPr>
      </w:pPr>
    </w:p>
    <w:p>
      <w:pPr>
        <w:jc w:val="both"/>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For further discussion regarding our development program, please see Items 1 and 2. Business and Properties—Oil and Natural Gas Data—Wells Drilled and Completed in 2024 of this report.</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47" w:lineRule="exact"/>
        <w:rPr>
          <w:sz w:val="20"/>
          <w:szCs w:val="20"/>
          <w:color w:val="auto"/>
        </w:rPr>
      </w:pPr>
    </w:p>
    <w:p>
      <w:pPr>
        <w:jc w:val="both"/>
        <w:ind w:left="100" w:right="4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2024, net cash used in financing activities was primarily attributable to $5.5 billion of proceeds from the issuance of the April 2024 Notes, $900 million in borrowings on our Tranche A Loans, net of repayments, $476 million in proceeds from the Viper 2024 Equity Offering, $451 million in proceeds from the sale of our shares of Viper’s Class A common stock and $2 million in borrowings on our credit facilities, net of repayments. These cash inflows were partially offset by (i) $1.6 billion of dividends paid to stockholders, (ii) $959 million of repurchases as part of the share repurchase program, (iii) $227 million in dividends to non-controlling interest, (iv) $99 million of debt issuance costs primarily associated with the April 2024 Notes, Term Loan Agreement and Bridge Facility, and (vi) $39 million in cash paid for tax withholdings on vested employee stock awards.</w:t>
      </w:r>
    </w:p>
    <w:p>
      <w:pPr>
        <w:spacing w:after="0" w:line="208" w:lineRule="exact"/>
        <w:rPr>
          <w:sz w:val="20"/>
          <w:szCs w:val="20"/>
          <w:color w:val="auto"/>
        </w:rPr>
      </w:pPr>
    </w:p>
    <w:p>
      <w:pPr>
        <w:jc w:val="both"/>
        <w:ind w:left="100" w:right="40" w:firstLine="720"/>
        <w:spacing w:after="0" w:line="256" w:lineRule="auto"/>
        <w:rPr>
          <w:sz w:val="20"/>
          <w:szCs w:val="20"/>
          <w:color w:val="auto"/>
        </w:rPr>
      </w:pPr>
      <w:r>
        <w:rPr>
          <w:rFonts w:ascii="Times New Roman" w:cs="Times New Roman" w:eastAsia="Times New Roman" w:hAnsi="Times New Roman"/>
          <w:sz w:val="20"/>
          <w:szCs w:val="20"/>
          <w:color w:val="auto"/>
        </w:rPr>
        <w:t>Net cash used in financing activities for the year ended December 31, 2023 was primarily attributable to (i) $1.4 billion of dividends paid to stockholders, (ii) $935 million of repurchases as part of the Diamondback and Viper share repurchase programs, (iii) $134 million paid for the retirement of outstanding principal on certain senior notes, and (iv) $129 million in distributions to non-controlling interest. The cash outflows were partially offset by (i) $394 million in net proceeds from the issuance of the Viper 2031 Notes and an additional $111 million in borrowings under credit facilities, net of repayments.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253" w:lineRule="exact"/>
        <w:rPr>
          <w:sz w:val="20"/>
          <w:szCs w:val="20"/>
          <w:color w:val="auto"/>
        </w:rPr>
      </w:pPr>
    </w:p>
    <w:p>
      <w:pPr>
        <w:jc w:val="both"/>
        <w:ind w:left="100" w:right="40" w:firstLine="721"/>
        <w:spacing w:after="0" w:line="258" w:lineRule="auto"/>
        <w:rPr>
          <w:sz w:val="20"/>
          <w:szCs w:val="20"/>
          <w:color w:val="auto"/>
        </w:rPr>
      </w:pPr>
      <w:r>
        <w:rPr>
          <w:rFonts w:ascii="Times New Roman" w:cs="Times New Roman" w:eastAsia="Times New Roman" w:hAnsi="Times New Roman"/>
          <w:sz w:val="20"/>
          <w:szCs w:val="20"/>
          <w:color w:val="auto"/>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and to finance the pending Double Eagle Acquisition. Because of the alternatives available to us, we believe that our short-term and long- term liquidity are adequate to fund not only our current operations, but also our near-term and long-term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20"/>
          </w:cols>
          <w:pgMar w:left="980" w:top="205" w:right="1040"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As we pursue our business and financial strategy, we regularly consider which capital resources, including cash flow and/or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Revolving Credit Facilities and Other Debt Instruments</w:t>
      </w:r>
    </w:p>
    <w:p>
      <w:pPr>
        <w:spacing w:after="0" w:line="249"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As of December 31, 2024, our debt, including the debt of Viper, consisted of approximately $12.0 billion in aggregate outstanding principal amount of senior notes, $900 million in aggregate outstanding short-term borrowings under the Tranche A Loans and $261 million in aggregate outstanding borrowings under revolving credit facilities.</w:t>
      </w:r>
    </w:p>
    <w:p>
      <w:pPr>
        <w:spacing w:after="0" w:line="190"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As of December 31, 2024, the maximum credit amount available under our credit agreement was $2.5 billion, which may be increased to a total maximum commitment amount of $2.6 billion, with no outstanding borrowings and $2.5 billion available for future borrowings. Our credit agreement matures on June 2, 2029.</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LLC’s Credit Agreement</w:t>
      </w:r>
    </w:p>
    <w:p>
      <w:pPr>
        <w:spacing w:after="0" w:line="247" w:lineRule="exact"/>
        <w:rPr>
          <w:sz w:val="20"/>
          <w:szCs w:val="20"/>
          <w:color w:val="auto"/>
        </w:rPr>
      </w:pPr>
    </w:p>
    <w:p>
      <w:pPr>
        <w:jc w:val="both"/>
        <w:ind w:left="140" w:firstLine="720"/>
        <w:spacing w:after="0" w:line="261" w:lineRule="auto"/>
        <w:rPr>
          <w:sz w:val="20"/>
          <w:szCs w:val="20"/>
          <w:color w:val="auto"/>
        </w:rPr>
      </w:pPr>
      <w:r>
        <w:rPr>
          <w:rFonts w:ascii="Times New Roman" w:cs="Times New Roman" w:eastAsia="Times New Roman" w:hAnsi="Times New Roman"/>
          <w:sz w:val="20"/>
          <w:szCs w:val="20"/>
          <w:color w:val="auto"/>
        </w:rPr>
        <w:t>The Viper LLC credit agreement, as amended to date, matures on September 22, 2028 and provides for a revolving credit facility in the maximum credit amount of $2.0 billion, with a borrowing base and elected commitment amount of $1.3 billion. At December 31, 2024, there were $261 million of outstanding borrowings and $1.0 billion available for future borrowings under the Viper LLC credit agreement.</w:t>
      </w:r>
    </w:p>
    <w:p>
      <w:pPr>
        <w:spacing w:after="0" w:line="197"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For additional discussion of our outstanding debt as of December 31, 2024, see Note 9—Debt in Item 8. Financial Statements and Supplementary Data of this report.</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Debt Ratings</w:t>
      </w:r>
    </w:p>
    <w:p>
      <w:pPr>
        <w:spacing w:after="0" w:line="24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We receive debt ratings from the major ratings agencies in the U.S which impact the interest rates we receive on our variable rate debt and interest rate swaps.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In September, we received an upgrade from two of the three major ratings agencies in the U.S., Standard and Poor’s Global Ratings Services and Fitch Investor Services. Currently, our credit ratings from the three main credit rating agencies are as follows:</w:t>
      </w:r>
    </w:p>
    <w:p>
      <w:pPr>
        <w:spacing w:after="0" w:line="204" w:lineRule="exact"/>
        <w:rPr>
          <w:sz w:val="20"/>
          <w:szCs w:val="20"/>
          <w:color w:val="auto"/>
        </w:rPr>
      </w:pPr>
    </w:p>
    <w:p>
      <w:pPr>
        <w:ind w:left="820" w:hanging="359"/>
        <w:spacing w:after="0"/>
        <w:tabs>
          <w:tab w:leader="none" w:pos="8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Standard and Poor’s Global Ratings Services (BBB);</w:t>
      </w:r>
    </w:p>
    <w:p>
      <w:pPr>
        <w:spacing w:after="0" w:line="10" w:lineRule="exact"/>
        <w:rPr>
          <w:rFonts w:ascii="Times New Roman" w:cs="Times New Roman" w:eastAsia="Times New Roman" w:hAnsi="Times New Roman"/>
          <w:sz w:val="20"/>
          <w:szCs w:val="20"/>
          <w:color w:val="auto"/>
        </w:rPr>
      </w:pPr>
    </w:p>
    <w:p>
      <w:pPr>
        <w:ind w:left="820" w:hanging="359"/>
        <w:spacing w:after="0"/>
        <w:tabs>
          <w:tab w:leader="none" w:pos="8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Fitch Investor Services (BBB+); and</w:t>
      </w:r>
    </w:p>
    <w:p>
      <w:pPr>
        <w:spacing w:after="0" w:line="10" w:lineRule="exact"/>
        <w:rPr>
          <w:rFonts w:ascii="Times New Roman" w:cs="Times New Roman" w:eastAsia="Times New Roman" w:hAnsi="Times New Roman"/>
          <w:sz w:val="20"/>
          <w:szCs w:val="20"/>
          <w:color w:val="auto"/>
        </w:rPr>
      </w:pPr>
    </w:p>
    <w:p>
      <w:pPr>
        <w:ind w:left="820" w:hanging="359"/>
        <w:spacing w:after="0"/>
        <w:tabs>
          <w:tab w:leader="none" w:pos="8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Moody’s Investor Services (Baa2).</w:t>
      </w:r>
    </w:p>
    <w:p>
      <w:pPr>
        <w:spacing w:after="0" w:line="25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Any rating downgrades may result in additional letters of credit or cash collateral being posted under certain contractual arrangements.</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251"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In addition to future operating expenses and working capital commitments discussed in “—</w:t>
      </w:r>
      <w:r>
        <w:rPr>
          <w:rFonts w:ascii="Times New Roman" w:cs="Times New Roman" w:eastAsia="Times New Roman" w:hAnsi="Times New Roman"/>
          <w:sz w:val="20"/>
          <w:szCs w:val="20"/>
          <w:i w:val="1"/>
          <w:iCs w:val="1"/>
          <w:color w:val="auto"/>
        </w:rPr>
        <w:t>Outlook”,</w:t>
      </w:r>
      <w:r>
        <w:rPr>
          <w:rFonts w:ascii="Times New Roman" w:cs="Times New Roman" w:eastAsia="Times New Roman" w:hAnsi="Times New Roman"/>
          <w:sz w:val="20"/>
          <w:szCs w:val="20"/>
          <w:color w:val="auto"/>
        </w:rPr>
        <w:t xml:space="preserve"> our primary short and long-term liquidity requirements consist primarily of (i) capital expenditures, (ii) payments of principal and interest on our revolving credit agreements, Tranche A Loans and senior notes, (iii) payments of other contractual obligations, (iv) cash commitments for dividends and repurchases of securities, and the pending Double Eagle Acquisition.</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2025 Capital Spending Plan</w:t>
      </w:r>
    </w:p>
    <w:p>
      <w:pPr>
        <w:spacing w:after="0" w:line="24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We currently estimate that our 2025 capital budget, which gives effect to the pending Double Eagle Acquisition, will be $3.80 billion to $ 4.20 billion, including $3.13 billion to $3.44 billion for horizontal drilling and completions, $280 million to $320 million for non-operated activity and capital workovers and $390 million to $440 million spent on infrastructure, midstream and environmental capital expenditures. We currently expect to drill approximately 446 to 471 gross (406 to 428 net) horizontal wells and complete approximately 557 to 592 gross (526 to 560 net) horizontal wells across our operated and non-operated leasehold acreage in the Northern Midland and Southern Delaware Basins, with an average lateral length of approximately 11,500 feet.</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180"/>
          </w:cols>
          <w:pgMar w:left="980" w:top="205" w:right="1080"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will continue monitoring commodity prices and overall market conditions and can adjust our rig cadence and our capital expenditure budget up or down in response to changes in commodity prices and overall market conditions.</w:t>
      </w:r>
    </w:p>
    <w:p>
      <w:pPr>
        <w:spacing w:after="0" w:line="2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Payments of Principal and Interest on Senior Notes and Tranche A Loans</w:t>
      </w:r>
    </w:p>
    <w:p>
      <w:pPr>
        <w:spacing w:after="0" w:line="247" w:lineRule="exact"/>
        <w:rPr>
          <w:sz w:val="20"/>
          <w:szCs w:val="20"/>
          <w:color w:val="auto"/>
        </w:rPr>
      </w:pPr>
    </w:p>
    <w:p>
      <w:pPr>
        <w:jc w:val="both"/>
        <w:ind w:left="100" w:firstLine="720"/>
        <w:spacing w:after="0" w:line="259" w:lineRule="auto"/>
        <w:rPr>
          <w:sz w:val="20"/>
          <w:szCs w:val="20"/>
          <w:color w:val="auto"/>
        </w:rPr>
      </w:pPr>
      <w:r>
        <w:rPr>
          <w:rFonts w:ascii="Times New Roman" w:cs="Times New Roman" w:eastAsia="Times New Roman" w:hAnsi="Times New Roman"/>
          <w:sz w:val="20"/>
          <w:szCs w:val="20"/>
          <w:color w:val="auto"/>
        </w:rPr>
        <w:t>At December 31, 2024, we have total principal payments due on our outstanding senior notes, including those of Viper, of $764 million in 2026, $ 1.3 billion in 2027, $73 million in 2028, $915 million in 2029 and $9.0 billion thereafter. Additionally, we expect to incur future cash interest costs on these senior notes of approximately $ 612 million in 2025, $1.2 billion cumulatively in the years from 2026 through 2027, $1.0 billion cumulatively in the years from 2028 and 2029, and $7.1 billion cumulatively between 2030 and 2064.</w:t>
      </w:r>
    </w:p>
    <w:p>
      <w:pPr>
        <w:spacing w:after="0" w:line="19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 addition to the senior notes, we have $900 million in aggregate outstanding borrowings under the Tranche A Loans due in 2025. See Note 9—Debt in Item 8. Financial Statements and Supplementary Data of this report for further discussion on the Tranche A Loans.</w:t>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Other Contractual Obligations and Commitments</w:t>
      </w:r>
    </w:p>
    <w:p>
      <w:pPr>
        <w:spacing w:after="0" w:line="247" w:lineRule="exact"/>
        <w:rPr>
          <w:sz w:val="20"/>
          <w:szCs w:val="20"/>
          <w:color w:val="auto"/>
        </w:rPr>
      </w:pPr>
    </w:p>
    <w:p>
      <w:pPr>
        <w:jc w:val="both"/>
        <w:ind w:left="100" w:firstLine="721"/>
        <w:spacing w:after="0" w:line="256" w:lineRule="auto"/>
        <w:rPr>
          <w:sz w:val="20"/>
          <w:szCs w:val="20"/>
          <w:color w:val="auto"/>
        </w:rPr>
      </w:pPr>
      <w:r>
        <w:rPr>
          <w:rFonts w:ascii="Times New Roman" w:cs="Times New Roman" w:eastAsia="Times New Roman" w:hAnsi="Times New Roman"/>
          <w:sz w:val="20"/>
          <w:szCs w:val="20"/>
          <w:color w:val="auto"/>
        </w:rPr>
        <w:t>At December 31, 2024, our other significant contractual obligations consist primarily of (i) minimum transportation commitments totaling $2.8 billion, (ii) electrical power purchase commitments totaling $365 million (iii) asset retirement obligations totaling $592 million, (iv) electric fracturing fleet and related power generation services commitments totaling $199 million and (v) minimum purchase commitments for quantities of sand used in our drilling operations totaling $66 million. We expect to make aggregate payments of approximately $442 million for these commitments during 2025. See Note 7—Asset Retirement Obligations and Note 16—Commitments and Contingencies in Item 8. Financial Statements and Supplementary Data of this report for further discussion of these and other contractual obligations and commitments.</w:t>
      </w:r>
    </w:p>
    <w:p>
      <w:pPr>
        <w:spacing w:after="0" w:line="201"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We and Five Point Energy LLC currently anticipate collectively contributing $500 million in follow-on capital to fund future growth in our Deep Blue Midland Basin LLC joint venture projects and acquisitions.</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Return of Capital Commitment</w:t>
      </w:r>
    </w:p>
    <w:p>
      <w:pPr>
        <w:spacing w:after="0" w:line="24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Beginning in the first quarter of 2024, our board of directors approved a return of capital commitment of at least 50% (down from 75%) of our quarterly free cash flow to our stockholders through repurchases under our share repurchase program, base dividends and variable dividends. The remainder of our free cash flow will be used primarily to reduce debt. On February 21, 2025, our board of directors declared a base cash dividend for the fourth quarter of 2024 of $1.00 per share of common stock.</w:t>
      </w:r>
    </w:p>
    <w:p>
      <w:pPr>
        <w:spacing w:after="0" w:line="202"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spacing w:after="0" w:line="19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Future base and variable dividends are at the discretion of our board of directors, and the board of directors may change the dividend amount from time to time based on our outlook for commodity prices, liquidity, debt levels, capital resources, free cash flow and other factors. We can provide no assurance that dividends will be authorized or declared in the future or as to the amount and type of any future dividends. Any future dividends, whether base or variable, if declared and paid, will by their nature fluctuate based on our free cash flow, which will depend on a number of factors beyond our control, including commodity prices.</w:t>
      </w:r>
    </w:p>
    <w:p>
      <w:pPr>
        <w:spacing w:after="0" w:line="206" w:lineRule="exact"/>
        <w:rPr>
          <w:sz w:val="20"/>
          <w:szCs w:val="20"/>
          <w:color w:val="auto"/>
        </w:rPr>
      </w:pPr>
    </w:p>
    <w:p>
      <w:pPr>
        <w:jc w:val="both"/>
        <w:ind w:left="100" w:firstLine="721"/>
        <w:spacing w:after="0" w:line="256" w:lineRule="auto"/>
        <w:rPr>
          <w:sz w:val="20"/>
          <w:szCs w:val="20"/>
          <w:color w:val="auto"/>
        </w:rPr>
      </w:pPr>
      <w:r>
        <w:rPr>
          <w:rFonts w:ascii="Times New Roman" w:cs="Times New Roman" w:eastAsia="Times New Roman" w:hAnsi="Times New Roman"/>
          <w:sz w:val="20"/>
          <w:szCs w:val="20"/>
          <w:color w:val="auto"/>
        </w:rPr>
        <w:t>On September 18, 2024, our board of directors approved an increase in our common stock repurchase program from $4.0 billion to $6.0 billion, excluding excise tax. Since the inception of the stock repurchase program, we have repurchased an aggregate 25.84 million shares of our common stock for a total cost of $3.5 billion, excluding excise tax, as of February 21, 2025. Subject to regulatory restrictions and other factors discussed elsewhere in this report, we intend to continue opportunistically purchasing shares under this repurchase program primarily with funds from cash flow from operations and liquidity events such as the sale of assets while maintaining sufficient liquidity to fund our capital expenditure</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180"/>
          </w:cols>
          <w:pgMar w:left="980" w:top="205" w:right="1080"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ind w:left="100" w:right="40" w:firstLine="1"/>
        <w:spacing w:after="0" w:line="286" w:lineRule="auto"/>
        <w:rPr>
          <w:sz w:val="20"/>
          <w:szCs w:val="20"/>
          <w:color w:val="auto"/>
        </w:rPr>
      </w:pPr>
      <w:r>
        <w:rPr>
          <w:rFonts w:ascii="Times New Roman" w:cs="Times New Roman" w:eastAsia="Times New Roman" w:hAnsi="Times New Roman"/>
          <w:sz w:val="20"/>
          <w:szCs w:val="20"/>
          <w:color w:val="auto"/>
        </w:rPr>
        <w:t>programs. See Note 10—Stockholders' Equity and Earnings (Loss) Per Share in Item 8. Financial Statements and Supplementary Data of this report for further discussion of the repurchase program.</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Guarantor Financial Information</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Diamondback E&amp;P is the sole guarantor under the indentures governing the outstanding Guaranteed Senior Notes.</w:t>
      </w:r>
    </w:p>
    <w:p>
      <w:pPr>
        <w:spacing w:after="0" w:line="250"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spacing w:after="0" w:line="20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9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5"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 X. The financial information may not necessarily be indicative of results of operations or financial position had the guarantor subsidiary operated as an independent entity.</w:t>
      </w: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3"/>
        </w:trPr>
        <w:tc>
          <w:tcPr>
            <w:tcW w:w="8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3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xml:space="preserve">Current assets </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0" w:type="dxa"/>
            <w:vAlign w:val="bottom"/>
          </w:tcPr>
          <w:p>
            <w:pPr>
              <w:spacing w:after="0"/>
              <w:rPr>
                <w:sz w:val="1"/>
                <w:szCs w:val="1"/>
                <w:color w:val="auto"/>
              </w:rPr>
            </w:pPr>
          </w:p>
        </w:tc>
      </w:tr>
      <w:tr>
        <w:trPr>
          <w:trHeight w:val="25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Property and equipment, net</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21,795</w:t>
            </w:r>
          </w:p>
        </w:tc>
        <w:tc>
          <w:tcPr>
            <w:tcW w:w="0" w:type="dxa"/>
            <w:vAlign w:val="bottom"/>
          </w:tcPr>
          <w:p>
            <w:pPr>
              <w:spacing w:after="0"/>
              <w:rPr>
                <w:sz w:val="1"/>
                <w:szCs w:val="1"/>
                <w:color w:val="auto"/>
              </w:rPr>
            </w:pPr>
          </w:p>
        </w:tc>
      </w:tr>
      <w:tr>
        <w:trPr>
          <w:trHeight w:val="26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xml:space="preserve">Other noncurrent assets </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42"/>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Current liabilities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w:t>
            </w:r>
          </w:p>
        </w:tc>
        <w:tc>
          <w:tcPr>
            <w:tcW w:w="0" w:type="dxa"/>
            <w:vAlign w:val="bottom"/>
          </w:tcPr>
          <w:p>
            <w:pPr>
              <w:spacing w:after="0"/>
              <w:rPr>
                <w:sz w:val="1"/>
                <w:szCs w:val="1"/>
                <w:color w:val="auto"/>
              </w:rPr>
            </w:pPr>
          </w:p>
        </w:tc>
      </w:tr>
      <w:tr>
        <w:trPr>
          <w:trHeight w:val="254"/>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xml:space="preserve">Intercompany accounts payable, non-guarantor subsidiary </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3,381</w:t>
            </w:r>
          </w:p>
        </w:tc>
        <w:tc>
          <w:tcPr>
            <w:tcW w:w="0" w:type="dxa"/>
            <w:vAlign w:val="bottom"/>
          </w:tcPr>
          <w:p>
            <w:pPr>
              <w:spacing w:after="0"/>
              <w:rPr>
                <w:sz w:val="1"/>
                <w:szCs w:val="1"/>
                <w:color w:val="auto"/>
              </w:rPr>
            </w:pPr>
          </w:p>
        </w:tc>
      </w:tr>
      <w:tr>
        <w:trPr>
          <w:trHeight w:val="25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Long-term debt</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10,978</w:t>
            </w:r>
          </w:p>
        </w:tc>
        <w:tc>
          <w:tcPr>
            <w:tcW w:w="0" w:type="dxa"/>
            <w:vAlign w:val="bottom"/>
          </w:tcPr>
          <w:p>
            <w:pPr>
              <w:spacing w:after="0"/>
              <w:rPr>
                <w:sz w:val="1"/>
                <w:szCs w:val="1"/>
                <w:color w:val="auto"/>
              </w:rPr>
            </w:pPr>
          </w:p>
        </w:tc>
      </w:tr>
      <w:tr>
        <w:trPr>
          <w:trHeight w:val="26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noncurrent liabilities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0" w:type="dxa"/>
            <w:vAlign w:val="bottom"/>
          </w:tcPr>
          <w:p>
            <w:pPr>
              <w:spacing w:after="0"/>
              <w:rPr>
                <w:sz w:val="1"/>
                <w:szCs w:val="1"/>
                <w:color w:val="auto"/>
              </w:rPr>
            </w:pPr>
          </w:p>
        </w:tc>
      </w:tr>
      <w:tr>
        <w:trPr>
          <w:trHeight w:val="543"/>
        </w:trPr>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0"/>
        </w:trPr>
        <w:tc>
          <w:tcPr>
            <w:tcW w:w="8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54"/>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7,022</w:t>
            </w:r>
          </w:p>
        </w:tc>
        <w:tc>
          <w:tcPr>
            <w:tcW w:w="0" w:type="dxa"/>
            <w:vAlign w:val="bottom"/>
          </w:tcPr>
          <w:p>
            <w:pPr>
              <w:spacing w:after="0"/>
              <w:rPr>
                <w:sz w:val="1"/>
                <w:szCs w:val="1"/>
                <w:color w:val="auto"/>
              </w:rPr>
            </w:pPr>
          </w:p>
        </w:tc>
      </w:tr>
      <w:tr>
        <w:trPr>
          <w:trHeight w:val="254"/>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Income (loss) from operations </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w:t>
            </w:r>
          </w:p>
        </w:tc>
        <w:tc>
          <w:tcPr>
            <w:tcW w:w="0" w:type="dxa"/>
            <w:vAlign w:val="bottom"/>
          </w:tcPr>
          <w:p>
            <w:pPr>
              <w:spacing w:after="0"/>
              <w:rPr>
                <w:sz w:val="1"/>
                <w:szCs w:val="1"/>
                <w:color w:val="auto"/>
              </w:rPr>
            </w:pPr>
          </w:p>
        </w:tc>
      </w:tr>
      <w:tr>
        <w:trPr>
          <w:trHeight w:val="267"/>
        </w:trPr>
        <w:tc>
          <w:tcPr>
            <w:tcW w:w="8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Net income (loss) </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180"/>
          </w:cols>
          <w:pgMar w:left="980" w:top="205" w:right="1080" w:bottom="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is based upon our consolidated financial statements, which have been prepared in accordance with accounting principles generally accepted in the United States.</w:t>
      </w:r>
    </w:p>
    <w:p>
      <w:pPr>
        <w:spacing w:after="0" w:line="187"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w:t>
      </w:r>
    </w:p>
    <w:p>
      <w:pPr>
        <w:spacing w:after="0" w:line="211"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We consider the following to be our most critical accounting estimates and have reviewed these critical accounting estimates with the Audit Committee of our board of directors.</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Oil and Natural Gas Accounting and Reserves</w:t>
      </w:r>
    </w:p>
    <w:p>
      <w:pPr>
        <w:spacing w:after="0" w:line="25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w:t>
      </w:r>
    </w:p>
    <w:p>
      <w:pPr>
        <w:spacing w:after="0" w:line="206"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Company, L.P., independent petroleum engineers as of December 31, 2024, 2023 and 2022.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reported reserve estimates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$ 2.0 billion, or 16% of the change in the standardized measure of our total reserves from December 31, 2023 to December 31, 2024. No impairments were recorded for our proved oil and gas properties during the years ended December 31, 2024, 2023 and 2022. Based on the historical 12-month average trailing SEC prices for oil and natural gas throughout 2024 and into 2025, we are not currently projecting a full cost ceiling impairment in the first quarter of 2025.</w:t>
      </w:r>
    </w:p>
    <w:p>
      <w:pPr>
        <w:spacing w:after="0" w:line="218" w:lineRule="exact"/>
        <w:rPr>
          <w:sz w:val="20"/>
          <w:szCs w:val="20"/>
          <w:color w:val="auto"/>
        </w:rPr>
      </w:pPr>
    </w:p>
    <w:p>
      <w:pPr>
        <w:jc w:val="both"/>
        <w:ind w:left="100" w:firstLine="721"/>
        <w:spacing w:after="0" w:line="254" w:lineRule="auto"/>
        <w:rPr>
          <w:sz w:val="20"/>
          <w:szCs w:val="20"/>
          <w:color w:val="auto"/>
        </w:rPr>
      </w:pPr>
      <w:r>
        <w:rPr>
          <w:rFonts w:ascii="Times New Roman" w:cs="Times New Roman" w:eastAsia="Times New Roman" w:hAnsi="Times New Roman"/>
          <w:sz w:val="20"/>
          <w:szCs w:val="20"/>
          <w:color w:val="auto"/>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intent to drill, (ii) remaining lease term, (iii) geological and geophysical evaluations, (iv) drilling results and activity, (v) the assignment of proved reserves, and (vi) the economic viability of development if proved reserves are assigned. At December 31, 2024, our unevaluated properties totaled $22.7 billion, which consisted of 433,335 net undeveloped leasehold acres with approximately 4,290 net acres set to expire in 2025. We did not record any impairment on our unevaluated properties during the year ended December 31, 2024, but any such future impairment could potentially be material to our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180"/>
          </w:cols>
          <w:pgMar w:left="980" w:top="205" w:right="1080" w:bottom="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3"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We account for business combinations in which it has been determined we are the acquirer using the acquisition method of accounting. Accordingly, identifiable assets acquired and liabilities assumed are recognized at the date of acquisition at their respective estimated fair values.</w:t>
      </w:r>
    </w:p>
    <w:p>
      <w:pPr>
        <w:spacing w:after="0" w:line="18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 observable prices are not available to value assets and liabilities, the Company may use the cost, income, or market valuation approaches depending on the quality of information available to support management’s assumptions.</w:t>
      </w:r>
    </w:p>
    <w:p>
      <w:pPr>
        <w:spacing w:after="0" w:line="20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most significant assumptions relate to the estimated fair values assigned to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goodwill or discount on an acquisition. There is no assurance the underlying assumptions or estimates associated with the valuation will occur as initially expected. See Note 4—Acquisitions and Divestitures and Note 5 —Endeavor Energy Resources, LP Acquisition in Item 8. Financial Statements and Supplementary Data of this report for further discussion of the estimated fair value of assets acquired and liabilities assumed in business combinations including any significant changes in these estimates from the date of acquisition.</w:t>
      </w:r>
    </w:p>
    <w:p>
      <w:pPr>
        <w:spacing w:after="0" w:line="204"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1" w:lineRule="exact"/>
        <w:rPr>
          <w:sz w:val="20"/>
          <w:szCs w:val="20"/>
          <w:color w:val="auto"/>
        </w:rPr>
      </w:pPr>
    </w:p>
    <w:p>
      <w:pPr>
        <w:jc w:val="both"/>
        <w:ind w:left="100" w:firstLine="720"/>
        <w:spacing w:after="0" w:line="251" w:lineRule="auto"/>
        <w:rPr>
          <w:sz w:val="20"/>
          <w:szCs w:val="20"/>
          <w:color w:val="auto"/>
        </w:rPr>
      </w:pPr>
      <w:r>
        <w:rPr>
          <w:rFonts w:ascii="Times New Roman" w:cs="Times New Roman" w:eastAsia="Times New Roman" w:hAnsi="Times New Roman"/>
          <w:sz w:val="20"/>
          <w:szCs w:val="20"/>
          <w:color w:val="auto"/>
        </w:rPr>
        <w:t>The amount of income taxes we record requires interpretations of complex rules and regulations of federal, state, and local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The assessment of the realizability of our deferred tax assets, including the assessment of whether a valuation allowance is required, entails that we make estimates of, and assumptions about, future events, including the pattern of reversal of taxable temporary differences and our future income from operations.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w:t>
      </w:r>
    </w:p>
    <w:p>
      <w:pPr>
        <w:spacing w:after="0" w:line="270"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In 2024, management’s assessment of all available evidence, both positive and negative, supporting realizability of Viper’s deferred tax assets as required by applicable accounting standards, resulted in the full release of Viper’s remaining valuation allowance of $156 million. The positive evidence assessed included recent cumulative income due in part to commodity prices remaining consistently high, acquisitions of additional oil and gas properties, and an expectation of future taxable income based upon recent actual and forecasted production volumes and prices. As of December 31, 2024, Viper had a deferred tax asset of $185 million. Any changes in the positive or negative evidence evaluated when determining if Viper’s deferred tax assets will be realized, including projected future income, could result in a material change to our consolidated financial statements. As of December 31, 2024, our balance of taxable temporary differences anticipated to reverse within the carryforward period provides significant positive evidence for the determination that our remaining deferred tax assets are more likely than not to be realized.</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180"/>
          </w:cols>
          <w:pgMar w:left="980" w:top="205" w:right="1080" w:bottom="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accruals for deferred tax assets and liabilities are often based on unclear tax positions and assumptions that are subject to a significant amount of judgment by management. These assumptions and judgments are reviewed and adjusted as facts and circumstances change. At December 31, 2024, we had no uncertain tax positions, however, material changes to our income tax accruals may occur in the future based on the progress of ongoing audits, changes in legislation or resolution of pending matters.</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8"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2—Summary of Significant Accounting Policies in Item 8. Financial Statements and Supplementary Data of this report for recent accounting pronouncements not yet adopted, if any.</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56" w:lineRule="exact"/>
        <w:rPr>
          <w:sz w:val="20"/>
          <w:szCs w:val="20"/>
          <w:color w:val="auto"/>
        </w:rPr>
      </w:pPr>
    </w:p>
    <w:p>
      <w:pPr>
        <w:jc w:val="both"/>
        <w:ind w:left="100" w:firstLine="720"/>
        <w:spacing w:after="0" w:line="246" w:lineRule="auto"/>
        <w:rPr>
          <w:sz w:val="20"/>
          <w:szCs w:val="20"/>
          <w:color w:val="auto"/>
        </w:rPr>
      </w:pPr>
      <w:r>
        <w:rPr>
          <w:rFonts w:ascii="Times New Roman" w:cs="Times New Roman" w:eastAsia="Times New Roman" w:hAnsi="Times New Roman"/>
          <w:sz w:val="20"/>
          <w:szCs w:val="20"/>
          <w:color w:val="auto"/>
        </w:rPr>
        <w:t>See Note 16—Commitments and Contingencies in Item 8. Financial Statements and Supplementary Data of this report for a discussion of our significant commitments and contingencies, some of which are not recognized in the consolidated balance sheets under GAAP.</w:t>
      </w:r>
    </w:p>
    <w:p>
      <w:pPr>
        <w:spacing w:after="0" w:line="3" w:lineRule="exact"/>
        <w:rPr>
          <w:sz w:val="20"/>
          <w:szCs w:val="20"/>
          <w:color w:val="auto"/>
        </w:rPr>
      </w:pPr>
    </w:p>
    <w:p>
      <w:pPr>
        <w:ind w:left="100" w:right="1940"/>
        <w:spacing w:after="0" w:line="505"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Commodity Price Risk</w:t>
      </w: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the outcome of the war in Ukraine and the Israel-Hamas war, along with other conflicts in the Middle East, changes in interest rates and inflation and global supply chain disruptions, that may lead to future price volatility. We cannot predict events that may lead to future price volatility and the near- term energy outlook remains subject to heightened levels of uncertainty. Further, the prices we receive for production depend on many other factors outside of our control.</w:t>
      </w:r>
    </w:p>
    <w:p>
      <w:pPr>
        <w:spacing w:after="0" w:line="208"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We use derivatives, including swaps, basis swaps, roll swaps, costless collars, puts and basis puts, to reduce price volatility associated with certain of our oil and natural gas sales. At December 31, 2024, we had a net asset of $145 million related to our commodity price risk derivatives. Utilizing actual contractual volumes under our commodity price derivatives as of December 31, 2024, a 10% increase in forward curves associated with the underlying commodity would have decreased the net asset position by $15 million to $130 million, while a 10% decrease in forward curves associated with the underlying commodity would have increased the net asset derivative position by $36 million to $181 million. However, any cash derivative gain or loss may be substantially offset by a decrease or increase, respectively, in the actual sales value of production covered by the derivative instrument.</w:t>
      </w:r>
    </w:p>
    <w:p>
      <w:pPr>
        <w:spacing w:after="0" w:line="211"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For additional information on our open commodity derivative instruments at December 31, 2024, see Note 13— Derivatives in Item 8. Financial Statements and Supplementary Data of this report.</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Counterparty and Customer Credit Risk</w:t>
      </w:r>
    </w:p>
    <w:p>
      <w:pPr>
        <w:spacing w:after="0" w:line="25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Our principal exposures to credit risk are due to the concentration of receivables from the sale of our oil and natural gas production (approximately $1.4 billion at December 31, 2024), and to a lesser extent, receivables resulting from joint interest receivables (approximately $ 188 million at December 31, 2024). 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180"/>
          </w:cols>
          <w:pgMar w:left="980" w:top="205" w:right="1080" w:bottom="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8"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We are subject to market risk exposure related to changes in interest rates on our indebtedness under our revolving credit facilities, Tranche A Loans and changes in the fair value of our fixed rate debt. Outstanding borrowings under the credit agreement bear interest at a per annum rate elected by Diamondback E&amp;P. At December 31, 2024, the applicable margin ranges from 0.125% to 1.000% per annum in the case of the alternate base rate, and from 1.125% to 2.000% per annum in the case of Adjusted Term SOFR, in each case based on the pricing level for both our revolving credit facilities and Tranche A Loans. The pricing level depends on certain rating agencies’ ratings of our long-term senior unsecured debt. We are obligated to pay a quarterly commitment fee ranging from 0.125% to 0.325% per year on the unused portion of the commitment for our revolving credit facilities. For our Tranche A Loans, we are obligated to pay a quarterly commitment fee equal to 0.125% per year on the aggregate principal amount of the commitments. We believe significant interest rate changes would not have a material near-term impact on our future earnings or cash flows. For additional information on our variable interest rate debt at December 31, 2024, see Note 9—Debt in Item 8. Financial Statements and Supplementary Data of this report.</w:t>
      </w:r>
    </w:p>
    <w:p>
      <w:pPr>
        <w:spacing w:after="0" w:line="21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Historically, we have at times used interest rates swaps to manage our exposure to (i) interest rate changes on our floating-rate date, and (ii) fair value changes on our fixed rate debt. At December 31, 2024, we have interest rate swap agreements for a notional amount of $900 million to manage the impact of changes to the fair value of our fixed rate senior notes due to changes in market interest rates through December 2029. We pay an average variable rate of interest for these swaps based on three-month SOFR plus 2.1865% and receive a fixed interest rate of 3.50% from our counterparties. At December 31, 2024, our receive-fixed, pay-variable interest rate swaps were in a net liability position of $124 million, and the weighted average variable rate was 6.43%. For additional information on our interest rate swaps, see Note 13— Derivatives in Item 8. Financial Statements and Supplementary Data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180"/>
          </w:cols>
          <w:pgMar w:left="980" w:top="205" w:right="108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  Documents included in this report: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1. Financial Statements</w:t>
      </w:r>
    </w:p>
    <w:p>
      <w:pPr>
        <w:spacing w:after="0" w:line="67"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 xml:space="preserve">Report of Independent Registered Public Accounting Firm (PCAOB ID Number </w:t>
      </w:r>
      <w:r>
        <w:rPr>
          <w:rFonts w:ascii="Times New Roman" w:cs="Times New Roman" w:eastAsia="Times New Roman" w:hAnsi="Times New Roman"/>
          <w:sz w:val="20"/>
          <w:szCs w:val="20"/>
          <w:u w:val="single" w:color="auto"/>
          <w:color w:val="auto"/>
        </w:rPr>
        <w:t>248</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67</w:t>
      </w:r>
    </w:p>
    <w:p>
      <w:pPr>
        <w:spacing w:after="0" w:line="70"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70</w:t>
      </w:r>
    </w:p>
    <w:p>
      <w:pPr>
        <w:spacing w:after="0" w:line="70"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Consolidated Statements of Operations and Comprehensive Income</w:t>
      </w:r>
      <w:r>
        <w:rPr>
          <w:sz w:val="20"/>
          <w:szCs w:val="20"/>
          <w:color w:val="auto"/>
        </w:rPr>
        <w:tab/>
      </w:r>
      <w:r>
        <w:rPr>
          <w:rFonts w:ascii="Times New Roman" w:cs="Times New Roman" w:eastAsia="Times New Roman" w:hAnsi="Times New Roman"/>
          <w:sz w:val="20"/>
          <w:szCs w:val="20"/>
          <w:color w:val="auto"/>
        </w:rPr>
        <w:t>71</w:t>
      </w:r>
    </w:p>
    <w:p>
      <w:pPr>
        <w:spacing w:after="0" w:line="70"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Consolidated Statements of Stockholders' Equity</w:t>
      </w:r>
      <w:r>
        <w:rPr>
          <w:sz w:val="20"/>
          <w:szCs w:val="20"/>
          <w:color w:val="auto"/>
        </w:rPr>
        <w:tab/>
      </w:r>
      <w:r>
        <w:rPr>
          <w:rFonts w:ascii="Times New Roman" w:cs="Times New Roman" w:eastAsia="Times New Roman" w:hAnsi="Times New Roman"/>
          <w:sz w:val="20"/>
          <w:szCs w:val="20"/>
          <w:color w:val="auto"/>
        </w:rPr>
        <w:t>72</w:t>
      </w:r>
    </w:p>
    <w:p>
      <w:pPr>
        <w:spacing w:after="0" w:line="70"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73</w:t>
      </w:r>
    </w:p>
    <w:p>
      <w:pPr>
        <w:spacing w:after="0" w:line="70" w:lineRule="exact"/>
        <w:rPr>
          <w:sz w:val="20"/>
          <w:szCs w:val="20"/>
          <w:color w:val="auto"/>
        </w:rPr>
      </w:pPr>
    </w:p>
    <w:p>
      <w:pPr>
        <w:ind w:left="640"/>
        <w:spacing w:after="0"/>
        <w:tabs>
          <w:tab w:leader="dot" w:pos="970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74</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1 - Description of the Business and Basis of Presentation</w:t>
      </w:r>
      <w:r>
        <w:rPr>
          <w:sz w:val="20"/>
          <w:szCs w:val="20"/>
          <w:color w:val="auto"/>
        </w:rPr>
        <w:tab/>
      </w:r>
      <w:r>
        <w:rPr>
          <w:rFonts w:ascii="Times New Roman" w:cs="Times New Roman" w:eastAsia="Times New Roman" w:hAnsi="Times New Roman"/>
          <w:sz w:val="20"/>
          <w:szCs w:val="20"/>
          <w:color w:val="auto"/>
        </w:rPr>
        <w:t>74</w:t>
      </w:r>
    </w:p>
    <w:p>
      <w:pPr>
        <w:spacing w:after="0" w:line="27"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2 - Summary of Significant Accounting Policies</w:t>
      </w:r>
      <w:r>
        <w:rPr>
          <w:sz w:val="20"/>
          <w:szCs w:val="20"/>
          <w:color w:val="auto"/>
        </w:rPr>
        <w:tab/>
      </w:r>
      <w:r>
        <w:rPr>
          <w:rFonts w:ascii="Times New Roman" w:cs="Times New Roman" w:eastAsia="Times New Roman" w:hAnsi="Times New Roman"/>
          <w:sz w:val="20"/>
          <w:szCs w:val="20"/>
          <w:color w:val="auto"/>
        </w:rPr>
        <w:t>75</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3 - Revenue from Contracts with Customers</w:t>
      </w:r>
      <w:r>
        <w:rPr>
          <w:sz w:val="20"/>
          <w:szCs w:val="20"/>
          <w:color w:val="auto"/>
        </w:rPr>
        <w:tab/>
      </w:r>
      <w:r>
        <w:rPr>
          <w:rFonts w:ascii="Times New Roman" w:cs="Times New Roman" w:eastAsia="Times New Roman" w:hAnsi="Times New Roman"/>
          <w:sz w:val="20"/>
          <w:szCs w:val="20"/>
          <w:color w:val="auto"/>
        </w:rPr>
        <w:t>83</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4 - Acquisitions and Divestitures</w:t>
      </w:r>
      <w:r>
        <w:rPr>
          <w:sz w:val="20"/>
          <w:szCs w:val="20"/>
          <w:color w:val="auto"/>
        </w:rPr>
        <w:tab/>
      </w:r>
      <w:r>
        <w:rPr>
          <w:rFonts w:ascii="Times New Roman" w:cs="Times New Roman" w:eastAsia="Times New Roman" w:hAnsi="Times New Roman"/>
          <w:sz w:val="20"/>
          <w:szCs w:val="20"/>
          <w:color w:val="auto"/>
        </w:rPr>
        <w:t>84</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5 - Endeavor Energy Resources, LP Acquisition</w:t>
      </w:r>
      <w:r>
        <w:rPr>
          <w:sz w:val="20"/>
          <w:szCs w:val="20"/>
          <w:color w:val="auto"/>
        </w:rPr>
        <w:tab/>
      </w:r>
      <w:r>
        <w:rPr>
          <w:rFonts w:ascii="Times New Roman" w:cs="Times New Roman" w:eastAsia="Times New Roman" w:hAnsi="Times New Roman"/>
          <w:sz w:val="20"/>
          <w:szCs w:val="20"/>
          <w:color w:val="auto"/>
        </w:rPr>
        <w:t>90</w:t>
      </w:r>
    </w:p>
    <w:p>
      <w:pPr>
        <w:spacing w:after="0" w:line="27"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6 - Property and Equipment</w:t>
      </w:r>
      <w:r>
        <w:rPr>
          <w:sz w:val="20"/>
          <w:szCs w:val="20"/>
          <w:color w:val="auto"/>
        </w:rPr>
        <w:tab/>
      </w:r>
      <w:r>
        <w:rPr>
          <w:rFonts w:ascii="Times New Roman" w:cs="Times New Roman" w:eastAsia="Times New Roman" w:hAnsi="Times New Roman"/>
          <w:sz w:val="20"/>
          <w:szCs w:val="20"/>
          <w:color w:val="auto"/>
        </w:rPr>
        <w:t>94</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7 - Asset Retirement Obligations</w:t>
      </w:r>
      <w:r>
        <w:rPr>
          <w:sz w:val="20"/>
          <w:szCs w:val="20"/>
          <w:color w:val="auto"/>
        </w:rPr>
        <w:tab/>
      </w:r>
      <w:r>
        <w:rPr>
          <w:rFonts w:ascii="Times New Roman" w:cs="Times New Roman" w:eastAsia="Times New Roman" w:hAnsi="Times New Roman"/>
          <w:sz w:val="20"/>
          <w:szCs w:val="20"/>
          <w:color w:val="auto"/>
        </w:rPr>
        <w:t>95</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8 - Equity Method Investments and Related Party Transactions</w:t>
      </w:r>
      <w:r>
        <w:rPr>
          <w:sz w:val="20"/>
          <w:szCs w:val="20"/>
          <w:color w:val="auto"/>
        </w:rPr>
        <w:tab/>
      </w:r>
      <w:r>
        <w:rPr>
          <w:rFonts w:ascii="Times New Roman" w:cs="Times New Roman" w:eastAsia="Times New Roman" w:hAnsi="Times New Roman"/>
          <w:sz w:val="20"/>
          <w:szCs w:val="20"/>
          <w:color w:val="auto"/>
        </w:rPr>
        <w:t>95</w:t>
      </w:r>
    </w:p>
    <w:p>
      <w:pPr>
        <w:spacing w:after="0" w:line="24" w:lineRule="exact"/>
        <w:rPr>
          <w:sz w:val="20"/>
          <w:szCs w:val="20"/>
          <w:color w:val="auto"/>
        </w:rPr>
      </w:pPr>
    </w:p>
    <w:p>
      <w:pPr>
        <w:ind w:left="880"/>
        <w:spacing w:after="0"/>
        <w:tabs>
          <w:tab w:leader="dot" w:pos="9700" w:val="left"/>
        </w:tabs>
        <w:rPr>
          <w:sz w:val="20"/>
          <w:szCs w:val="20"/>
          <w:color w:val="auto"/>
        </w:rPr>
      </w:pPr>
      <w:r>
        <w:rPr>
          <w:rFonts w:ascii="Times New Roman" w:cs="Times New Roman" w:eastAsia="Times New Roman" w:hAnsi="Times New Roman"/>
          <w:sz w:val="20"/>
          <w:szCs w:val="20"/>
          <w:color w:val="auto"/>
        </w:rPr>
        <w:t>Note 9 - Debt</w:t>
      </w:r>
      <w:r>
        <w:rPr>
          <w:sz w:val="20"/>
          <w:szCs w:val="20"/>
          <w:color w:val="auto"/>
        </w:rPr>
        <w:tab/>
      </w:r>
      <w:r>
        <w:rPr>
          <w:rFonts w:ascii="Times New Roman" w:cs="Times New Roman" w:eastAsia="Times New Roman" w:hAnsi="Times New Roman"/>
          <w:sz w:val="20"/>
          <w:szCs w:val="20"/>
          <w:color w:val="auto"/>
        </w:rPr>
        <w:t>97</w:t>
      </w:r>
    </w:p>
    <w:p>
      <w:pPr>
        <w:spacing w:after="0" w:line="27"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10 - Stockholders' Equity and Earnings (Loss) Per Share</w:t>
      </w:r>
      <w:r>
        <w:rPr>
          <w:sz w:val="20"/>
          <w:szCs w:val="20"/>
          <w:color w:val="auto"/>
        </w:rPr>
        <w:tab/>
      </w:r>
      <w:r>
        <w:rPr>
          <w:rFonts w:ascii="Times New Roman" w:cs="Times New Roman" w:eastAsia="Times New Roman" w:hAnsi="Times New Roman"/>
          <w:sz w:val="18"/>
          <w:szCs w:val="18"/>
          <w:color w:val="auto"/>
        </w:rPr>
        <w:t>101</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11 - Equity-Based Compensation</w:t>
      </w:r>
      <w:r>
        <w:rPr>
          <w:sz w:val="20"/>
          <w:szCs w:val="20"/>
          <w:color w:val="auto"/>
        </w:rPr>
        <w:tab/>
      </w:r>
      <w:r>
        <w:rPr>
          <w:rFonts w:ascii="Times New Roman" w:cs="Times New Roman" w:eastAsia="Times New Roman" w:hAnsi="Times New Roman"/>
          <w:sz w:val="18"/>
          <w:szCs w:val="18"/>
          <w:color w:val="auto"/>
        </w:rPr>
        <w:t>103</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12 - Income Taxes</w:t>
      </w:r>
      <w:r>
        <w:rPr>
          <w:sz w:val="20"/>
          <w:szCs w:val="20"/>
          <w:color w:val="auto"/>
        </w:rPr>
        <w:tab/>
      </w:r>
      <w:r>
        <w:rPr>
          <w:rFonts w:ascii="Times New Roman" w:cs="Times New Roman" w:eastAsia="Times New Roman" w:hAnsi="Times New Roman"/>
          <w:sz w:val="18"/>
          <w:szCs w:val="18"/>
          <w:color w:val="auto"/>
        </w:rPr>
        <w:t>105</w:t>
      </w:r>
    </w:p>
    <w:p>
      <w:pPr>
        <w:spacing w:after="0" w:line="27"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13 - Derivatives</w:t>
      </w:r>
      <w:r>
        <w:rPr>
          <w:sz w:val="20"/>
          <w:szCs w:val="20"/>
          <w:color w:val="auto"/>
        </w:rPr>
        <w:tab/>
      </w:r>
      <w:r>
        <w:rPr>
          <w:rFonts w:ascii="Times New Roman" w:cs="Times New Roman" w:eastAsia="Times New Roman" w:hAnsi="Times New Roman"/>
          <w:sz w:val="18"/>
          <w:szCs w:val="18"/>
          <w:color w:val="auto"/>
        </w:rPr>
        <w:t>108</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14 - Fair Value Measurements</w:t>
      </w:r>
      <w:r>
        <w:rPr>
          <w:sz w:val="20"/>
          <w:szCs w:val="20"/>
          <w:color w:val="auto"/>
        </w:rPr>
        <w:tab/>
      </w:r>
      <w:r>
        <w:rPr>
          <w:rFonts w:ascii="Times New Roman" w:cs="Times New Roman" w:eastAsia="Times New Roman" w:hAnsi="Times New Roman"/>
          <w:sz w:val="18"/>
          <w:szCs w:val="18"/>
          <w:color w:val="auto"/>
        </w:rPr>
        <w:t>111</w:t>
      </w:r>
    </w:p>
    <w:p>
      <w:pPr>
        <w:spacing w:after="0" w:line="25"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15 - Supplemental Information to Statements of Cash Flows</w:t>
      </w:r>
      <w:r>
        <w:rPr>
          <w:sz w:val="20"/>
          <w:szCs w:val="20"/>
          <w:color w:val="auto"/>
        </w:rPr>
        <w:tab/>
      </w:r>
      <w:r>
        <w:rPr>
          <w:rFonts w:ascii="Times New Roman" w:cs="Times New Roman" w:eastAsia="Times New Roman" w:hAnsi="Times New Roman"/>
          <w:sz w:val="18"/>
          <w:szCs w:val="18"/>
          <w:color w:val="auto"/>
        </w:rPr>
        <w:t>114</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16 - Commitments and Contingencies</w:t>
      </w:r>
      <w:r>
        <w:rPr>
          <w:sz w:val="20"/>
          <w:szCs w:val="20"/>
          <w:color w:val="auto"/>
        </w:rPr>
        <w:tab/>
      </w:r>
      <w:r>
        <w:rPr>
          <w:rFonts w:ascii="Times New Roman" w:cs="Times New Roman" w:eastAsia="Times New Roman" w:hAnsi="Times New Roman"/>
          <w:sz w:val="18"/>
          <w:szCs w:val="18"/>
          <w:color w:val="auto"/>
        </w:rPr>
        <w:t>114</w:t>
      </w:r>
    </w:p>
    <w:p>
      <w:pPr>
        <w:spacing w:after="0" w:line="27"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17 - Subsequent Events</w:t>
      </w:r>
      <w:r>
        <w:rPr>
          <w:sz w:val="20"/>
          <w:szCs w:val="20"/>
          <w:color w:val="auto"/>
        </w:rPr>
        <w:tab/>
      </w:r>
      <w:r>
        <w:rPr>
          <w:rFonts w:ascii="Times New Roman" w:cs="Times New Roman" w:eastAsia="Times New Roman" w:hAnsi="Times New Roman"/>
          <w:sz w:val="18"/>
          <w:szCs w:val="18"/>
          <w:color w:val="auto"/>
        </w:rPr>
        <w:t>116</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18 - Segment Information</w:t>
      </w:r>
      <w:r>
        <w:rPr>
          <w:sz w:val="20"/>
          <w:szCs w:val="20"/>
          <w:color w:val="auto"/>
        </w:rPr>
        <w:tab/>
      </w:r>
      <w:r>
        <w:rPr>
          <w:rFonts w:ascii="Times New Roman" w:cs="Times New Roman" w:eastAsia="Times New Roman" w:hAnsi="Times New Roman"/>
          <w:sz w:val="18"/>
          <w:szCs w:val="18"/>
          <w:color w:val="auto"/>
        </w:rPr>
        <w:t>117</w:t>
      </w:r>
    </w:p>
    <w:p>
      <w:pPr>
        <w:spacing w:after="0" w:line="24" w:lineRule="exact"/>
        <w:rPr>
          <w:sz w:val="20"/>
          <w:szCs w:val="20"/>
          <w:color w:val="auto"/>
        </w:rPr>
      </w:pPr>
    </w:p>
    <w:p>
      <w:pPr>
        <w:ind w:left="880"/>
        <w:spacing w:after="0"/>
        <w:tabs>
          <w:tab w:leader="dot" w:pos="9660" w:val="left"/>
        </w:tabs>
        <w:rPr>
          <w:sz w:val="20"/>
          <w:szCs w:val="20"/>
          <w:color w:val="auto"/>
        </w:rPr>
      </w:pPr>
      <w:r>
        <w:rPr>
          <w:rFonts w:ascii="Times New Roman" w:cs="Times New Roman" w:eastAsia="Times New Roman" w:hAnsi="Times New Roman"/>
          <w:sz w:val="20"/>
          <w:szCs w:val="20"/>
          <w:color w:val="auto"/>
        </w:rPr>
        <w:t>Note 19 - Supplemental Information on Oil and Natural Gas Operations (Unaudited)</w:t>
      </w:r>
      <w:r>
        <w:rPr>
          <w:sz w:val="20"/>
          <w:szCs w:val="20"/>
          <w:color w:val="auto"/>
        </w:rPr>
        <w:tab/>
      </w:r>
      <w:r>
        <w:rPr>
          <w:rFonts w:ascii="Times New Roman" w:cs="Times New Roman" w:eastAsia="Times New Roman" w:hAnsi="Times New Roman"/>
          <w:sz w:val="18"/>
          <w:szCs w:val="18"/>
          <w:color w:val="auto"/>
        </w:rPr>
        <w:t>117</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2. Financial Statement Schedules</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not applicable or the</w:t>
      </w:r>
    </w:p>
    <w:p>
      <w:pPr>
        <w:ind w:left="520"/>
        <w:spacing w:after="0" w:line="207" w:lineRule="auto"/>
        <w:rPr>
          <w:sz w:val="20"/>
          <w:szCs w:val="20"/>
          <w:color w:val="auto"/>
        </w:rPr>
      </w:pPr>
      <w:r>
        <w:rPr>
          <w:rFonts w:ascii="Times New Roman" w:cs="Times New Roman" w:eastAsia="Times New Roman" w:hAnsi="Times New Roman"/>
          <w:sz w:val="20"/>
          <w:szCs w:val="20"/>
          <w:color w:val="auto"/>
        </w:rPr>
        <w:t>information required to be presented is included in the Company’s consolidated financial statements and</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related notes.</w:t>
      </w:r>
    </w:p>
    <w:p>
      <w:pPr>
        <w:sectPr>
          <w:pgSz w:w="12240" w:h="15840" w:orient="portrait"/>
          <w:cols w:equalWidth="0" w:num="1">
            <w:col w:w="9960"/>
          </w:cols>
          <w:pgMar w:left="980" w:top="20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60"/>
          </w:cols>
          <w:pgMar w:left="980" w:top="205" w:right="13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Diamondback Energy, Inc.</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6"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Diamondback Energy, Inc. (a Delaware corporation) and subsidiaries (the “Company”) as of December 31, 2024 and 2023, the related consolidated statements of operations and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7"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and our report dated February 26, 2025 expressed an unqualified opinion.</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8"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left="10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8"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20"/>
          <w:szCs w:val="20"/>
          <w:i w:val="1"/>
          <w:iCs w:val="1"/>
          <w:color w:val="auto"/>
        </w:rPr>
        <w:t>Estimation of proved reserves as it relates to the calculation and recognition of depletion expense and the valuation of acquired reserves in connection with the acquisition of Endeavor’s oil and natural gas properties and proved reserves in connection with the Viper Tumbleweed Acquisitions of mineral and royalty interests</w:t>
      </w:r>
    </w:p>
    <w:p>
      <w:pPr>
        <w:spacing w:after="0" w:line="190"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20"/>
          <w:szCs w:val="20"/>
          <w:color w:val="auto"/>
        </w:rPr>
        <w:t>As described further in Note 2 to the consolidated financial statements, the Company accounts for its oil and natural gas properties using the full cost method of accounting, which requires management to make estimates of proved reserve volumes and future revenues to record depletion expense. Additionally, as described in Notes 4 and 5 to the consolidated financial statements, the Company acquired significant oil and natural gas properties and mineral and royalty interests during the year through the Endeavor and Viper Tumbleweed Acquisitions, respectively. To estimate the volume of reserves and future revenues, management makes significant estimates and assumptions, including forecasting the timing and volumetric amounts of production and corresponding decline rate of producing properties associated with the Company’s development plan. In addition, the estimation of reserves is impacted by management’s judgments and estimates regarding the financial performance of wells to determine if wells are expected, with reasonable certainty, to be economical under the appropriate pricing assumptions. For acquired reserves, management utilizes an estimated fair value pricing model in determining the corresponding value of reserves. We identified the estimation of reserves attributable to oil and natural gas properties,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180"/>
          </w:cols>
          <w:pgMar w:left="980" w:top="205" w:right="1080"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5"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20"/>
          <w:szCs w:val="20"/>
          <w:color w:val="auto"/>
        </w:rPr>
        <w:t>including acquired proved and unproved reserves in the Endeavor Acquisition and acquired proved reserves in the Viper Tumbleweed Acquisitions, due to its impact on depletion expense and acquisition accounting, as a critical audit matter.</w:t>
      </w:r>
    </w:p>
    <w:p>
      <w:pPr>
        <w:spacing w:after="0" w:line="170"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0"/>
          <w:szCs w:val="20"/>
          <w:color w:val="auto"/>
        </w:rPr>
        <w:t>The principal consideration for our determination that the estimation of reserves is a critical audit matter is that changes in certain inputs and assumptions, which require a high degree of subjectivity, necessary to estimate the volume and future revenues of the Company’s reserves, could have a significant impact on the measurement of depletion expense and the fair value of acquired oil and natural gas properties including mineral and royalty interests. In turn, auditing those inputs and assumptions required subjective and complex auditor judgment.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Our audit procedures related to the estimation of reserves included the following, among others.</w:t>
      </w:r>
    </w:p>
    <w:p>
      <w:pPr>
        <w:spacing w:after="0" w:line="250" w:lineRule="exact"/>
        <w:rPr>
          <w:sz w:val="20"/>
          <w:szCs w:val="20"/>
          <w:color w:val="auto"/>
        </w:rPr>
      </w:pPr>
    </w:p>
    <w:p>
      <w:pPr>
        <w:jc w:val="both"/>
        <w:ind w:left="820" w:hanging="360"/>
        <w:spacing w:after="0" w:line="268" w:lineRule="auto"/>
        <w:tabs>
          <w:tab w:leader="none" w:pos="8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design and operating effectiveness of key controls relating to management’s estimation of reserves for the purpose of calculating depletion expense and management’s estimation of the fair value of the acquired oil and natural gas properties in the Endeavor and Viper Tumbleweed Acquisitions.</w:t>
      </w:r>
    </w:p>
    <w:p>
      <w:pPr>
        <w:spacing w:after="0" w:line="187" w:lineRule="exact"/>
        <w:rPr>
          <w:rFonts w:ascii="Times New Roman" w:cs="Times New Roman" w:eastAsia="Times New Roman" w:hAnsi="Times New Roman"/>
          <w:sz w:val="20"/>
          <w:szCs w:val="20"/>
          <w:color w:val="auto"/>
        </w:rPr>
      </w:pPr>
    </w:p>
    <w:p>
      <w:pPr>
        <w:jc w:val="both"/>
        <w:ind w:left="820" w:hanging="360"/>
        <w:spacing w:after="0" w:line="262" w:lineRule="auto"/>
        <w:tabs>
          <w:tab w:leader="none" w:pos="8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reserve volumes, and read the report of the Company’s independent petroleum engineering specialists.</w:t>
      </w:r>
    </w:p>
    <w:p>
      <w:pPr>
        <w:spacing w:after="0" w:line="193" w:lineRule="exact"/>
        <w:rPr>
          <w:rFonts w:ascii="Times New Roman" w:cs="Times New Roman" w:eastAsia="Times New Roman" w:hAnsi="Times New Roman"/>
          <w:sz w:val="20"/>
          <w:szCs w:val="20"/>
          <w:color w:val="auto"/>
        </w:rPr>
      </w:pPr>
    </w:p>
    <w:p>
      <w:pPr>
        <w:ind w:left="820" w:hanging="360"/>
        <w:spacing w:after="0" w:line="289" w:lineRule="auto"/>
        <w:tabs>
          <w:tab w:leader="none" w:pos="8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inputs and assumptions that were significant to the period end determination of proved reserve volumes and tested management’s process of determining the significant inputs and assumptions, as follows:</w:t>
      </w:r>
    </w:p>
    <w:p>
      <w:pPr>
        <w:spacing w:after="0" w:line="166" w:lineRule="exact"/>
        <w:rPr>
          <w:rFonts w:ascii="Times New Roman" w:cs="Times New Roman" w:eastAsia="Times New Roman" w:hAnsi="Times New Roman"/>
          <w:sz w:val="20"/>
          <w:szCs w:val="20"/>
          <w:color w:val="auto"/>
        </w:rPr>
      </w:pPr>
    </w:p>
    <w:p>
      <w:pPr>
        <w:ind w:left="1540" w:right="40" w:hanging="360"/>
        <w:spacing w:after="0" w:line="286"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estimated pricing and pricing differentials used in the reserve report to realized prices related to revenue transactions recorded in the current year for the pricing differentials;</w:t>
      </w:r>
    </w:p>
    <w:p>
      <w:pPr>
        <w:spacing w:after="0" w:line="169" w:lineRule="exact"/>
        <w:rPr>
          <w:rFonts w:ascii="Times New Roman" w:cs="Times New Roman" w:eastAsia="Times New Roman" w:hAnsi="Times New Roman"/>
          <w:sz w:val="20"/>
          <w:szCs w:val="20"/>
          <w:color w:val="auto"/>
        </w:rPr>
      </w:pPr>
    </w:p>
    <w:p>
      <w:pPr>
        <w:ind w:left="1540" w:right="220" w:hanging="360"/>
        <w:spacing w:after="0" w:line="289"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Assessed the reasonableness of forecasted capital expenditures by comparing drilling forecasts applied in the reserve report to recent drilling costs;</w:t>
      </w:r>
    </w:p>
    <w:p>
      <w:pPr>
        <w:spacing w:after="0" w:line="163" w:lineRule="exact"/>
        <w:rPr>
          <w:rFonts w:ascii="Times New Roman" w:cs="Times New Roman" w:eastAsia="Times New Roman" w:hAnsi="Times New Roman"/>
          <w:sz w:val="20"/>
          <w:szCs w:val="20"/>
          <w:color w:val="auto"/>
        </w:rPr>
      </w:pPr>
    </w:p>
    <w:p>
      <w:pPr>
        <w:ind w:left="1540" w:right="180" w:hanging="360"/>
        <w:spacing w:after="0" w:line="261"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Vouched, on a sample basis, the working and net revenue interests used in the reserve report to underlying land and division order records;</w:t>
      </w:r>
    </w:p>
    <w:p>
      <w:pPr>
        <w:spacing w:after="0" w:line="169" w:lineRule="exact"/>
        <w:rPr>
          <w:rFonts w:ascii="Times New Roman" w:cs="Times New Roman" w:eastAsia="Times New Roman" w:hAnsi="Times New Roman"/>
          <w:sz w:val="20"/>
          <w:szCs w:val="20"/>
          <w:color w:val="auto"/>
        </w:rPr>
      </w:pPr>
    </w:p>
    <w:p>
      <w:pPr>
        <w:jc w:val="both"/>
        <w:ind w:left="1540" w:hanging="360"/>
        <w:spacing w:after="0" w:line="262"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spacing w:after="0" w:line="193" w:lineRule="exact"/>
        <w:rPr>
          <w:rFonts w:ascii="Times New Roman" w:cs="Times New Roman" w:eastAsia="Times New Roman" w:hAnsi="Times New Roman"/>
          <w:sz w:val="20"/>
          <w:szCs w:val="20"/>
          <w:color w:val="auto"/>
        </w:rPr>
      </w:pPr>
    </w:p>
    <w:p>
      <w:pPr>
        <w:jc w:val="both"/>
        <w:ind w:left="1540" w:hanging="360"/>
        <w:spacing w:after="0" w:line="268"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Obtained evidence supporting the amount of development of proved undeveloped properties reflected in the reserve report and compared future development plans to historical conversion rates to evaluate the likelihood of development related to the proved undeveloped properties; and</w:t>
      </w:r>
    </w:p>
    <w:p>
      <w:pPr>
        <w:spacing w:after="0" w:line="187" w:lineRule="exact"/>
        <w:rPr>
          <w:rFonts w:ascii="Times New Roman" w:cs="Times New Roman" w:eastAsia="Times New Roman" w:hAnsi="Times New Roman"/>
          <w:sz w:val="20"/>
          <w:szCs w:val="20"/>
          <w:color w:val="auto"/>
        </w:rPr>
      </w:pPr>
    </w:p>
    <w:p>
      <w:pPr>
        <w:ind w:left="1540" w:hanging="360"/>
        <w:spacing w:after="0" w:line="289"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Applied analytical procedures on inputs to the reserve report by comparing to historical actual results and to the prior year reserve report.</w:t>
      </w:r>
    </w:p>
    <w:p>
      <w:pPr>
        <w:spacing w:after="0" w:line="166" w:lineRule="exact"/>
        <w:rPr>
          <w:rFonts w:ascii="Times New Roman" w:cs="Times New Roman" w:eastAsia="Times New Roman" w:hAnsi="Times New Roman"/>
          <w:sz w:val="20"/>
          <w:szCs w:val="20"/>
          <w:color w:val="auto"/>
        </w:rPr>
      </w:pPr>
    </w:p>
    <w:p>
      <w:pPr>
        <w:jc w:val="both"/>
        <w:ind w:left="820" w:hanging="360"/>
        <w:spacing w:after="0" w:line="268" w:lineRule="auto"/>
        <w:tabs>
          <w:tab w:leader="none" w:pos="8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inputs and assumptions that were significant to the estimated fair value of the acquired oil and natural gas properties in the Endeavor and Viper Tumbleweed Acquisitions and tested management’s process of determining the significant inputs and assumptions, as follows:</w:t>
      </w:r>
    </w:p>
    <w:p>
      <w:pPr>
        <w:spacing w:after="0" w:line="187" w:lineRule="exact"/>
        <w:rPr>
          <w:rFonts w:ascii="Times New Roman" w:cs="Times New Roman" w:eastAsia="Times New Roman" w:hAnsi="Times New Roman"/>
          <w:sz w:val="20"/>
          <w:szCs w:val="20"/>
          <w:color w:val="auto"/>
        </w:rPr>
      </w:pPr>
    </w:p>
    <w:p>
      <w:pPr>
        <w:jc w:val="both"/>
        <w:ind w:left="1540" w:hanging="361"/>
        <w:spacing w:after="0" w:line="268"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fair value pricing, including pricing differentials, used in the fair value reserve reports by comparing the pricing forecast to published product pricing as of the acquisition closing dates and pricing differentials to actual historical realized pricing of the acquired properties;</w:t>
      </w:r>
    </w:p>
    <w:p>
      <w:pPr>
        <w:spacing w:after="0" w:line="187" w:lineRule="exact"/>
        <w:rPr>
          <w:rFonts w:ascii="Times New Roman" w:cs="Times New Roman" w:eastAsia="Times New Roman" w:hAnsi="Times New Roman"/>
          <w:sz w:val="20"/>
          <w:szCs w:val="20"/>
          <w:color w:val="auto"/>
        </w:rPr>
      </w:pPr>
    </w:p>
    <w:p>
      <w:pPr>
        <w:ind w:left="1540" w:right="380" w:hanging="361"/>
        <w:spacing w:after="0" w:line="261"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level of knowledge, skill and ability of specialists utilized by the Company to assist in the preparation of the estimates of fair value of oil and natural gas properties acquired;</w:t>
      </w:r>
    </w:p>
    <w:p>
      <w:pPr>
        <w:spacing w:after="0" w:line="169" w:lineRule="exact"/>
        <w:rPr>
          <w:rFonts w:ascii="Times New Roman" w:cs="Times New Roman" w:eastAsia="Times New Roman" w:hAnsi="Times New Roman"/>
          <w:sz w:val="20"/>
          <w:szCs w:val="20"/>
          <w:color w:val="auto"/>
        </w:rPr>
      </w:pPr>
    </w:p>
    <w:p>
      <w:pPr>
        <w:jc w:val="both"/>
        <w:ind w:left="1540" w:hanging="360"/>
        <w:spacing w:after="0" w:line="268"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Utilized a valuation specialist to evaluate the reasonableness of the Company’s valuation methodology of the Endeavor Acquisition, including testing key inputs and assumptions by understanding and assessing the process used to develop the estimate or through development of an independent expectation;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180"/>
          </w:cols>
          <w:pgMar w:left="980" w:top="205" w:right="1080"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2" w:lineRule="exact"/>
        <w:rPr>
          <w:sz w:val="20"/>
          <w:szCs w:val="20"/>
          <w:color w:val="auto"/>
        </w:rPr>
      </w:pPr>
    </w:p>
    <w:p>
      <w:pPr>
        <w:ind w:left="1540" w:right="180" w:hanging="360"/>
        <w:spacing w:after="0" w:line="261"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the discount rate used in the Tumbleweed Acquisitions fair value reserve reports of proved reserves by comparing to Viper’s actual weighted average cost of capital;</w:t>
      </w:r>
    </w:p>
    <w:p>
      <w:pPr>
        <w:spacing w:after="0" w:line="169" w:lineRule="exact"/>
        <w:rPr>
          <w:rFonts w:ascii="Times New Roman" w:cs="Times New Roman" w:eastAsia="Times New Roman" w:hAnsi="Times New Roman"/>
          <w:sz w:val="20"/>
          <w:szCs w:val="20"/>
          <w:color w:val="auto"/>
        </w:rPr>
      </w:pPr>
    </w:p>
    <w:p>
      <w:pPr>
        <w:jc w:val="both"/>
        <w:ind w:left="1540" w:hanging="360"/>
        <w:spacing w:after="0" w:line="268"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appropriateness of the future operating cost and capital expenditure assumptions used in the Endeavor Acquisition fair value reserve report by comparing forecasted amounts to historical operating costs and to recent drilling costs;</w:t>
      </w:r>
    </w:p>
    <w:p>
      <w:pPr>
        <w:spacing w:after="0" w:line="187" w:lineRule="exact"/>
        <w:rPr>
          <w:rFonts w:ascii="Times New Roman" w:cs="Times New Roman" w:eastAsia="Times New Roman" w:hAnsi="Times New Roman"/>
          <w:sz w:val="20"/>
          <w:szCs w:val="20"/>
          <w:color w:val="auto"/>
        </w:rPr>
      </w:pPr>
    </w:p>
    <w:p>
      <w:pPr>
        <w:ind w:left="1540" w:hanging="360"/>
        <w:spacing w:after="0" w:line="289"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on a sample basis, the working interest, as applicable, and net revenue interests used in the fair value reserve reports to the purchase and sale agreements or historical reserve reports;</w:t>
      </w:r>
    </w:p>
    <w:p>
      <w:pPr>
        <w:spacing w:after="0" w:line="166" w:lineRule="exact"/>
        <w:rPr>
          <w:rFonts w:ascii="Times New Roman" w:cs="Times New Roman" w:eastAsia="Times New Roman" w:hAnsi="Times New Roman"/>
          <w:sz w:val="20"/>
          <w:szCs w:val="20"/>
          <w:color w:val="auto"/>
        </w:rPr>
      </w:pPr>
    </w:p>
    <w:p>
      <w:pPr>
        <w:jc w:val="both"/>
        <w:ind w:left="1540" w:hanging="360"/>
        <w:spacing w:after="0" w:line="268"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Tested the accuracy of forecasted production estimates in the fair value reserve reports by comparing forecasted production amounts to the actual historical production amounts and to the forecasted production in the year-end reserve report for a sample of individual wells;</w:t>
      </w:r>
    </w:p>
    <w:p>
      <w:pPr>
        <w:spacing w:after="0" w:line="187" w:lineRule="exact"/>
        <w:rPr>
          <w:rFonts w:ascii="Times New Roman" w:cs="Times New Roman" w:eastAsia="Times New Roman" w:hAnsi="Times New Roman"/>
          <w:sz w:val="20"/>
          <w:szCs w:val="20"/>
          <w:color w:val="auto"/>
        </w:rPr>
      </w:pPr>
    </w:p>
    <w:p>
      <w:pPr>
        <w:jc w:val="both"/>
        <w:ind w:left="1540" w:hanging="360"/>
        <w:spacing w:after="0" w:line="268"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Applied analytical procedures on the fair value reserve reports’ forecasted production by comparing to the prior year reserve reports’ forecasted production and to the year-end reserve reports’ forecasted production of the acquired proved properties; and</w:t>
      </w:r>
    </w:p>
    <w:p>
      <w:pPr>
        <w:spacing w:after="0" w:line="187" w:lineRule="exact"/>
        <w:rPr>
          <w:rFonts w:ascii="Times New Roman" w:cs="Times New Roman" w:eastAsia="Times New Roman" w:hAnsi="Times New Roman"/>
          <w:sz w:val="20"/>
          <w:szCs w:val="20"/>
          <w:color w:val="auto"/>
        </w:rPr>
      </w:pPr>
    </w:p>
    <w:p>
      <w:pPr>
        <w:ind w:left="1540" w:hanging="360"/>
        <w:spacing w:after="0" w:line="289" w:lineRule="auto"/>
        <w:tabs>
          <w:tab w:leader="none" w:pos="15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unproved acreage value allocated to other recent acquisitions in the same or similar locations.</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180"/>
          </w:cols>
          <w:pgMar w:left="980" w:top="205" w:right="1080"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5"/>
        </w:trPr>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6400" w:type="dxa"/>
            <w:vAlign w:val="bottom"/>
            <w:gridSpan w:val="2"/>
            <w:vMerge w:val="restart"/>
          </w:tcPr>
          <w:p>
            <w:pPr>
              <w:jc w:val="center"/>
              <w:ind w:left="1073"/>
              <w:spacing w:after="0"/>
              <w:rPr>
                <w:sz w:val="20"/>
                <w:szCs w:val="20"/>
                <w:color w:val="auto"/>
              </w:rPr>
            </w:pPr>
            <w:r>
              <w:rPr>
                <w:rFonts w:ascii="Times New Roman" w:cs="Times New Roman" w:eastAsia="Times New Roman" w:hAnsi="Times New Roman"/>
                <w:sz w:val="20"/>
                <w:szCs w:val="20"/>
                <w:b w:val="1"/>
                <w:bCs w:val="1"/>
                <w:color w:val="auto"/>
                <w:w w:val="98"/>
              </w:rPr>
              <w:t>Diamondback Energy, Inc. and Subsidiaries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0" w:type="dxa"/>
            <w:vAlign w:val="bottom"/>
            <w:gridSpan w:val="2"/>
          </w:tcPr>
          <w:p>
            <w:pPr>
              <w:jc w:val="center"/>
              <w:ind w:left="1113"/>
              <w:spacing w:after="0"/>
              <w:rPr>
                <w:sz w:val="20"/>
                <w:szCs w:val="20"/>
                <w:color w:val="auto"/>
              </w:rPr>
            </w:pPr>
            <w:r>
              <w:rPr>
                <w:rFonts w:ascii="Times New Roman" w:cs="Times New Roman" w:eastAsia="Times New Roman" w:hAnsi="Times New Roman"/>
                <w:sz w:val="20"/>
                <w:szCs w:val="20"/>
                <w:b w:val="1"/>
                <w:bCs w:val="1"/>
                <w:color w:val="auto"/>
                <w:w w:val="99"/>
              </w:rPr>
              <w:t>Consolidated Balance Sheets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center"/>
              <w:ind w:right="155"/>
              <w:spacing w:after="0"/>
              <w:rPr>
                <w:sz w:val="20"/>
                <w:szCs w:val="20"/>
                <w:color w:val="auto"/>
              </w:rPr>
            </w:pPr>
            <w:r>
              <w:rPr>
                <w:rFonts w:ascii="Times New Roman" w:cs="Times New Roman" w:eastAsia="Times New Roman" w:hAnsi="Times New Roman"/>
                <w:sz w:val="15"/>
                <w:szCs w:val="15"/>
                <w:b w:val="1"/>
                <w:bCs w:val="1"/>
                <w:color w:val="auto"/>
                <w:w w:val="98"/>
              </w:rPr>
              <w:t>(In millions, except par value and</w:t>
            </w: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left="496"/>
              <w:spacing w:after="0"/>
              <w:rPr>
                <w:sz w:val="20"/>
                <w:szCs w:val="20"/>
                <w:color w:val="auto"/>
              </w:rPr>
            </w:pPr>
            <w:r>
              <w:rPr>
                <w:rFonts w:ascii="Times New Roman" w:cs="Times New Roman" w:eastAsia="Times New Roman" w:hAnsi="Times New Roman"/>
                <w:sz w:val="15"/>
                <w:szCs w:val="15"/>
                <w:b w:val="1"/>
                <w:bCs w:val="1"/>
                <w:color w:val="auto"/>
                <w:w w:val="99"/>
              </w:rPr>
              <w:t>share amounts)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4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Cash and cash equivalents ($27 million and $26 million related to Viper) </w:t>
            </w:r>
            <w:r>
              <w:rPr>
                <w:rFonts w:ascii="Times New Roman" w:cs="Times New Roman" w:eastAsia="Times New Roman" w:hAnsi="Times New Roman"/>
                <w:sz w:val="17"/>
                <w:szCs w:val="17"/>
                <w:color w:val="B3B3B3"/>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40"/>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Restricted</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6"/>
              </w:rPr>
              <w:t>cash</w:t>
            </w:r>
            <w:r>
              <w:rPr>
                <w:rFonts w:ascii="Times New Roman" w:cs="Times New Roman" w:eastAsia="Times New Roman" w:hAnsi="Times New Roman"/>
                <w:sz w:val="17"/>
                <w:szCs w:val="17"/>
                <w:color w:val="B3B3B3"/>
                <w:w w:val="96"/>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0"/>
        </w:trPr>
        <w:tc>
          <w:tcPr>
            <w:tcW w:w="7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69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w w:val="97"/>
              </w:rPr>
              <w:t xml:space="preserve">Joint interest and other, net </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40"/>
        </w:trPr>
        <w:tc>
          <w:tcPr>
            <w:tcW w:w="774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Oil and natural gas sales, net ($149 million and $109 million related to Viper) </w:t>
            </w:r>
            <w:r>
              <w:rPr>
                <w:rFonts w:ascii="Times New Roman" w:cs="Times New Roman" w:eastAsia="Times New Roman" w:hAnsi="Times New Roman"/>
                <w:sz w:val="17"/>
                <w:szCs w:val="17"/>
                <w:color w:val="B3B3B3"/>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40"/>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w w:val="99"/>
              </w:rPr>
              <w:t>Inventories</w:t>
            </w:r>
          </w:p>
        </w:tc>
        <w:tc>
          <w:tcPr>
            <w:tcW w:w="6380" w:type="dxa"/>
            <w:vAlign w:val="bottom"/>
          </w:tcPr>
          <w:p>
            <w:pPr>
              <w:jc w:val="right"/>
              <w:spacing w:after="0"/>
              <w:rPr>
                <w:sz w:val="20"/>
                <w:szCs w:val="20"/>
                <w:color w:val="auto"/>
              </w:rPr>
            </w:pPr>
            <w:r>
              <w:rPr>
                <w:rFonts w:ascii="Times New Roman" w:cs="Times New Roman" w:eastAsia="Times New Roman" w:hAnsi="Times New Roman"/>
                <w:sz w:val="17"/>
                <w:szCs w:val="17"/>
                <w:color w:val="B3B3B3"/>
                <w:w w:val="96"/>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40"/>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Derivative</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6"/>
              </w:rPr>
              <w:t>instruments</w:t>
            </w:r>
            <w:r>
              <w:rPr>
                <w:rFonts w:ascii="Times New Roman" w:cs="Times New Roman" w:eastAsia="Times New Roman" w:hAnsi="Times New Roman"/>
                <w:sz w:val="17"/>
                <w:szCs w:val="17"/>
                <w:color w:val="B3B3B3"/>
                <w:w w:val="96"/>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42"/>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Prepaid expenses and other current assets</w:t>
            </w:r>
            <w:r>
              <w:rPr>
                <w:rFonts w:ascii="Times New Roman" w:cs="Times New Roman" w:eastAsia="Times New Roman" w:hAnsi="Times New Roman"/>
                <w:sz w:val="17"/>
                <w:szCs w:val="17"/>
                <w:color w:val="B3B3B3"/>
                <w:w w:val="97"/>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B3B3B3"/>
                <w:w w:val="97"/>
              </w:rPr>
              <w:t>.....................................................................................................................................</w:t>
            </w:r>
            <w:r>
              <w:rPr>
                <w:rFonts w:ascii="Times New Roman" w:cs="Times New Roman" w:eastAsia="Times New Roman" w:hAnsi="Times New Roman"/>
                <w:sz w:val="17"/>
                <w:szCs w:val="17"/>
                <w:color w:val="000000"/>
                <w:w w:val="97"/>
              </w:rPr>
              <w:t>currentassets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0" w:type="dxa"/>
            <w:vAlign w:val="bottom"/>
          </w:tcPr>
          <w:p>
            <w:pPr>
              <w:spacing w:after="0"/>
              <w:rPr>
                <w:sz w:val="1"/>
                <w:szCs w:val="1"/>
                <w:color w:val="auto"/>
              </w:rPr>
            </w:pPr>
          </w:p>
        </w:tc>
      </w:tr>
      <w:tr>
        <w:trPr>
          <w:trHeight w:val="197"/>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740" w:type="dxa"/>
            <w:vAlign w:val="bottom"/>
            <w:gridSpan w:val="5"/>
          </w:tcPr>
          <w:p>
            <w:pPr>
              <w:ind w:left="360"/>
              <w:spacing w:after="0" w:line="177" w:lineRule="exact"/>
              <w:rPr>
                <w:sz w:val="20"/>
                <w:szCs w:val="20"/>
                <w:color w:val="auto"/>
              </w:rPr>
            </w:pPr>
            <w:r>
              <w:rPr>
                <w:rFonts w:ascii="Times New Roman" w:cs="Times New Roman" w:eastAsia="Times New Roman" w:hAnsi="Times New Roman"/>
                <w:sz w:val="17"/>
                <w:szCs w:val="17"/>
                <w:color w:val="auto"/>
              </w:rPr>
              <w:t>Oil and natural gas properties, full cost method of accounting ($22,666 million and $8,659 million</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40" w:type="dxa"/>
            <w:vAlign w:val="bottom"/>
            <w:gridSpan w:val="5"/>
          </w:tcPr>
          <w:p>
            <w:pPr>
              <w:ind w:left="360"/>
              <w:spacing w:after="0" w:line="171" w:lineRule="exact"/>
              <w:rPr>
                <w:sz w:val="20"/>
                <w:szCs w:val="20"/>
                <w:color w:val="auto"/>
              </w:rPr>
            </w:pPr>
            <w:r>
              <w:rPr>
                <w:rFonts w:ascii="Times New Roman" w:cs="Times New Roman" w:eastAsia="Times New Roman" w:hAnsi="Times New Roman"/>
                <w:sz w:val="17"/>
                <w:szCs w:val="17"/>
                <w:color w:val="auto"/>
              </w:rPr>
              <w:t>excluded from amortization at December 31, 2024 and December 31, 2023, respectively) ($5,713 million</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40" w:type="dxa"/>
            <w:vAlign w:val="bottom"/>
            <w:gridSpan w:val="5"/>
          </w:tcPr>
          <w:p>
            <w:pPr>
              <w:ind w:left="360"/>
              <w:spacing w:after="0" w:line="168" w:lineRule="exact"/>
              <w:rPr>
                <w:sz w:val="20"/>
                <w:szCs w:val="20"/>
                <w:color w:val="auto"/>
              </w:rPr>
            </w:pPr>
            <w:r>
              <w:rPr>
                <w:rFonts w:ascii="Times New Roman" w:cs="Times New Roman" w:eastAsia="Times New Roman" w:hAnsi="Times New Roman"/>
                <w:sz w:val="17"/>
                <w:szCs w:val="17"/>
                <w:color w:val="auto"/>
              </w:rPr>
              <w:t>and $4,629 million related to Viper and $2,180 million and $1,769 million excluded from amortization</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82,240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42,430</w:t>
            </w:r>
          </w:p>
        </w:tc>
        <w:tc>
          <w:tcPr>
            <w:tcW w:w="0" w:type="dxa"/>
            <w:vAlign w:val="bottom"/>
          </w:tcPr>
          <w:p>
            <w:pPr>
              <w:spacing w:after="0"/>
              <w:rPr>
                <w:sz w:val="1"/>
                <w:szCs w:val="1"/>
                <w:color w:val="auto"/>
              </w:rPr>
            </w:pPr>
          </w:p>
        </w:tc>
      </w:tr>
      <w:tr>
        <w:trPr>
          <w:trHeight w:val="229"/>
        </w:trPr>
        <w:tc>
          <w:tcPr>
            <w:tcW w:w="8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related</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66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w w:val="95"/>
              </w:rPr>
              <w:t>Viper)</w:t>
            </w:r>
            <w:r>
              <w:rPr>
                <w:rFonts w:ascii="Times New Roman" w:cs="Times New Roman" w:eastAsia="Times New Roman" w:hAnsi="Times New Roman"/>
                <w:sz w:val="17"/>
                <w:szCs w:val="17"/>
                <w:color w:val="B3B3B3"/>
                <w:w w:val="95"/>
              </w:rPr>
              <w:t>..................................................................................................................................................</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Other property, equipment and land</w:t>
            </w:r>
            <w:r>
              <w:rPr>
                <w:rFonts w:ascii="Times New Roman" w:cs="Times New Roman" w:eastAsia="Times New Roman" w:hAnsi="Times New Roman"/>
                <w:sz w:val="17"/>
                <w:szCs w:val="17"/>
                <w:color w:val="B3B3B3"/>
                <w:w w:val="97"/>
              </w:rPr>
              <w: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12"/>
        </w:trPr>
        <w:tc>
          <w:tcPr>
            <w:tcW w:w="7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Accumulated depletion, depreciation, amortization and impairment ($1,081 million and $866 million</w:t>
            </w: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(19,208)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(16,429)</w:t>
            </w:r>
          </w:p>
        </w:tc>
        <w:tc>
          <w:tcPr>
            <w:tcW w:w="0" w:type="dxa"/>
            <w:vAlign w:val="bottom"/>
          </w:tcPr>
          <w:p>
            <w:pPr>
              <w:spacing w:after="0"/>
              <w:rPr>
                <w:sz w:val="1"/>
                <w:szCs w:val="1"/>
                <w:color w:val="auto"/>
              </w:rPr>
            </w:pPr>
          </w:p>
        </w:tc>
      </w:tr>
      <w:tr>
        <w:trPr>
          <w:trHeight w:val="228"/>
        </w:trPr>
        <w:tc>
          <w:tcPr>
            <w:tcW w:w="7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related to Viper) </w:t>
            </w:r>
            <w:r>
              <w:rPr>
                <w:rFonts w:ascii="Times New Roman" w:cs="Times New Roman" w:eastAsia="Times New Roman" w:hAnsi="Times New Roman"/>
                <w:sz w:val="17"/>
                <w:szCs w:val="17"/>
                <w:color w:val="B3B3B3"/>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69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Propertyandequipment,net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64,472</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26,674</w:t>
            </w:r>
          </w:p>
        </w:tc>
        <w:tc>
          <w:tcPr>
            <w:tcW w:w="0" w:type="dxa"/>
            <w:vAlign w:val="bottom"/>
          </w:tcPr>
          <w:p>
            <w:pPr>
              <w:spacing w:after="0"/>
              <w:rPr>
                <w:sz w:val="1"/>
                <w:szCs w:val="1"/>
                <w:color w:val="auto"/>
              </w:rPr>
            </w:pPr>
          </w:p>
        </w:tc>
      </w:tr>
      <w:tr>
        <w:trPr>
          <w:trHeight w:val="225"/>
        </w:trPr>
        <w:tc>
          <w:tcPr>
            <w:tcW w:w="774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B3B3B3"/>
                <w:w w:val="99"/>
              </w:rPr>
              <w:t>..................................................................................................................................................</w:t>
            </w:r>
            <w:r>
              <w:rPr>
                <w:rFonts w:ascii="Times New Roman" w:cs="Times New Roman" w:eastAsia="Times New Roman" w:hAnsi="Times New Roman"/>
                <w:sz w:val="17"/>
                <w:szCs w:val="17"/>
                <w:color w:val="000000"/>
                <w:w w:val="99"/>
              </w:rPr>
              <w:t>Fundsheldinescrow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method</w:t>
            </w:r>
          </w:p>
        </w:tc>
        <w:tc>
          <w:tcPr>
            <w:tcW w:w="66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w w:val="96"/>
              </w:rPr>
              <w:t>investments</w:t>
            </w:r>
            <w:r>
              <w:rPr>
                <w:rFonts w:ascii="Times New Roman" w:cs="Times New Roman" w:eastAsia="Times New Roman" w:hAnsi="Times New Roman"/>
                <w:sz w:val="17"/>
                <w:szCs w:val="17"/>
                <w:color w:val="B3B3B3"/>
                <w:w w:val="96"/>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Derivative</w:t>
            </w:r>
          </w:p>
        </w:tc>
        <w:tc>
          <w:tcPr>
            <w:tcW w:w="69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w w:val="98"/>
              </w:rPr>
              <w:t>instruments</w:t>
            </w:r>
            <w:r>
              <w:rPr>
                <w:rFonts w:ascii="Times New Roman" w:cs="Times New Roman" w:eastAsia="Times New Roman" w:hAnsi="Times New Roman"/>
                <w:sz w:val="17"/>
                <w:szCs w:val="17"/>
                <w:color w:val="B3B3B3"/>
                <w:w w:val="98"/>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0"/>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Deferred income taxes, net ($185 million and $57 million related to Viper)</w:t>
            </w:r>
            <w:r>
              <w:rPr>
                <w:rFonts w:ascii="Times New Roman" w:cs="Times New Roman" w:eastAsia="Times New Roman" w:hAnsi="Times New Roman"/>
                <w:sz w:val="17"/>
                <w:szCs w:val="17"/>
                <w:color w:val="B3B3B3"/>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42"/>
        </w:trPr>
        <w:tc>
          <w:tcPr>
            <w:tcW w:w="1340" w:type="dxa"/>
            <w:vAlign w:val="bottom"/>
            <w:gridSpan w:val="3"/>
          </w:tcPr>
          <w:p>
            <w:pPr>
              <w:spacing w:after="0"/>
              <w:rPr>
                <w:sz w:val="20"/>
                <w:szCs w:val="20"/>
                <w:color w:val="auto"/>
              </w:rPr>
            </w:pPr>
            <w:r>
              <w:rPr>
                <w:rFonts w:ascii="Times New Roman" w:cs="Times New Roman" w:eastAsia="Times New Roman" w:hAnsi="Times New Roman"/>
                <w:sz w:val="4"/>
                <w:szCs w:val="4"/>
                <w:color w:val="auto"/>
                <w:w w:val="72"/>
              </w:rPr>
              <w:t xml:space="preserve">Other  assets </w:t>
            </w:r>
            <w:r>
              <w:rPr>
                <w:rFonts w:ascii="Times New Roman" w:cs="Times New Roman" w:eastAsia="Times New Roman" w:hAnsi="Times New Roman"/>
                <w:sz w:val="4"/>
                <w:szCs w:val="4"/>
                <w:color w:val="B3B3B3"/>
                <w:w w:val="72"/>
              </w:rPr>
              <w:t>.................................................................................................................................................................</w:t>
            </w: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B3B3B3"/>
                <w:w w:val="96"/>
              </w:rPr>
              <w:t>.................................................................................................................................................</w:t>
            </w:r>
            <w:r>
              <w:rPr>
                <w:rFonts w:ascii="Times New Roman" w:cs="Times New Roman" w:eastAsia="Times New Roman" w:hAnsi="Times New Roman"/>
                <w:sz w:val="17"/>
                <w:szCs w:val="17"/>
                <w:color w:val="000000"/>
                <w:w w:val="96"/>
              </w:rPr>
              <w:t>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5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29,001</w:t>
            </w:r>
          </w:p>
        </w:tc>
        <w:tc>
          <w:tcPr>
            <w:tcW w:w="0" w:type="dxa"/>
            <w:vAlign w:val="bottom"/>
          </w:tcPr>
          <w:p>
            <w:pPr>
              <w:spacing w:after="0"/>
              <w:rPr>
                <w:sz w:val="1"/>
                <w:szCs w:val="1"/>
                <w:color w:val="auto"/>
              </w:rPr>
            </w:pPr>
          </w:p>
        </w:tc>
      </w:tr>
      <w:tr>
        <w:trPr>
          <w:trHeight w:val="20"/>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40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7"/>
                <w:szCs w:val="17"/>
                <w:b w:val="1"/>
                <w:bCs w:val="1"/>
                <w:color w:val="auto"/>
                <w:w w:val="99"/>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40" w:type="dxa"/>
            <w:vAlign w:val="bottom"/>
            <w:gridSpan w:val="3"/>
            <w:vMerge w:val="continue"/>
          </w:tcPr>
          <w:p>
            <w:pPr>
              <w:spacing w:after="0"/>
              <w:rPr>
                <w:sz w:val="16"/>
                <w:szCs w:val="16"/>
                <w:color w:val="auto"/>
              </w:rPr>
            </w:pPr>
          </w:p>
        </w:tc>
        <w:tc>
          <w:tcPr>
            <w:tcW w:w="6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40" w:type="dxa"/>
            <w:vAlign w:val="bottom"/>
            <w:gridSpan w:val="3"/>
            <w:vMerge w:val="continue"/>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 xml:space="preserve">Accounts payable - trade </w:t>
            </w:r>
            <w:r>
              <w:rPr>
                <w:rFonts w:ascii="Times New Roman" w:cs="Times New Roman" w:eastAsia="Times New Roman" w:hAnsi="Times New Roman"/>
                <w:sz w:val="17"/>
                <w:szCs w:val="17"/>
                <w:color w:val="B3B3B3"/>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38"/>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 xml:space="preserve">Accrued capital expenditures </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40"/>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Current maturities of debt</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Other accrued liabilities</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40"/>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Revenues and royalties payable</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40"/>
        </w:trPr>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Derivative</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6"/>
              </w:rPr>
              <w:t>instruments</w:t>
            </w:r>
            <w:r>
              <w:rPr>
                <w:rFonts w:ascii="Times New Roman" w:cs="Times New Roman" w:eastAsia="Times New Roman" w:hAnsi="Times New Roman"/>
                <w:sz w:val="17"/>
                <w:szCs w:val="17"/>
                <w:color w:val="B3B3B3"/>
                <w:w w:val="96"/>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42"/>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 xml:space="preserve">Income taxes payable </w:t>
            </w:r>
            <w:r>
              <w:rPr>
                <w:rFonts w:ascii="Times New Roman" w:cs="Times New Roman" w:eastAsia="Times New Roman" w:hAnsi="Times New Roman"/>
                <w:sz w:val="17"/>
                <w:szCs w:val="17"/>
                <w:color w:val="B3B3B3"/>
                <w:w w:val="97"/>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6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B3B3B3"/>
                <w:w w:val="97"/>
              </w:rPr>
              <w:t>...............................................................................................................................</w:t>
            </w:r>
            <w:r>
              <w:rPr>
                <w:rFonts w:ascii="Times New Roman" w:cs="Times New Roman" w:eastAsia="Times New Roman" w:hAnsi="Times New Roman"/>
                <w:sz w:val="17"/>
                <w:szCs w:val="17"/>
                <w:color w:val="000000"/>
                <w:w w:val="97"/>
              </w:rPr>
              <w:t>currentliabilities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0" w:type="dxa"/>
            <w:vAlign w:val="bottom"/>
          </w:tcPr>
          <w:p>
            <w:pPr>
              <w:spacing w:after="0"/>
              <w:rPr>
                <w:sz w:val="1"/>
                <w:szCs w:val="1"/>
                <w:color w:val="auto"/>
              </w:rPr>
            </w:pPr>
          </w:p>
        </w:tc>
      </w:tr>
      <w:tr>
        <w:trPr>
          <w:trHeight w:val="229"/>
        </w:trPr>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Long-term debt</w:t>
            </w:r>
          </w:p>
        </w:tc>
        <w:tc>
          <w:tcPr>
            <w:tcW w:w="6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($1,083 million and $1,083 million related to Viper)</w:t>
            </w:r>
            <w:r>
              <w:rPr>
                <w:rFonts w:ascii="Times New Roman" w:cs="Times New Roman" w:eastAsia="Times New Roman" w:hAnsi="Times New Roman"/>
                <w:sz w:val="17"/>
                <w:szCs w:val="17"/>
                <w:color w:val="B3B3B3"/>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Derivative</w:t>
            </w:r>
          </w:p>
        </w:tc>
        <w:tc>
          <w:tcPr>
            <w:tcW w:w="69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w w:val="98"/>
              </w:rPr>
              <w:t>instruments</w:t>
            </w:r>
            <w:r>
              <w:rPr>
                <w:rFonts w:ascii="Times New Roman" w:cs="Times New Roman" w:eastAsia="Times New Roman" w:hAnsi="Times New Roman"/>
                <w:sz w:val="17"/>
                <w:szCs w:val="17"/>
                <w:color w:val="B3B3B3"/>
                <w:w w:val="98"/>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40"/>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xml:space="preserve">Asset retirement obligations </w:t>
            </w:r>
            <w:r>
              <w:rPr>
                <w:rFonts w:ascii="Times New Roman" w:cs="Times New Roman" w:eastAsia="Times New Roman" w:hAnsi="Times New Roman"/>
                <w:sz w:val="17"/>
                <w:szCs w:val="17"/>
                <w:color w:val="B3B3B3"/>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40"/>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xml:space="preserve">Deferred income taxes </w:t>
            </w:r>
            <w:r>
              <w:rPr>
                <w:rFonts w:ascii="Times New Roman" w:cs="Times New Roman" w:eastAsia="Times New Roman" w:hAnsi="Times New Roman"/>
                <w:sz w:val="17"/>
                <w:szCs w:val="17"/>
                <w:color w:val="B3B3B3"/>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c>
          <w:tcPr>
            <w:tcW w:w="0" w:type="dxa"/>
            <w:vAlign w:val="bottom"/>
          </w:tcPr>
          <w:p>
            <w:pPr>
              <w:spacing w:after="0"/>
              <w:rPr>
                <w:sz w:val="1"/>
                <w:szCs w:val="1"/>
                <w:color w:val="auto"/>
              </w:rPr>
            </w:pPr>
          </w:p>
        </w:tc>
      </w:tr>
      <w:tr>
        <w:trPr>
          <w:trHeight w:val="242"/>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Other long-term liabilities</w:t>
            </w:r>
            <w:r>
              <w:rPr>
                <w:rFonts w:ascii="Times New Roman" w:cs="Times New Roman" w:eastAsia="Times New Roman" w:hAnsi="Times New Roman"/>
                <w:sz w:val="17"/>
                <w:szCs w:val="17"/>
                <w:color w:val="B3B3B3"/>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6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B3B3B3"/>
                <w:w w:val="96"/>
              </w:rPr>
              <w:t>...........................................................................................................................................</w:t>
            </w:r>
            <w:r>
              <w:rPr>
                <w:rFonts w:ascii="Times New Roman" w:cs="Times New Roman" w:eastAsia="Times New Roman" w:hAnsi="Times New Roman"/>
                <w:sz w:val="17"/>
                <w:szCs w:val="17"/>
                <w:color w:val="000000"/>
                <w:w w:val="96"/>
              </w:rPr>
              <w:t>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27,430</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11,571</w:t>
            </w:r>
          </w:p>
        </w:tc>
        <w:tc>
          <w:tcPr>
            <w:tcW w:w="0" w:type="dxa"/>
            <w:vAlign w:val="bottom"/>
          </w:tcPr>
          <w:p>
            <w:pPr>
              <w:spacing w:after="0"/>
              <w:rPr>
                <w:sz w:val="1"/>
                <w:szCs w:val="1"/>
                <w:color w:val="auto"/>
              </w:rPr>
            </w:pPr>
          </w:p>
        </w:tc>
      </w:tr>
      <w:tr>
        <w:trPr>
          <w:trHeight w:val="206"/>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Common stock, $0.01 par value; 800,000,000 shares authorized; 290,984,373 and 178,723,871 shares</w:t>
            </w: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9"/>
        </w:trPr>
        <w:tc>
          <w:tcPr>
            <w:tcW w:w="7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issued and outstanding at December 31, 2024 and December 31, 2023, respectively</w:t>
            </w:r>
            <w:r>
              <w:rPr>
                <w:rFonts w:ascii="Times New Roman" w:cs="Times New Roman" w:eastAsia="Times New Roman" w:hAnsi="Times New Roman"/>
                <w:sz w:val="17"/>
                <w:szCs w:val="17"/>
                <w:color w:val="B3B3B3"/>
              </w:rPr>
              <w:t>.......................................</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Additional paid-in capital</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14,142</w:t>
            </w:r>
          </w:p>
        </w:tc>
        <w:tc>
          <w:tcPr>
            <w:tcW w:w="0" w:type="dxa"/>
            <w:vAlign w:val="bottom"/>
          </w:tcPr>
          <w:p>
            <w:pPr>
              <w:spacing w:after="0"/>
              <w:rPr>
                <w:sz w:val="1"/>
                <w:szCs w:val="1"/>
                <w:color w:val="auto"/>
              </w:rPr>
            </w:pPr>
          </w:p>
        </w:tc>
      </w:tr>
      <w:tr>
        <w:trPr>
          <w:trHeight w:val="240"/>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 xml:space="preserve">Retained earnings (accumulated deficit) </w:t>
            </w:r>
            <w:r>
              <w:rPr>
                <w:rFonts w:ascii="Times New Roman" w:cs="Times New Roman" w:eastAsia="Times New Roman" w:hAnsi="Times New Roman"/>
                <w:sz w:val="17"/>
                <w:szCs w:val="17"/>
                <w:color w:val="B3B3B3"/>
                <w:w w:val="97"/>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w:t>
            </w:r>
          </w:p>
        </w:tc>
        <w:tc>
          <w:tcPr>
            <w:tcW w:w="0" w:type="dxa"/>
            <w:vAlign w:val="bottom"/>
          </w:tcPr>
          <w:p>
            <w:pPr>
              <w:spacing w:after="0"/>
              <w:rPr>
                <w:sz w:val="1"/>
                <w:szCs w:val="1"/>
                <w:color w:val="auto"/>
              </w:rPr>
            </w:pPr>
          </w:p>
        </w:tc>
      </w:tr>
      <w:tr>
        <w:trPr>
          <w:trHeight w:val="242"/>
        </w:trPr>
        <w:tc>
          <w:tcPr>
            <w:tcW w:w="7740" w:type="dxa"/>
            <w:vAlign w:val="bottom"/>
            <w:gridSpan w:val="5"/>
          </w:tcPr>
          <w:p>
            <w:pPr>
              <w:ind w:left="560"/>
              <w:spacing w:after="0"/>
              <w:rPr>
                <w:sz w:val="20"/>
                <w:szCs w:val="20"/>
                <w:color w:val="auto"/>
              </w:rPr>
            </w:pPr>
            <w:r>
              <w:rPr>
                <w:rFonts w:ascii="Times New Roman" w:cs="Times New Roman" w:eastAsia="Times New Roman" w:hAnsi="Times New Roman"/>
                <w:sz w:val="17"/>
                <w:szCs w:val="17"/>
                <w:color w:val="auto"/>
                <w:w w:val="97"/>
              </w:rPr>
              <w:t>Accumulated other comprehensive income (loss)</w:t>
            </w:r>
            <w:r>
              <w:rPr>
                <w:rFonts w:ascii="Times New Roman" w:cs="Times New Roman" w:eastAsia="Times New Roman" w:hAnsi="Times New Roman"/>
                <w:sz w:val="17"/>
                <w:szCs w:val="17"/>
                <w:color w:val="B3B3B3"/>
                <w:w w:val="97"/>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69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TotalDiamondbackEnergy,Inc.stockholders’equity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16,625</w:t>
            </w:r>
          </w:p>
        </w:tc>
        <w:tc>
          <w:tcPr>
            <w:tcW w:w="0" w:type="dxa"/>
            <w:vAlign w:val="bottom"/>
          </w:tcPr>
          <w:p>
            <w:pPr>
              <w:spacing w:after="0"/>
              <w:rPr>
                <w:sz w:val="1"/>
                <w:szCs w:val="1"/>
                <w:color w:val="auto"/>
              </w:rPr>
            </w:pPr>
          </w:p>
        </w:tc>
      </w:tr>
      <w:tr>
        <w:trPr>
          <w:trHeight w:val="232"/>
        </w:trPr>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xml:space="preserve">Non-controlling interest </w:t>
            </w:r>
            <w:r>
              <w:rPr>
                <w:rFonts w:ascii="Times New Roman" w:cs="Times New Roman" w:eastAsia="Times New Roman" w:hAnsi="Times New Roman"/>
                <w:sz w:val="17"/>
                <w:szCs w:val="17"/>
                <w:color w:val="B3B3B3"/>
              </w:rPr>
              <w: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0" w:type="dxa"/>
            <w:vAlign w:val="bottom"/>
          </w:tcPr>
          <w:p>
            <w:pPr>
              <w:spacing w:after="0"/>
              <w:rPr>
                <w:sz w:val="1"/>
                <w:szCs w:val="1"/>
                <w:color w:val="auto"/>
              </w:rPr>
            </w:pPr>
          </w:p>
        </w:tc>
      </w:tr>
      <w:tr>
        <w:trPr>
          <w:trHeight w:val="221"/>
        </w:trPr>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Total</w:t>
            </w:r>
          </w:p>
        </w:tc>
        <w:tc>
          <w:tcPr>
            <w:tcW w:w="66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B3B3B3"/>
                <w:w w:val="95"/>
              </w:rPr>
              <w:t>.........................................................................................................................................................</w:t>
            </w:r>
            <w:r>
              <w:rPr>
                <w:rFonts w:ascii="Times New Roman" w:cs="Times New Roman" w:eastAsia="Times New Roman" w:hAnsi="Times New Roman"/>
                <w:sz w:val="17"/>
                <w:szCs w:val="17"/>
                <w:color w:val="000000"/>
                <w:w w:val="95"/>
              </w:rPr>
              <w:t>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39,862</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17,430</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69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Totalliabilitiesandstockholders'equity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3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360"/>
          </w:cols>
          <w:pgMar w:left="980" w:top="394" w:right="900"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200" w:lineRule="exact"/>
        <w:rPr>
          <w:sz w:val="20"/>
          <w:szCs w:val="20"/>
          <w:color w:val="auto"/>
        </w:rPr>
      </w:pP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59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 except per share amounts, shares 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Oil sales </w:t>
            </w:r>
            <w:r>
              <w:rPr>
                <w:rFonts w:ascii="Times New Roman" w:cs="Times New Roman" w:eastAsia="Times New Roman" w:hAnsi="Times New Roman"/>
                <w:sz w:val="17"/>
                <w:szCs w:val="17"/>
                <w:color w:val="B3B3B3"/>
              </w:rPr>
              <w:t>..............................................................................................................</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Natural gas sales</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Natural gas liquid sales</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Sales of purchased oil</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Other operating income</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Total revenues</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11,066</w:t>
            </w: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8"/>
                <w:szCs w:val="18"/>
                <w:color w:val="auto"/>
              </w:rPr>
            </w:pPr>
          </w:p>
        </w:tc>
        <w:tc>
          <w:tcPr>
            <w:tcW w:w="10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Lease operating expenses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Production and ad valorem taxes</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Gathering, processing and transportation</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Purchased oil expense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Merger and integration expenses</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Other operating expenses </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Total costs and expenses</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r>
              <w:rPr>
                <w:rFonts w:ascii="Times New Roman" w:cs="Times New Roman" w:eastAsia="Times New Roman" w:hAnsi="Times New Roman"/>
                <w:sz w:val="16"/>
                <w:szCs w:val="16"/>
                <w:b w:val="1"/>
                <w:bCs w:val="1"/>
                <w:color w:val="B3B3B3"/>
              </w:rPr>
              <w:t>..........................................................................................</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Other income (expense), net</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Gain (loss) on derivative instruments, net</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Gain (loss) on extinguishment of debt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Income (loss) from equity investments, net </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Total other income (expense), net</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Income (loss) before income taxes </w:t>
            </w:r>
            <w:r>
              <w:rPr>
                <w:rFonts w:ascii="Times New Roman" w:cs="Times New Roman" w:eastAsia="Times New Roman" w:hAnsi="Times New Roman"/>
                <w:sz w:val="16"/>
                <w:szCs w:val="16"/>
                <w:b w:val="1"/>
                <w:bCs w:val="1"/>
                <w:color w:val="B3B3B3"/>
              </w:rPr>
              <w:t>...................................................................................</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Provision for (benefit from) income taxes </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income (loss) </w:t>
            </w:r>
            <w:r>
              <w:rPr>
                <w:rFonts w:ascii="Times New Roman" w:cs="Times New Roman" w:eastAsia="Times New Roman" w:hAnsi="Times New Roman"/>
                <w:sz w:val="16"/>
                <w:szCs w:val="16"/>
                <w:b w:val="1"/>
                <w:bCs w:val="1"/>
                <w:color w:val="B3B3B3"/>
              </w:rPr>
              <w:t>..............................................................................................................</w:t>
            </w:r>
          </w:p>
        </w:tc>
        <w:tc>
          <w:tcPr>
            <w:tcW w:w="3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Net income (loss) attributable to non-controlling interest </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r>
              <w:rPr>
                <w:rFonts w:ascii="Times New Roman" w:cs="Times New Roman" w:eastAsia="Times New Roman" w:hAnsi="Times New Roman"/>
                <w:sz w:val="16"/>
                <w:szCs w:val="16"/>
                <w:b w:val="1"/>
                <w:bCs w:val="1"/>
                <w:color w:val="B3B3B3"/>
              </w:rPr>
              <w:t>.......................................</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3,338</w:t>
            </w:r>
          </w:p>
        </w:tc>
        <w:tc>
          <w:tcPr>
            <w:tcW w:w="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(loss) per common share:</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17"/>
                <w:szCs w:val="17"/>
                <w:color w:val="B3B3B3"/>
              </w:rPr>
              <w:t>...................................................................................................................</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7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17"/>
                <w:szCs w:val="17"/>
                <w:color w:val="B3B3B3"/>
              </w:rPr>
              <w:t>................................................................................................................</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17"/>
                <w:szCs w:val="17"/>
                <w:color w:val="B3B3B3"/>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r>
              <w:rPr>
                <w:rFonts w:ascii="Times New Roman" w:cs="Times New Roman" w:eastAsia="Times New Roman" w:hAnsi="Times New Roman"/>
                <w:sz w:val="17"/>
                <w:szCs w:val="17"/>
                <w:color w:val="B3B3B3"/>
              </w:rPr>
              <w:t>............................</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5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Pension and postretirement benefit plans</w:t>
            </w:r>
            <w:r>
              <w:rPr>
                <w:rFonts w:ascii="Times New Roman" w:cs="Times New Roman" w:eastAsia="Times New Roman" w:hAnsi="Times New Roman"/>
                <w:sz w:val="17"/>
                <w:szCs w:val="17"/>
                <w:color w:val="B3B3B3"/>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Diamondback Energy, Inc</w:t>
            </w:r>
            <w:r>
              <w:rPr>
                <w:rFonts w:ascii="Times New Roman" w:cs="Times New Roman" w:eastAsia="Times New Roman" w:hAnsi="Times New Roman"/>
                <w:sz w:val="16"/>
                <w:szCs w:val="16"/>
                <w:b w:val="1"/>
                <w:bCs w:val="1"/>
                <w:color w:val="B3B3B3"/>
              </w:rPr>
              <w:t>...................</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00"/>
          </w:cols>
          <w:pgMar w:left="980" w:top="203" w:right="1060" w:bottom="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6"/>
          <w:szCs w:val="16"/>
          <w:color w:val="auto"/>
        </w:rPr>
        <w:t>Table of Contents</w:t>
      </w:r>
    </w:p>
    <w:p>
      <w:pPr>
        <w:ind w:left="3320"/>
        <w:spacing w:after="0"/>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Earnings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39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8"/>
                <w:szCs w:val="8"/>
                <w:color w:val="auto"/>
              </w:rPr>
            </w:pPr>
          </w:p>
        </w:tc>
        <w:tc>
          <w:tcPr>
            <w:tcW w:w="112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8"/>
                <w:szCs w:val="8"/>
                <w:color w:val="auto"/>
              </w:rPr>
            </w:pPr>
          </w:p>
        </w:tc>
        <w:tc>
          <w:tcPr>
            <w:tcW w:w="1260" w:type="dxa"/>
            <w:vAlign w:val="bottom"/>
            <w:gridSpan w:val="3"/>
          </w:tcPr>
          <w:p>
            <w:pPr>
              <w:jc w:val="center"/>
              <w:ind w:right="8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40" w:type="dxa"/>
            <w:vAlign w:val="bottom"/>
            <w:gridSpan w:val="3"/>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Deficit)</w:t>
            </w:r>
          </w:p>
        </w:tc>
        <w:tc>
          <w:tcPr>
            <w:tcW w:w="6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Income (Loss)</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68"/>
        </w:trPr>
        <w:tc>
          <w:tcPr>
            <w:tcW w:w="3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4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 in millions, shares in thousands)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7"/>
              </w:rPr>
              <w:t>Balance at December 31, 2021</w:t>
            </w:r>
            <w:r>
              <w:rPr>
                <w:rFonts w:ascii="Times New Roman" w:cs="Times New Roman" w:eastAsia="Times New Roman" w:hAnsi="Times New Roman"/>
                <w:sz w:val="15"/>
                <w:szCs w:val="15"/>
                <w:b w:val="1"/>
                <w:bCs w:val="1"/>
                <w:color w:val="B3B3B3"/>
                <w:w w:val="97"/>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177,551</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13,245</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Unit-based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Distribution equivalent rights payments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Stock-based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Cash paid for tax withholding on vested equity awards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Repurchased shares under buyback program</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Repurchased units under buyback programs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Common stock issued for acquisitions</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Distributions to non-controlling interest</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Dividend paid</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11"/>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 and vesting of restricted stock</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w:t>
            </w:r>
            <w:r>
              <w:rPr>
                <w:rFonts w:ascii="Times New Roman" w:cs="Times New Roman" w:eastAsia="Times New Roman" w:hAnsi="Times New Roman"/>
                <w:sz w:val="16"/>
                <w:szCs w:val="16"/>
                <w:color w:val="B3B3B3"/>
              </w:rPr>
              <w:t>.........................................................................................</w:t>
            </w: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Change in ownership of consolidated subsidiaries, net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Other comprehensive income (loss), net of tax</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61"/>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Net income (loss) </w:t>
            </w:r>
            <w:r>
              <w:rPr>
                <w:rFonts w:ascii="Times New Roman" w:cs="Times New Roman" w:eastAsia="Times New Roman" w:hAnsi="Times New Roman"/>
                <w:sz w:val="16"/>
                <w:szCs w:val="16"/>
                <w:color w:val="B3B3B3"/>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0" w:type="dxa"/>
            <w:vAlign w:val="bottom"/>
          </w:tcPr>
          <w:p>
            <w:pPr>
              <w:spacing w:after="0"/>
              <w:rPr>
                <w:sz w:val="1"/>
                <w:szCs w:val="1"/>
                <w:color w:val="auto"/>
              </w:rPr>
            </w:pPr>
          </w:p>
        </w:tc>
      </w:tr>
      <w:tr>
        <w:trPr>
          <w:trHeight w:val="230"/>
        </w:trPr>
        <w:tc>
          <w:tcPr>
            <w:tcW w:w="3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6"/>
              </w:rPr>
              <w:t>Balance at December 31, 2022</w:t>
            </w:r>
            <w:r>
              <w:rPr>
                <w:rFonts w:ascii="Times New Roman" w:cs="Times New Roman" w:eastAsia="Times New Roman" w:hAnsi="Times New Roman"/>
                <w:sz w:val="15"/>
                <w:szCs w:val="15"/>
                <w:b w:val="1"/>
                <w:bCs w:val="1"/>
                <w:color w:val="B3B3B3"/>
                <w:w w:val="96"/>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15,690</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Viper common stock issued for acquisition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Viper equity-based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Distribution equivalent rights payments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Stock-based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Cash paid for tax withholding on vested equity awards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Repurchased shares under buyback program</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Repurchased shares/units under Viper's buyback programs</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 xml:space="preserve">Common stock issued for acquisition </w:t>
            </w:r>
            <w:r>
              <w:rPr>
                <w:rFonts w:ascii="Times New Roman" w:cs="Times New Roman" w:eastAsia="Times New Roman" w:hAnsi="Times New Roman"/>
                <w:sz w:val="16"/>
                <w:szCs w:val="16"/>
                <w:color w:val="B3B3B3"/>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Dividends/distributions to non-controlling interest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Dividend paid</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11"/>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 and issuance of restricted stock</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and awards</w:t>
            </w:r>
            <w:r>
              <w:rPr>
                <w:rFonts w:ascii="Times New Roman" w:cs="Times New Roman" w:eastAsia="Times New Roman" w:hAnsi="Times New Roman"/>
                <w:sz w:val="16"/>
                <w:szCs w:val="16"/>
                <w:color w:val="B3B3B3"/>
              </w:rPr>
              <w:t>......................................................................</w:t>
            </w: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Change in ownership of consolidated subsidiaries, net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Other comprehensive income (loss), net of tax</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8"/>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Net income (loss) </w:t>
            </w:r>
            <w:r>
              <w:rPr>
                <w:rFonts w:ascii="Times New Roman" w:cs="Times New Roman" w:eastAsia="Times New Roman" w:hAnsi="Times New Roman"/>
                <w:sz w:val="16"/>
                <w:szCs w:val="16"/>
                <w:color w:val="B3B3B3"/>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0" w:type="dxa"/>
            <w:vAlign w:val="bottom"/>
          </w:tcPr>
          <w:p>
            <w:pPr>
              <w:spacing w:after="0"/>
              <w:rPr>
                <w:sz w:val="1"/>
                <w:szCs w:val="1"/>
                <w:color w:val="auto"/>
              </w:rPr>
            </w:pPr>
          </w:p>
        </w:tc>
      </w:tr>
      <w:tr>
        <w:trPr>
          <w:trHeight w:val="223"/>
        </w:trPr>
        <w:tc>
          <w:tcPr>
            <w:tcW w:w="3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6"/>
              </w:rPr>
              <w:t>Balance at December 31, 2023</w:t>
            </w:r>
            <w:r>
              <w:rPr>
                <w:rFonts w:ascii="Times New Roman" w:cs="Times New Roman" w:eastAsia="Times New Roman" w:hAnsi="Times New Roman"/>
                <w:sz w:val="15"/>
                <w:szCs w:val="15"/>
                <w:b w:val="1"/>
                <w:bCs w:val="1"/>
                <w:color w:val="B3B3B3"/>
                <w:w w:val="96"/>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17,430</w:t>
            </w:r>
          </w:p>
        </w:tc>
        <w:tc>
          <w:tcPr>
            <w:tcW w:w="0" w:type="dxa"/>
            <w:vAlign w:val="bottom"/>
          </w:tcPr>
          <w:p>
            <w:pPr>
              <w:spacing w:after="0"/>
              <w:rPr>
                <w:sz w:val="1"/>
                <w:szCs w:val="1"/>
                <w:color w:val="auto"/>
              </w:rPr>
            </w:pPr>
          </w:p>
        </w:tc>
      </w:tr>
      <w:tr>
        <w:trPr>
          <w:trHeight w:val="24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Viper equity-based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Distribution equivalent rights payments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Stock-based compensation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Cash paid for tax withholding on vested equity awards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Repurchased shares under buyback program</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Common shares issued for acquisition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117,267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Viper LLC's units issued for acquisition</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1"/>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partial sale of investment in Viper Energy,</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w:t>
            </w:r>
            <w:r>
              <w:rPr>
                <w:rFonts w:ascii="Times New Roman" w:cs="Times New Roman" w:eastAsia="Times New Roman" w:hAnsi="Times New Roman"/>
                <w:sz w:val="16"/>
                <w:szCs w:val="16"/>
                <w:color w:val="B3B3B3"/>
              </w:rPr>
              <w:t>...........................................................................................</w:t>
            </w: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 xml:space="preserve">Net proceeds from Viper's issuance of common stock </w:t>
            </w:r>
            <w:r>
              <w:rPr>
                <w:rFonts w:ascii="Times New Roman" w:cs="Times New Roman" w:eastAsia="Times New Roman" w:hAnsi="Times New Roman"/>
                <w:sz w:val="16"/>
                <w:szCs w:val="16"/>
                <w:color w:val="B3B3B3"/>
                <w:w w:val="9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Dividends to non-controlling interest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Dividends paid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Issuance of shares upon vesting of equity awards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Change in ownership of consolidated subsidiaries, net </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54"/>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Other comprehensive income (loss), net of tax</w:t>
            </w:r>
            <w:r>
              <w:rPr>
                <w:rFonts w:ascii="Times New Roman" w:cs="Times New Roman" w:eastAsia="Times New Roman" w:hAnsi="Times New Roman"/>
                <w:sz w:val="16"/>
                <w:szCs w:val="16"/>
                <w:color w:val="B3B3B3"/>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8"/>
        </w:trPr>
        <w:tc>
          <w:tcPr>
            <w:tcW w:w="3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Net income (loss) </w:t>
            </w:r>
            <w:r>
              <w:rPr>
                <w:rFonts w:ascii="Times New Roman" w:cs="Times New Roman" w:eastAsia="Times New Roman" w:hAnsi="Times New Roman"/>
                <w:sz w:val="16"/>
                <w:szCs w:val="16"/>
                <w:color w:val="B3B3B3"/>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218"/>
        </w:trPr>
        <w:tc>
          <w:tcPr>
            <w:tcW w:w="3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6"/>
              </w:rPr>
              <w:t>Balance at December 31, 2024</w:t>
            </w:r>
            <w:r>
              <w:rPr>
                <w:rFonts w:ascii="Times New Roman" w:cs="Times New Roman" w:eastAsia="Times New Roman" w:hAnsi="Times New Roman"/>
                <w:sz w:val="15"/>
                <w:szCs w:val="15"/>
                <w:b w:val="1"/>
                <w:bCs w:val="1"/>
                <w:color w:val="B3B3B3"/>
                <w:w w:val="96"/>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290,984</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33,501</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31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600"/>
          </w:cols>
          <w:pgMar w:left="920" w:top="383" w:right="720" w:bottom="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6"/>
          <w:szCs w:val="16"/>
          <w:color w:val="auto"/>
        </w:rPr>
        <w:t>Table of Contents</w:t>
      </w:r>
    </w:p>
    <w:p>
      <w:pPr>
        <w:ind w:left="3280"/>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ind w:left="348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39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(In millions)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(loss)</w:t>
            </w:r>
          </w:p>
        </w:tc>
        <w:tc>
          <w:tcPr>
            <w:tcW w:w="4380" w:type="dxa"/>
            <w:vAlign w:val="bottom"/>
          </w:tcPr>
          <w:p>
            <w:pPr>
              <w:jc w:val="right"/>
              <w:spacing w:after="0"/>
              <w:rPr>
                <w:sz w:val="20"/>
                <w:szCs w:val="20"/>
                <w:color w:val="auto"/>
              </w:rPr>
            </w:pPr>
            <w:r>
              <w:rPr>
                <w:rFonts w:ascii="Times New Roman" w:cs="Times New Roman" w:eastAsia="Times New Roman" w:hAnsi="Times New Roman"/>
                <w:sz w:val="17"/>
                <w:szCs w:val="17"/>
                <w:color w:val="B3B3B3"/>
                <w:w w:val="95"/>
              </w:rPr>
              <w:t>..........................................................................................................</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320" w:type="dxa"/>
            <w:vAlign w:val="bottom"/>
            <w:gridSpan w:val="5"/>
          </w:tcPr>
          <w:p>
            <w:pPr>
              <w:ind w:left="360"/>
              <w:spacing w:after="0" w:line="179" w:lineRule="exact"/>
              <w:rPr>
                <w:sz w:val="20"/>
                <w:szCs w:val="20"/>
                <w:color w:val="auto"/>
              </w:rPr>
            </w:pPr>
            <w:r>
              <w:rPr>
                <w:rFonts w:ascii="Times New Roman" w:cs="Times New Roman" w:eastAsia="Times New Roman" w:hAnsi="Times New Roman"/>
                <w:sz w:val="17"/>
                <w:szCs w:val="17"/>
                <w:color w:val="auto"/>
              </w:rPr>
              <w:t>Adjustments to reconcile net income (loss) to net cash provided by (used in)</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Provision for (benefit from) deferred income taxes</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w w:val="99"/>
              </w:rPr>
              <w:t xml:space="preserve">Depreciation, depletion, amortization and accretion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rPr>
              <w:t>(Gain) loss on extinguishment of debt</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 xml:space="preserve">(Gain) loss on derivative instruments, net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rPr>
              <w:t>Cash received (paid) on settlement of derivative instruments</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(Income) loss from equity investment, net</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 xml:space="preserve">Equity-based compensation expense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ind w:left="1140"/>
              <w:spacing w:after="0"/>
              <w:rPr>
                <w:sz w:val="20"/>
                <w:szCs w:val="20"/>
                <w:color w:val="auto"/>
              </w:rPr>
            </w:pPr>
            <w:r>
              <w:rPr>
                <w:rFonts w:ascii="Times New Roman" w:cs="Times New Roman" w:eastAsia="Times New Roman" w:hAnsi="Times New Roman"/>
                <w:sz w:val="3"/>
                <w:szCs w:val="3"/>
                <w:color w:val="auto"/>
                <w:w w:val="81"/>
              </w:rPr>
              <w:t>Other</w:t>
            </w:r>
            <w:r>
              <w:rPr>
                <w:rFonts w:ascii="Times New Roman" w:cs="Times New Roman" w:eastAsia="Times New Roman" w:hAnsi="Times New Roman"/>
                <w:sz w:val="3"/>
                <w:szCs w:val="3"/>
                <w:color w:val="B3B3B3"/>
                <w:w w:val="81"/>
              </w:rPr>
              <w:t>......................................................................................................................</w:t>
            </w: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Accounts</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6"/>
              </w:rPr>
              <w:t xml:space="preserve">receivable </w:t>
            </w:r>
            <w:r>
              <w:rPr>
                <w:rFonts w:ascii="Times New Roman" w:cs="Times New Roman" w:eastAsia="Times New Roman" w:hAnsi="Times New Roman"/>
                <w:sz w:val="17"/>
                <w:szCs w:val="17"/>
                <w:color w:val="B3B3B3"/>
                <w:w w:val="96"/>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4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w w:val="97"/>
              </w:rPr>
              <w:t>Income</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 xml:space="preserve">tax receivable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 xml:space="preserve">Prepaid expenses and other current assets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Accounts payable and accrued liabilities</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w w:val="97"/>
              </w:rPr>
              <w:t>Income</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taxes</w:t>
            </w:r>
          </w:p>
        </w:tc>
        <w:tc>
          <w:tcPr>
            <w:tcW w:w="4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payable</w:t>
            </w:r>
            <w:r>
              <w:rPr>
                <w:rFonts w:ascii="Times New Roman" w:cs="Times New Roman" w:eastAsia="Times New Roman" w:hAnsi="Times New Roman"/>
                <w:sz w:val="17"/>
                <w:szCs w:val="17"/>
                <w:color w:val="B3B3B3"/>
                <w:w w:val="97"/>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auto"/>
                <w:w w:val="99"/>
              </w:rPr>
              <w:t xml:space="preserve">Revenues and royalties payable </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40" w:type="dxa"/>
            <w:vAlign w:val="bottom"/>
            <w:gridSpan w:val="4"/>
          </w:tcPr>
          <w:p>
            <w:pPr>
              <w:ind w:left="1140"/>
              <w:spacing w:after="0"/>
              <w:rPr>
                <w:sz w:val="20"/>
                <w:szCs w:val="20"/>
                <w:color w:val="auto"/>
              </w:rPr>
            </w:pPr>
            <w:r>
              <w:rPr>
                <w:rFonts w:ascii="Times New Roman" w:cs="Times New Roman" w:eastAsia="Times New Roman" w:hAnsi="Times New Roman"/>
                <w:sz w:val="3"/>
                <w:szCs w:val="3"/>
                <w:color w:val="auto"/>
                <w:w w:val="81"/>
              </w:rPr>
              <w:t>Other</w:t>
            </w:r>
            <w:r>
              <w:rPr>
                <w:rFonts w:ascii="Times New Roman" w:cs="Times New Roman" w:eastAsia="Times New Roman" w:hAnsi="Times New Roman"/>
                <w:sz w:val="3"/>
                <w:szCs w:val="3"/>
                <w:color w:val="B3B3B3"/>
                <w:w w:val="81"/>
              </w:rPr>
              <w:t>......................................................................................................................</w:t>
            </w:r>
          </w:p>
        </w:tc>
        <w:tc>
          <w:tcPr>
            <w:tcW w:w="43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5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9"/>
              </w:rPr>
              <w:t>Net cash provided by (used in) operating activities</w:t>
            </w:r>
            <w:r>
              <w:rPr>
                <w:rFonts w:ascii="Times New Roman" w:cs="Times New Roman" w:eastAsia="Times New Roman" w:hAnsi="Times New Roman"/>
                <w:sz w:val="17"/>
                <w:szCs w:val="17"/>
                <w:color w:val="B3B3B3"/>
                <w:w w:val="99"/>
              </w:rPr>
              <w:t>......................................</w:t>
            </w: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6,413</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6,325</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Drilling, completions, infrastructure and midstream additions to oil and natural gas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40" w:type="dxa"/>
            <w:vAlign w:val="bottom"/>
            <w:gridSpan w:val="2"/>
          </w:tcPr>
          <w:p>
            <w:pPr>
              <w:ind w:left="360"/>
              <w:spacing w:after="0"/>
              <w:rPr>
                <w:sz w:val="20"/>
                <w:szCs w:val="20"/>
                <w:color w:val="auto"/>
              </w:rPr>
            </w:pPr>
            <w:r>
              <w:rPr>
                <w:rFonts w:ascii="Times New Roman" w:cs="Times New Roman" w:eastAsia="Times New Roman" w:hAnsi="Times New Roman"/>
                <w:sz w:val="4"/>
                <w:szCs w:val="4"/>
                <w:color w:val="auto"/>
                <w:w w:val="78"/>
              </w:rPr>
              <w:t>properties</w:t>
            </w:r>
            <w:r>
              <w:rPr>
                <w:rFonts w:ascii="Times New Roman" w:cs="Times New Roman" w:eastAsia="Times New Roman" w:hAnsi="Times New Roman"/>
                <w:sz w:val="4"/>
                <w:szCs w:val="4"/>
                <w:color w:val="B3B3B3"/>
                <w:w w:val="7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Property</w:t>
            </w:r>
          </w:p>
        </w:tc>
        <w:tc>
          <w:tcPr>
            <w:tcW w:w="5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8"/>
              </w:rPr>
              <w:t>acquisitions</w:t>
            </w:r>
            <w:r>
              <w:rPr>
                <w:rFonts w:ascii="Times New Roman" w:cs="Times New Roman" w:eastAsia="Times New Roman" w:hAnsi="Times New Roman"/>
                <w:sz w:val="17"/>
                <w:szCs w:val="17"/>
                <w:color w:val="B3B3B3"/>
                <w:w w:val="98"/>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Proceeds from sale of assets</w:t>
            </w:r>
            <w:r>
              <w:rPr>
                <w:rFonts w:ascii="Times New Roman" w:cs="Times New Roman" w:eastAsia="Times New Roman" w:hAnsi="Times New Roman"/>
                <w:sz w:val="17"/>
                <w:szCs w:val="17"/>
                <w:color w:val="B3B3B3"/>
              </w:rPr>
              <w: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40" w:type="dxa"/>
            <w:vAlign w:val="bottom"/>
            <w:gridSpan w:val="2"/>
          </w:tcPr>
          <w:p>
            <w:pPr>
              <w:ind w:left="800"/>
              <w:spacing w:after="0"/>
              <w:rPr>
                <w:sz w:val="20"/>
                <w:szCs w:val="20"/>
                <w:color w:val="auto"/>
              </w:rPr>
            </w:pPr>
            <w:r>
              <w:rPr>
                <w:rFonts w:ascii="Times New Roman" w:cs="Times New Roman" w:eastAsia="Times New Roman" w:hAnsi="Times New Roman"/>
                <w:sz w:val="2"/>
                <w:szCs w:val="2"/>
                <w:color w:val="auto"/>
                <w:w w:val="91"/>
              </w:rPr>
              <w:t>Other</w:t>
            </w:r>
            <w:r>
              <w:rPr>
                <w:rFonts w:ascii="Times New Roman" w:cs="Times New Roman" w:eastAsia="Times New Roman" w:hAnsi="Times New Roman"/>
                <w:sz w:val="2"/>
                <w:szCs w:val="2"/>
                <w:color w:val="B3B3B3"/>
                <w:w w:val="91"/>
              </w:rPr>
              <w: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20" w:type="dxa"/>
            <w:vAlign w:val="bottom"/>
          </w:tcPr>
          <w:p>
            <w:pPr>
              <w:spacing w:after="0"/>
              <w:rPr>
                <w:sz w:val="19"/>
                <w:szCs w:val="19"/>
                <w:color w:val="auto"/>
              </w:rPr>
            </w:pPr>
          </w:p>
        </w:tc>
        <w:tc>
          <w:tcPr>
            <w:tcW w:w="5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Netcashprovidedby(usedin)investingactivities</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Proceeds under term loan agreement </w:t>
            </w:r>
            <w:r>
              <w:rPr>
                <w:rFonts w:ascii="Times New Roman" w:cs="Times New Roman" w:eastAsia="Times New Roman" w:hAnsi="Times New Roman"/>
                <w:sz w:val="17"/>
                <w:szCs w:val="17"/>
                <w:color w:val="B3B3B3"/>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Repayments under term loan agreement </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Proceeds from borrowings under credit facilities </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Repayments</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under</w:t>
            </w:r>
          </w:p>
        </w:tc>
        <w:tc>
          <w:tcPr>
            <w:tcW w:w="46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97"/>
              </w:rPr>
              <w:t xml:space="preserve">credit facilities </w:t>
            </w:r>
            <w:r>
              <w:rPr>
                <w:rFonts w:ascii="Times New Roman" w:cs="Times New Roman" w:eastAsia="Times New Roman" w:hAnsi="Times New Roman"/>
                <w:sz w:val="17"/>
                <w:szCs w:val="17"/>
                <w:color w:val="B3B3B3"/>
                <w:w w:val="97"/>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Proceeds from</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senior</w:t>
            </w:r>
          </w:p>
        </w:tc>
        <w:tc>
          <w:tcPr>
            <w:tcW w:w="4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6"/>
              </w:rPr>
              <w:t>notes</w:t>
            </w:r>
            <w:r>
              <w:rPr>
                <w:rFonts w:ascii="Times New Roman" w:cs="Times New Roman" w:eastAsia="Times New Roman" w:hAnsi="Times New Roman"/>
                <w:sz w:val="17"/>
                <w:szCs w:val="17"/>
                <w:color w:val="B3B3B3"/>
                <w:w w:val="96"/>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w:t>
            </w:r>
          </w:p>
        </w:tc>
        <w:tc>
          <w:tcPr>
            <w:tcW w:w="4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5"/>
              </w:rPr>
              <w:t xml:space="preserve">notes </w:t>
            </w:r>
            <w:r>
              <w:rPr>
                <w:rFonts w:ascii="Times New Roman" w:cs="Times New Roman" w:eastAsia="Times New Roman" w:hAnsi="Times New Roman"/>
                <w:sz w:val="17"/>
                <w:szCs w:val="17"/>
                <w:color w:val="B3B3B3"/>
                <w:w w:val="95"/>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Proceeds from (repayments to) joint venture</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Premium on extinguishment of debt </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Repurchased shares under buyback program</w:t>
            </w:r>
            <w:r>
              <w:rPr>
                <w:rFonts w:ascii="Times New Roman" w:cs="Times New Roman" w:eastAsia="Times New Roman" w:hAnsi="Times New Roman"/>
                <w:sz w:val="17"/>
                <w:szCs w:val="17"/>
                <w:color w:val="B3B3B3"/>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Repurchased shares/units under Viper's buyback program</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Proceeds from partial sale of investment in Viper Energy, Inc. </w:t>
            </w:r>
            <w:r>
              <w:rPr>
                <w:rFonts w:ascii="Times New Roman" w:cs="Times New Roman" w:eastAsia="Times New Roman" w:hAnsi="Times New Roman"/>
                <w:sz w:val="17"/>
                <w:szCs w:val="17"/>
                <w:color w:val="B3B3B3"/>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 xml:space="preserve">Net proceeds from Viper's issuance of common stock </w:t>
            </w:r>
            <w:r>
              <w:rPr>
                <w:rFonts w:ascii="Times New Roman" w:cs="Times New Roman" w:eastAsia="Times New Roman" w:hAnsi="Times New Roman"/>
                <w:sz w:val="17"/>
                <w:szCs w:val="17"/>
                <w:color w:val="B3B3B3"/>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Dividends paid</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w:t>
            </w:r>
          </w:p>
        </w:tc>
        <w:tc>
          <w:tcPr>
            <w:tcW w:w="46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96"/>
              </w:rPr>
              <w:t xml:space="preserve">stockholders </w:t>
            </w:r>
            <w:r>
              <w:rPr>
                <w:rFonts w:ascii="Times New Roman" w:cs="Times New Roman" w:eastAsia="Times New Roman" w:hAnsi="Times New Roman"/>
                <w:sz w:val="17"/>
                <w:szCs w:val="17"/>
                <w:color w:val="B3B3B3"/>
                <w:w w:val="96"/>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Dividends/distributions to non-controlling interest</w:t>
            </w:r>
            <w:r>
              <w:rPr>
                <w:rFonts w:ascii="Times New Roman" w:cs="Times New Roman" w:eastAsia="Times New Roman" w:hAnsi="Times New Roman"/>
                <w:sz w:val="17"/>
                <w:szCs w:val="17"/>
                <w:color w:val="B3B3B3"/>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40" w:type="dxa"/>
            <w:vAlign w:val="bottom"/>
            <w:gridSpan w:val="2"/>
          </w:tcPr>
          <w:p>
            <w:pPr>
              <w:ind w:left="360"/>
              <w:spacing w:after="0"/>
              <w:rPr>
                <w:sz w:val="20"/>
                <w:szCs w:val="20"/>
                <w:color w:val="auto"/>
              </w:rPr>
            </w:pPr>
            <w:r>
              <w:rPr>
                <w:rFonts w:ascii="Times New Roman" w:cs="Times New Roman" w:eastAsia="Times New Roman" w:hAnsi="Times New Roman"/>
                <w:sz w:val="4"/>
                <w:szCs w:val="4"/>
                <w:color w:val="auto"/>
                <w:w w:val="78"/>
              </w:rPr>
              <w:t>Other</w:t>
            </w:r>
            <w:r>
              <w:rPr>
                <w:rFonts w:ascii="Times New Roman" w:cs="Times New Roman" w:eastAsia="Times New Roman" w:hAnsi="Times New Roman"/>
                <w:sz w:val="4"/>
                <w:szCs w:val="4"/>
                <w:color w:val="B3B3B3"/>
                <w:w w:val="78"/>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320" w:type="dxa"/>
            <w:vAlign w:val="bottom"/>
            <w:gridSpan w:val="5"/>
          </w:tcPr>
          <w:p>
            <w:pPr>
              <w:jc w:val="right"/>
              <w:ind w:right="155"/>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Netcashprovidedby(usedin)financingactivities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4,387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gridSpan w:val="5"/>
          </w:tcPr>
          <w:p>
            <w:pPr>
              <w:jc w:val="right"/>
              <w:ind w:right="155"/>
              <w:spacing w:after="0"/>
              <w:rPr>
                <w:sz w:val="20"/>
                <w:szCs w:val="20"/>
                <w:color w:val="auto"/>
              </w:rPr>
            </w:pPr>
            <w:r>
              <w:rPr>
                <w:rFonts w:ascii="Times New Roman" w:cs="Times New Roman" w:eastAsia="Times New Roman" w:hAnsi="Times New Roman"/>
                <w:sz w:val="17"/>
                <w:szCs w:val="17"/>
                <w:color w:val="B3B3B3"/>
              </w:rPr>
              <w:t>...........................................................</w:t>
            </w:r>
            <w:r>
              <w:rPr>
                <w:rFonts w:ascii="Times New Roman" w:cs="Times New Roman" w:eastAsia="Times New Roman" w:hAnsi="Times New Roman"/>
                <w:sz w:val="17"/>
                <w:szCs w:val="17"/>
                <w:color w:val="000000"/>
              </w:rPr>
              <w:t>Netincrease(decrease)incashandcashequivalents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20" w:type="dxa"/>
            <w:vAlign w:val="bottom"/>
            <w:gridSpan w:val="5"/>
          </w:tcPr>
          <w:p>
            <w:pPr>
              <w:jc w:val="right"/>
              <w:ind w:right="155"/>
              <w:spacing w:after="0"/>
              <w:rPr>
                <w:sz w:val="20"/>
                <w:szCs w:val="20"/>
                <w:color w:val="auto"/>
              </w:rPr>
            </w:pPr>
            <w:r>
              <w:rPr>
                <w:rFonts w:ascii="Times New Roman" w:cs="Times New Roman" w:eastAsia="Times New Roman" w:hAnsi="Times New Roman"/>
                <w:sz w:val="17"/>
                <w:szCs w:val="17"/>
                <w:color w:val="auto"/>
                <w:w w:val="99"/>
              </w:rPr>
              <w:t>Cash, cash equivalents and restricted cash at beginning of period</w:t>
            </w:r>
            <w:r>
              <w:rPr>
                <w:rFonts w:ascii="Times New Roman" w:cs="Times New Roman" w:eastAsia="Times New Roman" w:hAnsi="Times New Roman"/>
                <w:sz w:val="17"/>
                <w:szCs w:val="17"/>
                <w:color w:val="B3B3B3"/>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 .....................................................</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4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20"/>
          </w:cols>
          <w:pgMar w:left="960" w:top="214" w:right="860"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Table of Contents</w:t>
      </w:r>
    </w:p>
    <w:p>
      <w:pPr>
        <w:ind w:left="3260"/>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ind w:left="32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right="3140"/>
        <w:spacing w:after="0" w:line="503" w:lineRule="auto"/>
        <w:tabs>
          <w:tab w:leader="none" w:pos="817"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THE BUSINESS AND BASIS OF PRESENTATION Organization and Description of the Business</w:t>
      </w:r>
    </w:p>
    <w:p>
      <w:pPr>
        <w:spacing w:after="0" w:line="2"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spacing w:after="0" w:line="197"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2024, the wholly owned subsidiaries of Diamondback include Diamondback E&amp;P LLC (“Diamondback E&amp;P”), a Delaware limited liability company, Rattler Midstream GP LLC, a Delaware limited liability company (“Rattler’s GP”), Rattler Midstream LP, a Delaware limited partnership (“Rattler”), QEP Resources, Inc. (“QEP”), a Delaware corporation and Eclipse Merger Sub II, LLC, a Delaware limited liability company.</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Rattler Merger</w:t>
      </w:r>
    </w:p>
    <w:p>
      <w:pPr>
        <w:spacing w:after="0" w:line="25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On August 24, 2022 (the “Effective Date”), the Company completed a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Rattler’s GP remains the general partner of Rattler. Following the closing of the Rattler Merger, Rattler’s common units were delisted from Nasdaq and Rattler filed a certification on Form 15 with the SEC requesting the deregistration of its common units and suspension of Rattler’s reporting obligations under the Exchange Act.</w:t>
      </w:r>
    </w:p>
    <w:p>
      <w:pPr>
        <w:spacing w:after="0" w:line="205" w:lineRule="exact"/>
        <w:rPr>
          <w:sz w:val="20"/>
          <w:szCs w:val="20"/>
          <w:color w:val="auto"/>
        </w:rPr>
      </w:pPr>
    </w:p>
    <w:p>
      <w:pPr>
        <w:jc w:val="both"/>
        <w:ind w:left="100" w:firstLine="721"/>
        <w:spacing w:after="0" w:line="259" w:lineRule="auto"/>
        <w:rPr>
          <w:sz w:val="20"/>
          <w:szCs w:val="20"/>
          <w:color w:val="auto"/>
        </w:rPr>
      </w:pPr>
      <w:r>
        <w:rPr>
          <w:rFonts w:ascii="Times New Roman" w:cs="Times New Roman" w:eastAsia="Times New Roman" w:hAnsi="Times New Roman"/>
          <w:sz w:val="20"/>
          <w:szCs w:val="20"/>
          <w:color w:val="auto"/>
        </w:rPr>
        <w:t>The Rattler Merger was accounted for as a non- cash equity transaction resulting in increases to common stock of $44 thousand, additional paid-in-capital of $344 million, merger and integration expense of $11 million and a decrease in noncontrolling interests in consolidated subsidiaries of $344 million. For periods prior to the Effective Date, the results of operations attributable to the non -controlling interest in Rattler are presented within equity and net income and are shown separately from the equity and net income attributable to the Company.</w:t>
      </w:r>
    </w:p>
    <w:p>
      <w:pPr>
        <w:spacing w:after="0" w:line="1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Viper Conversion to Corporate Structure</w:t>
      </w:r>
    </w:p>
    <w:p>
      <w:pPr>
        <w:spacing w:after="0" w:line="25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and each of the Company’s Class B units representing a limited partnership interest in Viper Energy Partners, LP was converted, on a unit -for-unit basis, into one issued and outstanding, fully paid and nonassessable share of Class B common stock of Viper. At the time of the Viper Conversion, Viper was a “controlled company” under the Nasdaq rules because the Company owned more than 50% of the voting power of Viper’s common stock.</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56"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subsidiaries after all significant intercompany balances and transactions have been eliminated upon consolidation.</w:t>
      </w:r>
    </w:p>
    <w:p>
      <w:pPr>
        <w:spacing w:after="0" w:line="166"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Viper is consolidated in the Company’s financial statements. 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180"/>
          </w:cols>
          <w:pgMar w:left="980" w:top="214" w:right="1080" w:bottom="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company under the Nasdaq rules. Following the completion of the Viper 2024 Equity Offering (as defined and discussed in Note 10—Stockholders' Equity and Earnings (Loss) Per Share) the Company’s ownership of Viper’s voting securities was further reduced to approximately 45%. However, the Company determined, in each case, that it still controls the activities of Viper in accordance with the guidance for variable interest entities in Accounting Standards Codification (“ASC”) Topic 810</w:t>
      </w:r>
    </w:p>
    <w:p>
      <w:pPr>
        <w:spacing w:after="0" w:line="3"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 “Consolidation” and therefore continues to consolidate Viper in the Company’s financial statements at December 31, 2024. See further discussion of the Company’s determination that Viper is a variable interest entity (“VIE”) in Note 2— Summary of Significant Accounting Policies.</w:t>
      </w:r>
    </w:p>
    <w:p>
      <w:pPr>
        <w:spacing w:after="0" w:line="187"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As of December 31, 2024, the Company owned approximately 45% of Viper’s combined outstanding Class A common stock and Class B common stock. The results of operations attributable to the non-controlling interest in Viper are presented within equity and net income and are shown separately from the equity and net income attributable to the Company.</w:t>
      </w:r>
    </w:p>
    <w:p>
      <w:pPr>
        <w:spacing w:after="0" w:line="194"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2024, the Company is managed as one operating and reportable segment, the upstream segment, which is engaged in the acquisition, development, exploration and exploitation of unconventional, onshore oil and natural gas reserves primarily in the Permian Basin in West Texas and includes the activities of Viper as well as the Company’s remaining midstream operations. Prior to the Rattler Merger, both the upstream operations segment and the midstream operations segment were considered reportable segments. Following the Rattler Merger, the midstream operations segment no longer met the quantitative threshold for a reportable segment, but was considered an operating segment. Beginning in the fourth quarter of 2024, the Company’s Chief Operating Decision Maker (“CODM”) no longer receives separate financial information for Rattler due to its insignificance to the Company after further midstream asset divestitures, and Rattler is no longer considered to be an operating segment. As of December 31, 2024, the Company determined only the upstream segment met the quantitative requirements of a reportable segment and an operating segment.</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5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82" w:lineRule="exact"/>
        <w:rPr>
          <w:sz w:val="20"/>
          <w:szCs w:val="20"/>
          <w:color w:val="auto"/>
        </w:rPr>
      </w:pPr>
    </w:p>
    <w:p>
      <w:pPr>
        <w:ind w:left="100" w:right="4180"/>
        <w:spacing w:after="0" w:line="503" w:lineRule="auto"/>
        <w:tabs>
          <w:tab w:leader="none" w:pos="817"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Use of Estimates</w:t>
      </w:r>
    </w:p>
    <w:p>
      <w:pPr>
        <w:spacing w:after="0" w:line="2"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202"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global supply chain disruptions,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the uncertainty in the Company’s accounting estimates, particularly those involving financial forecasts.</w:t>
      </w:r>
    </w:p>
    <w:p>
      <w:pPr>
        <w:spacing w:after="0" w:line="207"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assets acquired and liabilities assumed, and estimates of income taxes, including deferred tax valuation allowances.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180"/>
          </w:cols>
          <w:pgMar w:left="980" w:top="214" w:right="1080" w:bottom="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56" w:lineRule="exact"/>
        <w:rPr>
          <w:sz w:val="20"/>
          <w:szCs w:val="20"/>
          <w:color w:val="auto"/>
        </w:rPr>
      </w:pPr>
    </w:p>
    <w:p>
      <w:pPr>
        <w:jc w:val="both"/>
        <w:ind w:left="100" w:right="80" w:firstLine="720"/>
        <w:spacing w:after="0" w:line="261"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Accounts Receivable</w:t>
      </w:r>
    </w:p>
    <w:p>
      <w:pPr>
        <w:spacing w:after="0" w:line="25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187"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utilizing the loss-rate method, which considers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2024 and 2023, the Company’s allowances for credit losses related to joint interest receivables and credit losses related to sales of oil and natural gas production were not material.</w:t>
      </w: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258"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To the extent that contracts with the same counterparty are allowed to be netted upon payment subject to a master netting arrangement, these amounts are reported on a net basis on the consolidated balance sheets. From the second quarter of 2021 through the second quarter of 2022, the Company had certain interest rate swaps designated as fair value hedges under the “shortcut” method of accounting. As such, gains and losses due to changes in the fair value of the interest rate swaps during those periods completely offset changes in the fair value of the hedged portion of the underlying debt. In the second quarter of 2022, the Company elected to fully dedesignate these interest rate swaps and hedge accounting was discontinued. For additional information regarding the Company’s derivative instruments, see Note 13—Derivatives.</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Oil and Natural Gas Properties</w:t>
      </w:r>
    </w:p>
    <w:p>
      <w:pPr>
        <w:spacing w:after="0" w:line="256"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internal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$12.60, $10.21 and $8.87 for the years ended December 31, 2024, 2023 and 2022, respectively. Depletion</w:t>
      </w: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180"/>
          </w:cols>
          <w:pgMar w:left="980" w:top="214" w:right="108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40" w:firstLine="1"/>
        <w:spacing w:after="0" w:line="286" w:lineRule="auto"/>
        <w:rPr>
          <w:sz w:val="20"/>
          <w:szCs w:val="20"/>
          <w:color w:val="auto"/>
        </w:rPr>
      </w:pPr>
      <w:r>
        <w:rPr>
          <w:rFonts w:ascii="Times New Roman" w:cs="Times New Roman" w:eastAsia="Times New Roman" w:hAnsi="Times New Roman"/>
          <w:sz w:val="20"/>
          <w:szCs w:val="20"/>
          <w:color w:val="auto"/>
        </w:rPr>
        <w:t>expense for oil and natural gas properties was $2.8 billion, $1.7 billion and $1.3 billion for the years ended December 31, 2024, 2023 and 2022, respectively.</w:t>
      </w:r>
    </w:p>
    <w:p>
      <w:pPr>
        <w:spacing w:after="0" w:line="170" w:lineRule="exact"/>
        <w:rPr>
          <w:sz w:val="20"/>
          <w:szCs w:val="20"/>
          <w:color w:val="auto"/>
        </w:rPr>
      </w:pPr>
    </w:p>
    <w:p>
      <w:pPr>
        <w:jc w:val="both"/>
        <w:ind w:left="100" w:firstLine="720"/>
        <w:spacing w:after="0" w:line="250" w:lineRule="auto"/>
        <w:rPr>
          <w:sz w:val="20"/>
          <w:szCs w:val="20"/>
          <w:color w:val="auto"/>
        </w:rPr>
      </w:pPr>
      <w:r>
        <w:rPr>
          <w:rFonts w:ascii="Times New Roman" w:cs="Times New Roman" w:eastAsia="Times New Roman" w:hAnsi="Times New Roman"/>
          <w:sz w:val="20"/>
          <w:szCs w:val="20"/>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properties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w:t>
      </w:r>
    </w:p>
    <w:p>
      <w:pPr>
        <w:jc w:val="both"/>
        <w:ind w:left="100" w:hanging="1"/>
        <w:spacing w:after="0" w:line="258" w:lineRule="auto"/>
        <w:tabs>
          <w:tab w:leader="none" w:pos="41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on proved oil and natural gas properties, see Note 6—Property and Equipment.</w:t>
      </w:r>
    </w:p>
    <w:p>
      <w:pPr>
        <w:spacing w:after="0" w:line="20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 group basis, as a majority of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Other Property, Equipment and Land</w:t>
      </w:r>
    </w:p>
    <w:p>
      <w:pPr>
        <w:spacing w:after="0" w:line="25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 estimated useful lives of the assets, which range from three years to 30 years.</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58"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Company accounts for its corporate joint ventures and equity investments under the equity method of accounting in accordance with Financial Accounting Standards Board ASC Topic 323 “Investments — Equity Method and Joint Ventures.” The Company applies the equity method of accounting to investments of less than 50% in an investee over which the Company has the ability to exercise significant influence but does not have control, and investments of greater than 50% in an investee over which the Company does not exercise significant influence or have control. Under the equity method of accounting, the Company’s share of the investee’s earnings or loss is recognized in the statement of operations. As of December 31, 2024, the Company’s proportionate share of the income or loss from equity method investments is recognized on a one or two-month lag for its equity method investments.</w:t>
      </w:r>
    </w:p>
    <w:p>
      <w:pPr>
        <w:spacing w:after="0" w:line="20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 xml:space="preserve">Judgment regarding the level of influence over each equity method investment includes considering key factors such as, but not limited to, ownership interest, representation on the board of directors, participation in policy-making decisions, material intercompany transactions and extent of ownership by an investor in relation to the concentration of other shareholdings. Additionally, an </w:t>
      </w:r>
      <w:r>
        <w:rPr>
          <w:rFonts w:ascii="Times New Roman" w:cs="Times New Roman" w:eastAsia="Times New Roman" w:hAnsi="Times New Roman"/>
          <w:sz w:val="20"/>
          <w:szCs w:val="20"/>
          <w:color w:val="101010"/>
        </w:rPr>
        <w:t>investment in a limited liability company that maintains a specific ownership account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01010"/>
        </w:rPr>
        <w:t>each investor shall be viewed as similar to an investment in a limited partnership for purposes of determining whether a non-controlling investment shall be accounted for using the equity method or as an investment over which we do not have the ability to exercise significant influence.</w:t>
      </w:r>
    </w:p>
    <w:p>
      <w:pPr>
        <w:spacing w:after="0" w:line="203"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The Company reviews its investments to determine if a loss in value which is other than a temporary decline has occurred. If such a loss has occurred, the Company recognizes an impairment provision. There were no significant impairments of the Company’s equity investments for the years ended December 31, 2024, 2023 and 2022. See Note 8— Equity Method Investments and Related Party Transactions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180"/>
          </w:cols>
          <w:pgMar w:left="980" w:top="214" w:right="1080" w:bottom="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Asset Retirement Obligations</w:t>
      </w:r>
    </w:p>
    <w:p>
      <w:pPr>
        <w:spacing w:after="0" w:line="25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Company measures the future cost to retire its tangible long- lived assets and recognizes such cost as a liability for legal obligations associated with the retirement of long-lived assets that result from the acquisition, construction or normal operation of a long-lived asset.</w:t>
      </w:r>
    </w:p>
    <w:p>
      <w:pPr>
        <w:spacing w:after="0" w:line="187"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0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7— Asset Retirement Obligations.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58"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Other property and equipment used in operations and midstream assets are reviewed whenever events or circumstances indicate that the carrying amount of an asset may not be recoverable. An impairment loss is recognized only if the carrying amount of a long- lived asset is not recoverable from its estimated future undiscounted cash flows. An impairment loss is the difference between the carrying amount and fair value of the asset. The Company had no significant impairment losses for the years ended December 31, 2024, 2023 and 2022.</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Capitalized Interest</w:t>
      </w:r>
    </w:p>
    <w:p>
      <w:pPr>
        <w:spacing w:after="0" w:line="25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9— Debt for further details.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5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and primarily consist of tubular goods and equipment at December 31, 2024 and 2023. The Company’s tubular goods and equipment are primarily comprised of oil and natural gas drilling or repair items such as tubing, casing and pumping units.</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25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9—Debt for further details. The costs associated with the Company’s credit facilities are included in other assets on the consolidated balance sheet and are amortized over the term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180"/>
          </w:cols>
          <w:pgMar w:left="980" w:top="214" w:right="1080"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Other Accrued Liabilities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Company’s accrued liabilities are financial instruments for which the carrying value approximates fair value.</w:t>
      </w:r>
    </w:p>
    <w:p>
      <w:pPr>
        <w:spacing w:after="0" w:line="2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Other accrued liabilities consist of the following at December 31, 2024, and 2023:</w:t>
      </w:r>
    </w:p>
    <w:p>
      <w:pPr>
        <w:spacing w:after="0" w:line="399"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7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r>
      <w:tr>
        <w:trPr>
          <w:trHeight w:val="218"/>
        </w:trPr>
        <w:tc>
          <w:tcPr>
            <w:tcW w:w="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w w:val="99"/>
              </w:rPr>
              <w:t>Derivative liability payable ......................................................................................</w:t>
            </w:r>
          </w:p>
        </w:tc>
        <w:tc>
          <w:tcPr>
            <w:tcW w:w="1220" w:type="dxa"/>
            <w:vAlign w:val="bottom"/>
            <w:gridSpan w:val="2"/>
          </w:tcPr>
          <w:p>
            <w:pPr>
              <w:jc w:val="right"/>
              <w:ind w:right="993"/>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20" w:type="dxa"/>
            <w:vAlign w:val="bottom"/>
          </w:tcPr>
          <w:p>
            <w:pPr>
              <w:spacing w:after="0"/>
              <w:rPr>
                <w:sz w:val="22"/>
                <w:szCs w:val="22"/>
                <w:color w:val="auto"/>
              </w:rPr>
            </w:pPr>
          </w:p>
        </w:tc>
        <w:tc>
          <w:tcPr>
            <w:tcW w:w="700" w:type="dxa"/>
            <w:vAlign w:val="bottom"/>
            <w:gridSpan w:val="5"/>
          </w:tcPr>
          <w:p>
            <w:pPr>
              <w:jc w:val="right"/>
              <w:ind w:right="4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22"/>
                <w:szCs w:val="22"/>
                <w:color w:val="auto"/>
              </w:rPr>
            </w:pPr>
          </w:p>
        </w:tc>
      </w:tr>
      <w:tr>
        <w:trPr>
          <w:trHeight w:val="257"/>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Lease operating expenses payable</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20" w:type="dxa"/>
            <w:vAlign w:val="bottom"/>
          </w:tcPr>
          <w:p>
            <w:pPr>
              <w:spacing w:after="0"/>
              <w:rPr>
                <w:sz w:val="22"/>
                <w:szCs w:val="22"/>
                <w:color w:val="auto"/>
              </w:rPr>
            </w:pPr>
          </w:p>
        </w:tc>
      </w:tr>
      <w:tr>
        <w:trPr>
          <w:trHeight w:val="257"/>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Ad valorem taxes payable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20" w:type="dxa"/>
            <w:vAlign w:val="bottom"/>
          </w:tcPr>
          <w:p>
            <w:pPr>
              <w:spacing w:after="0"/>
              <w:rPr>
                <w:sz w:val="22"/>
                <w:szCs w:val="22"/>
                <w:color w:val="auto"/>
              </w:rPr>
            </w:pPr>
          </w:p>
        </w:tc>
      </w:tr>
      <w:tr>
        <w:trPr>
          <w:trHeight w:val="254"/>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rPr>
              <w:t>Accrued</w:t>
            </w:r>
          </w:p>
        </w:tc>
        <w:tc>
          <w:tcPr>
            <w:tcW w:w="5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w w:val="96"/>
              </w:rPr>
              <w:t xml:space="preserve">compensation </w:t>
            </w:r>
            <w:r>
              <w:rPr>
                <w:rFonts w:ascii="Times New Roman" w:cs="Times New Roman" w:eastAsia="Times New Roman" w:hAnsi="Times New Roman"/>
                <w:sz w:val="19"/>
                <w:szCs w:val="19"/>
                <w:color w:val="B3B3B3"/>
                <w:w w:val="96"/>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0" w:type="dxa"/>
            <w:vAlign w:val="bottom"/>
          </w:tcPr>
          <w:p>
            <w:pPr>
              <w:spacing w:after="0"/>
              <w:rPr>
                <w:sz w:val="22"/>
                <w:szCs w:val="22"/>
                <w:color w:val="auto"/>
              </w:rPr>
            </w:pPr>
          </w:p>
        </w:tc>
      </w:tr>
      <w:tr>
        <w:trPr>
          <w:trHeight w:val="254"/>
        </w:trPr>
        <w:tc>
          <w:tcPr>
            <w:tcW w:w="780" w:type="dxa"/>
            <w:vAlign w:val="bottom"/>
          </w:tcPr>
          <w:p>
            <w:pPr>
              <w:spacing w:after="0"/>
              <w:rPr>
                <w:sz w:val="20"/>
                <w:szCs w:val="20"/>
                <w:color w:val="auto"/>
              </w:rPr>
            </w:pPr>
            <w:r>
              <w:rPr>
                <w:rFonts w:ascii="Times New Roman" w:cs="Times New Roman" w:eastAsia="Times New Roman" w:hAnsi="Times New Roman"/>
                <w:sz w:val="19"/>
                <w:szCs w:val="19"/>
                <w:color w:val="auto"/>
              </w:rPr>
              <w:t>Interest</w:t>
            </w:r>
          </w:p>
        </w:tc>
        <w:tc>
          <w:tcPr>
            <w:tcW w:w="54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w w:val="95"/>
              </w:rPr>
              <w:t>payable</w:t>
            </w:r>
            <w:r>
              <w:rPr>
                <w:rFonts w:ascii="Times New Roman" w:cs="Times New Roman" w:eastAsia="Times New Roman" w:hAnsi="Times New Roman"/>
                <w:sz w:val="19"/>
                <w:szCs w:val="19"/>
                <w:color w:val="B3B3B3"/>
                <w:w w:val="95"/>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20" w:type="dxa"/>
            <w:vAlign w:val="bottom"/>
          </w:tcPr>
          <w:p>
            <w:pPr>
              <w:spacing w:after="0"/>
              <w:rPr>
                <w:sz w:val="22"/>
                <w:szCs w:val="22"/>
                <w:color w:val="auto"/>
              </w:rPr>
            </w:pPr>
          </w:p>
        </w:tc>
      </w:tr>
      <w:tr>
        <w:trPr>
          <w:trHeight w:val="254"/>
        </w:trPr>
        <w:tc>
          <w:tcPr>
            <w:tcW w:w="6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Midstream operating expenses payable</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0" w:type="dxa"/>
            <w:vAlign w:val="bottom"/>
          </w:tcPr>
          <w:p>
            <w:pPr>
              <w:spacing w:after="0"/>
              <w:rPr>
                <w:sz w:val="22"/>
                <w:szCs w:val="22"/>
                <w:color w:val="auto"/>
              </w:rPr>
            </w:pPr>
          </w:p>
        </w:tc>
      </w:tr>
      <w:tr>
        <w:trPr>
          <w:trHeight w:val="259"/>
        </w:trPr>
        <w:tc>
          <w:tcPr>
            <w:tcW w:w="6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w:t>
            </w:r>
            <w:r>
              <w:rPr>
                <w:rFonts w:ascii="Times New Roman" w:cs="Times New Roman" w:eastAsia="Times New Roman" w:hAnsi="Times New Roman"/>
                <w:sz w:val="19"/>
                <w:szCs w:val="19"/>
                <w:color w:val="B3B3B3"/>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0" w:type="dxa"/>
            <w:vAlign w:val="bottom"/>
            <w:tcBorders>
              <w:bottom w:val="single" w:sz="8" w:color="auto"/>
            </w:tcBorders>
          </w:tcPr>
          <w:p>
            <w:pPr>
              <w:spacing w:after="0"/>
              <w:rPr>
                <w:sz w:val="22"/>
                <w:szCs w:val="22"/>
                <w:color w:val="auto"/>
              </w:rPr>
            </w:pPr>
          </w:p>
        </w:tc>
      </w:tr>
      <w:tr>
        <w:trPr>
          <w:trHeight w:val="198"/>
        </w:trPr>
        <w:tc>
          <w:tcPr>
            <w:tcW w:w="62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9"/>
                <w:szCs w:val="19"/>
                <w:color w:val="B3B3B3"/>
              </w:rPr>
              <w:t>..........................................................................</w:t>
            </w:r>
            <w:r>
              <w:rPr>
                <w:rFonts w:ascii="Times New Roman" w:cs="Times New Roman" w:eastAsia="Times New Roman" w:hAnsi="Times New Roman"/>
                <w:sz w:val="19"/>
                <w:szCs w:val="19"/>
                <w:color w:val="000000"/>
              </w:rPr>
              <w:t>Totalotheraccruedliabilities</w:t>
            </w:r>
          </w:p>
        </w:tc>
        <w:tc>
          <w:tcPr>
            <w:tcW w:w="2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9"/>
                <w:szCs w:val="19"/>
                <w:color w:val="auto"/>
              </w:rPr>
              <w:t>1,020</w:t>
            </w: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62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ind w:right="6"/>
              <w:spacing w:after="0" w:line="198" w:lineRule="exact"/>
              <w:rPr>
                <w:sz w:val="20"/>
                <w:szCs w:val="20"/>
                <w:color w:val="auto"/>
              </w:rPr>
            </w:pPr>
            <w:r>
              <w:rPr>
                <w:rFonts w:ascii="Times New Roman" w:cs="Times New Roman" w:eastAsia="Times New Roman" w:hAnsi="Times New Roman"/>
                <w:sz w:val="19"/>
                <w:szCs w:val="19"/>
                <w:color w:val="auto"/>
              </w:rPr>
              <w:t>475</w:t>
            </w:r>
          </w:p>
        </w:tc>
        <w:tc>
          <w:tcPr>
            <w:tcW w:w="20" w:type="dxa"/>
            <w:vAlign w:val="bottom"/>
          </w:tcPr>
          <w:p>
            <w:pPr>
              <w:spacing w:after="0"/>
              <w:rPr>
                <w:sz w:val="17"/>
                <w:szCs w:val="17"/>
                <w:color w:val="auto"/>
              </w:rPr>
            </w:pPr>
          </w:p>
        </w:tc>
      </w:tr>
      <w:tr>
        <w:trPr>
          <w:trHeight w:val="37"/>
        </w:trPr>
        <w:tc>
          <w:tcPr>
            <w:tcW w:w="7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Revenue and Royalties Payable</w:t>
      </w:r>
    </w:p>
    <w:p>
      <w:pPr>
        <w:spacing w:after="0" w:line="256" w:lineRule="exact"/>
        <w:rPr>
          <w:sz w:val="20"/>
          <w:szCs w:val="20"/>
          <w:color w:val="auto"/>
        </w:rPr>
      </w:pPr>
    </w:p>
    <w:p>
      <w:pPr>
        <w:jc w:val="both"/>
        <w:ind w:left="100" w:firstLine="720"/>
        <w:spacing w:after="0" w:line="259" w:lineRule="auto"/>
        <w:rPr>
          <w:sz w:val="20"/>
          <w:szCs w:val="20"/>
          <w:color w:val="auto"/>
        </w:rPr>
      </w:pPr>
      <w:r>
        <w:rPr>
          <w:rFonts w:ascii="Times New Roman" w:cs="Times New Roman" w:eastAsia="Times New Roman" w:hAnsi="Times New Roman"/>
          <w:sz w:val="20"/>
          <w:szCs w:val="20"/>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1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5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Non-controlling interests in the accompanying consolidated financial statements represent the public’s ownership interest in Viper as well as Rattler prior to the Rattler Merger, and are presented as a component of equity. When the Company’s relative ownership interests change, adjustments to non- controlling interest and additional paid-in-capital, tax effected, occur. Because these changes in the ownership interests do not result in a change of control, the transactions are accounted for as equity transactions under ASC Topic 810, “Consolidation,” which requires that any differences between the carrying value of the Company’s basis in Viper (and Rattler prior to the Rattler Merger) and the fair value of the consideration received are recognized directly in equity and attributed to the controlling interest. See Note 10—Stockholders' Equity and Earnings (Loss) Per Share for a discussion of changes in the Company’s ownership interest in consolidated subsidiaries during the years ended December 31, 2024, 2023 and 2022.</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Revenue from Contracts with Customers</w:t>
      </w:r>
    </w:p>
    <w:p>
      <w:pPr>
        <w:spacing w:after="0" w:line="251"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Sales of oil, natural gas and natural gas liquids are recognized at the point control of the product is transferred to the customer. Virtually all of the pricing provisions in the Company’s contracts are tied to a market index, with certain adjustments to account for various factors depending on the points of sale. As a result, the price of the oil, natural gas and natural gas liquids fluctuates to remain competitive with other available oil, natural gas and natural gas liquids supplies.</w:t>
      </w:r>
    </w:p>
    <w:p>
      <w:pPr>
        <w:spacing w:after="0" w:line="1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Oil sales</w:t>
      </w:r>
    </w:p>
    <w:p>
      <w:pPr>
        <w:spacing w:after="0" w:line="25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Company’s oil sales contracts are generally structured where it delivers oil to the purchaser at a contractually agreed-upon delivery point at which the purchaser takes custody, title and risk of loss of the product.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180"/>
          </w:cols>
          <w:pgMar w:left="980" w:top="214" w:right="1080" w:bottom="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Natural gas and natural gas liquids sales</w:t>
      </w:r>
    </w:p>
    <w:p>
      <w:pPr>
        <w:spacing w:after="0" w:line="251"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 Under contracts where the Company has concluded that it is the agent, the Company recognizes revenue on a net basis, with transportation, gathering, processing, treating and compression fees as a reduction to revenues in the consolidated statements of operations.</w:t>
      </w:r>
    </w:p>
    <w:p>
      <w:pPr>
        <w:spacing w:after="0" w:line="214"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In certain natural gas processing agreements, the Company may elect to take its residue gas and/or natural gas liquids in- kind at the tailgate of the midstream entity’s processing plant and subsequently market the product. Through the marketing process, the Company delivers product to the ultimate third- 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gathering, processing and transportation expense in the consolidated statements of operations.</w:t>
      </w:r>
    </w:p>
    <w:p>
      <w:pPr>
        <w:spacing w:after="0" w:line="2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Sales of purchased oil and purchased oil expense</w:t>
      </w:r>
    </w:p>
    <w:p>
      <w:pPr>
        <w:spacing w:after="0" w:line="251"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Company enters into pipeline capacity commitments in order to secure available transportation capacity from the Company's areas of production for its commodities. Beginning in the third quarter of 2023, the Company has also entered into purchase transactions with third parties and separate sale transactions with third parties to satisfy certain of its unused oil pipeline capacity commitments. Revenues and expenses from these transactions are generally presented on a gross basis in the captions “Sales of purchased oil” and “Purchased oil expense” in the accompanying consolidated statements of operations as the Company acts as a principal in the transaction by assuming both the risks and rewards of ownership, including credit risk, of the oil volumes purchased and the responsibility to deliver the oil volumes sold.</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1"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Company’s upstream product sales contracts do not originate until production occurs and, therefore, are not considered to exist beyond each days’ production. Therefore, there are no remaining performance obligations under any of its product sales contracts.</w:t>
      </w:r>
    </w:p>
    <w:p>
      <w:pPr>
        <w:spacing w:after="0" w:line="18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Under the Company’s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Contract balances</w:t>
      </w:r>
    </w:p>
    <w:p>
      <w:pPr>
        <w:spacing w:after="0" w:line="253"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Prior-period performance obligations</w:t>
      </w:r>
    </w:p>
    <w:p>
      <w:pPr>
        <w:spacing w:after="0" w:line="25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2024, 2023 and 2022 revenue recognized in the reporting period related to performance obligations satisfied in</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180"/>
          </w:cols>
          <w:pgMar w:left="980" w:top="214" w:right="1080" w:bottom="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20"/>
          <w:szCs w:val="20"/>
          <w:color w:val="auto"/>
        </w:rPr>
        <w:t>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97" w:lineRule="exact"/>
        <w:rPr>
          <w:sz w:val="20"/>
          <w:szCs w:val="20"/>
          <w:color w:val="auto"/>
        </w:rPr>
      </w:pPr>
    </w:p>
    <w:p>
      <w:pPr>
        <w:ind w:left="100" w:right="760" w:firstLine="720"/>
        <w:spacing w:after="0" w:line="500" w:lineRule="auto"/>
        <w:rPr>
          <w:sz w:val="20"/>
          <w:szCs w:val="20"/>
          <w:color w:val="auto"/>
        </w:rPr>
      </w:pPr>
      <w:r>
        <w:rPr>
          <w:rFonts w:ascii="Times New Roman" w:cs="Times New Roman" w:eastAsia="Times New Roman" w:hAnsi="Times New Roman"/>
          <w:sz w:val="20"/>
          <w:szCs w:val="20"/>
          <w:color w:val="auto"/>
        </w:rPr>
        <w:t xml:space="preserve">See Note 3—Revenue from Contracts with Customers for additional discussion of the Company’s revenues. </w:t>
      </w:r>
      <w:r>
        <w:rPr>
          <w:rFonts w:ascii="Times New Roman" w:cs="Times New Roman" w:eastAsia="Times New Roman" w:hAnsi="Times New Roman"/>
          <w:sz w:val="20"/>
          <w:szCs w:val="20"/>
          <w:b w:val="1"/>
          <w:bCs w:val="1"/>
          <w:color w:val="auto"/>
        </w:rPr>
        <w:t>Accounting for Equity-Based Compensation</w:t>
      </w:r>
    </w:p>
    <w:p>
      <w:pPr>
        <w:spacing w:after="0" w:line="2"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The Company has granted various types of stock-based awards including stock options and restricted stock units. Viper and Rattler, prior to the Rattler Merger, have granted various unit-based awards including unit options and phantom units to employees, officers and directors who perform services for the respective entities. These plans and related accounting policies for material awards are defined and described more fully in Note 11—Equity-Based Compensation. Equity compensation awards are measured at fair value on the date of grant and are expensed over the required service period. Forfeitures for these awards are recognized as they occur.</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Environmental Compliance and Remediation</w:t>
      </w:r>
    </w:p>
    <w:p>
      <w:pPr>
        <w:spacing w:after="0" w:line="258" w:lineRule="exact"/>
        <w:rPr>
          <w:sz w:val="20"/>
          <w:szCs w:val="20"/>
          <w:color w:val="auto"/>
        </w:rPr>
      </w:pPr>
    </w:p>
    <w:p>
      <w:pPr>
        <w:jc w:val="both"/>
        <w:ind w:left="100" w:right="80" w:firstLine="720"/>
        <w:spacing w:after="0" w:line="267" w:lineRule="auto"/>
        <w:rPr>
          <w:sz w:val="20"/>
          <w:szCs w:val="20"/>
          <w:color w:val="auto"/>
        </w:rPr>
      </w:pPr>
      <w:r>
        <w:rPr>
          <w:rFonts w:ascii="Times New Roman" w:cs="Times New Roman" w:eastAsia="Times New Roman" w:hAnsi="Times New Roman"/>
          <w:sz w:val="20"/>
          <w:szCs w:val="20"/>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5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05" w:lineRule="exact"/>
        <w:rPr>
          <w:sz w:val="20"/>
          <w:szCs w:val="20"/>
          <w:color w:val="auto"/>
        </w:rPr>
      </w:pPr>
    </w:p>
    <w:p>
      <w:pPr>
        <w:jc w:val="both"/>
        <w:ind w:left="100" w:firstLine="720"/>
        <w:spacing w:after="0" w:line="241" w:lineRule="auto"/>
        <w:rPr>
          <w:sz w:val="20"/>
          <w:szCs w:val="20"/>
          <w:color w:val="auto"/>
        </w:rPr>
      </w:pPr>
      <w:r>
        <w:rPr>
          <w:rFonts w:ascii="Times New Roman" w:cs="Times New Roman" w:eastAsia="Times New Roman" w:hAnsi="Times New Roman"/>
          <w:sz w:val="20"/>
          <w:szCs w:val="20"/>
          <w:color w:val="auto"/>
        </w:rPr>
        <w:t>The Company records uncertain tax positions based on a two-step process: (i) determine whether it is more likely than not that the tax positions will be sustained on the basis of the technical merits of the position and (ii) for those tax positions that meet the more-likely-than-not recognition threshold, recognize the largest amount of tax benefit that is more than 50 percent likely to be realized upon ultimate settlement with the related tax authority. For additional information regarding income taxes, see Note 12—Income Taxes.</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p>
      <w:pPr>
        <w:spacing w:after="0" w:line="25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 provides changes in the components of accumulated other comprehensive income, net of related income tax effects related to insignificant pension and postretirement benefit plans the Company acquired from Energen Corporation (“Energen”) and QEP (in millions):</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249"/>
        </w:trPr>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3"/>
        </w:trPr>
        <w:tc>
          <w:tcPr>
            <w:tcW w:w="6180" w:type="dxa"/>
            <w:vAlign w:val="bottom"/>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40"/>
              <w:spacing w:after="0" w:line="213" w:lineRule="exact"/>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220"/>
              <w:spacing w:after="0" w:line="213" w:lineRule="exact"/>
              <w:rPr>
                <w:sz w:val="20"/>
                <w:szCs w:val="20"/>
                <w:color w:val="auto"/>
              </w:rPr>
            </w:pPr>
            <w:r>
              <w:rPr>
                <w:rFonts w:ascii="Times New Roman" w:cs="Times New Roman" w:eastAsia="Times New Roman" w:hAnsi="Times New Roman"/>
                <w:sz w:val="20"/>
                <w:szCs w:val="20"/>
                <w:b w:val="1"/>
                <w:bCs w:val="1"/>
                <w:color w:val="auto"/>
                <w:w w:val="94"/>
              </w:rPr>
              <w:t>2023</w:t>
            </w:r>
          </w:p>
        </w:tc>
        <w:tc>
          <w:tcPr>
            <w:tcW w:w="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00"/>
              <w:spacing w:after="0" w:line="213" w:lineRule="exact"/>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6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Balance at beginning of the period</w:t>
            </w:r>
            <w:r>
              <w:rPr>
                <w:rFonts w:ascii="Times New Roman" w:cs="Times New Roman" w:eastAsia="Times New Roman" w:hAnsi="Times New Roman"/>
                <w:sz w:val="20"/>
                <w:szCs w:val="20"/>
                <w:color w:val="B3B3B3"/>
                <w:w w:val="98"/>
              </w:rPr>
              <w:t>....................................................................</w:t>
            </w:r>
          </w:p>
        </w:tc>
        <w:tc>
          <w:tcPr>
            <w:tcW w:w="860" w:type="dxa"/>
            <w:vAlign w:val="bottom"/>
            <w:gridSpan w:val="3"/>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Net actuarial gain (loss) on pension and postretirement benefit plans</w:t>
            </w:r>
            <w:r>
              <w:rPr>
                <w:rFonts w:ascii="Times New Roman" w:cs="Times New Roman" w:eastAsia="Times New Roman" w:hAnsi="Times New Roman"/>
                <w:sz w:val="20"/>
                <w:szCs w:val="20"/>
                <w:color w:val="B3B3B3"/>
                <w:w w:val="98"/>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36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r>
      <w:tr>
        <w:trPr>
          <w:trHeight w:val="270"/>
        </w:trPr>
        <w:tc>
          <w:tcPr>
            <w:tcW w:w="61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7"/>
              </w:rPr>
              <w:t>Income tax benefit (expense)</w:t>
            </w:r>
            <w:r>
              <w:rPr>
                <w:rFonts w:ascii="Times New Roman" w:cs="Times New Roman" w:eastAsia="Times New Roman" w:hAnsi="Times New Roman"/>
                <w:sz w:val="20"/>
                <w:szCs w:val="20"/>
                <w:color w:val="B3B3B3"/>
                <w:w w:val="97"/>
              </w:rPr>
              <w:t>.............................................................................</w:t>
            </w: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194"/>
        </w:trPr>
        <w:tc>
          <w:tcPr>
            <w:tcW w:w="6180" w:type="dxa"/>
            <w:vAlign w:val="bottom"/>
          </w:tcPr>
          <w:p>
            <w:pPr>
              <w:jc w:val="right"/>
              <w:ind w:right="20"/>
              <w:spacing w:after="0" w:line="194"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Balanceatendoftheperiod</w:t>
            </w:r>
          </w:p>
        </w:tc>
        <w:tc>
          <w:tcPr>
            <w:tcW w:w="20" w:type="dxa"/>
            <w:vAlign w:val="bottom"/>
          </w:tcPr>
          <w:p>
            <w:pPr>
              <w:spacing w:after="0"/>
              <w:rPr>
                <w:sz w:val="16"/>
                <w:szCs w:val="16"/>
                <w:color w:val="auto"/>
              </w:rPr>
            </w:pPr>
          </w:p>
        </w:tc>
        <w:tc>
          <w:tcPr>
            <w:tcW w:w="840" w:type="dxa"/>
            <w:vAlign w:val="bottom"/>
            <w:gridSpan w:val="2"/>
          </w:tcPr>
          <w:p>
            <w:pPr>
              <w:jc w:val="right"/>
              <w:ind w:right="680"/>
              <w:spacing w:after="0" w:line="19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auto"/>
              </w:rPr>
              <w:t>(6)</w:t>
            </w:r>
          </w:p>
        </w:tc>
        <w:tc>
          <w:tcPr>
            <w:tcW w:w="40" w:type="dxa"/>
            <w:vAlign w:val="bottom"/>
          </w:tcPr>
          <w:p>
            <w:pPr>
              <w:spacing w:after="0"/>
              <w:rPr>
                <w:sz w:val="16"/>
                <w:szCs w:val="16"/>
                <w:color w:val="auto"/>
              </w:rPr>
            </w:pPr>
          </w:p>
        </w:tc>
        <w:tc>
          <w:tcPr>
            <w:tcW w:w="320" w:type="dxa"/>
            <w:vAlign w:val="bottom"/>
            <w:gridSpan w:val="2"/>
          </w:tcPr>
          <w:p>
            <w:pPr>
              <w:jc w:val="right"/>
              <w:ind w:right="30"/>
              <w:spacing w:after="0" w:line="19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20"/>
                <w:szCs w:val="20"/>
                <w:color w:val="auto"/>
              </w:rPr>
              <w:t>(8)</w:t>
            </w:r>
          </w:p>
        </w:tc>
        <w:tc>
          <w:tcPr>
            <w:tcW w:w="360" w:type="dxa"/>
            <w:vAlign w:val="bottom"/>
          </w:tcPr>
          <w:p>
            <w:pPr>
              <w:jc w:val="right"/>
              <w:ind w:right="100"/>
              <w:spacing w:after="0" w:line="194"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16"/>
                <w:szCs w:val="16"/>
                <w:color w:val="auto"/>
              </w:rPr>
            </w:pPr>
          </w:p>
        </w:tc>
      </w:tr>
      <w:tr>
        <w:trPr>
          <w:trHeight w:val="42"/>
        </w:trPr>
        <w:tc>
          <w:tcPr>
            <w:tcW w:w="6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180"/>
          </w:cols>
          <w:pgMar w:left="980" w:top="214" w:right="1080" w:bottom="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Variable Interest Entity</w:t>
      </w:r>
    </w:p>
    <w:p>
      <w:pPr>
        <w:spacing w:after="0" w:line="256"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spacing w:after="0" w:line="206" w:lineRule="exact"/>
        <w:rPr>
          <w:sz w:val="20"/>
          <w:szCs w:val="20"/>
          <w:color w:val="auto"/>
        </w:rPr>
      </w:pPr>
    </w:p>
    <w:p>
      <w:pPr>
        <w:jc w:val="both"/>
        <w:ind w:left="100" w:firstLine="721"/>
        <w:spacing w:after="0" w:line="255" w:lineRule="auto"/>
        <w:rPr>
          <w:sz w:val="20"/>
          <w:szCs w:val="20"/>
          <w:color w:val="auto"/>
        </w:rPr>
      </w:pPr>
      <w:r>
        <w:rPr>
          <w:rFonts w:ascii="Times New Roman" w:cs="Times New Roman" w:eastAsia="Times New Roman" w:hAnsi="Times New Roman"/>
          <w:sz w:val="20"/>
          <w:szCs w:val="20"/>
          <w:color w:val="auto"/>
        </w:rPr>
        <w:t>In connection with the reduction of the Company’s ownership percentage in Viper to below 50% in March 2024, the Company re-evaluated whether Viper should continue to be consolidated in the Company’s financial statements. Through December 31, 2024, Viper has continued to meet the definition of a VIE under ASC Topic 810, “Consolidation,” and the Company continued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consolidated balance sheets and disclosed parenthetically, if material.</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Pronouncements</w:t>
      </w:r>
    </w:p>
    <w:p>
      <w:pPr>
        <w:spacing w:after="0" w:line="251"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In March 2023, the FASB issued ASU 2023 -01, “Leases (Topic 842) – Common Control Arrangements.” This update (i) requires all lessees that are a party to a lease between entities under common control in which there are leasehold improvements to record amortization over the useful life of the leasehold improvements to the common control group, regardless of the lease term, and (ii) requires leasehold improvements to be accounted for as a transfer between entities under common control through an adjustment to equity if, and when, the lessee no longer controls the use of the underlying asset. The Company adopted this update effective January 1, 2024 by electing to apply the guidance in ASU 2023-01 prospectively to all new leasehold improvements recognized on or after January 1, 2024. The adoption of this update did not have a material impact on the Company’s financial position, results of operations or liquidity.</w:t>
      </w:r>
    </w:p>
    <w:p>
      <w:pPr>
        <w:spacing w:after="0" w:line="208"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The Company adopted this amendment effective in the fourth quarter and applied retrospectively to all prior periods presented in the financial statements. Adoption of the update did not impact the Company’s financial position, results of operations or liquidity.</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Not Yet Adopted</w:t>
      </w:r>
    </w:p>
    <w:p>
      <w:pPr>
        <w:spacing w:after="0" w:line="25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20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 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w:t>
      </w: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180"/>
          </w:cols>
          <w:pgMar w:left="980" w:top="214" w:right="108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60" w:firstLine="1"/>
        <w:spacing w:after="0" w:line="286" w:lineRule="auto"/>
        <w:rPr>
          <w:sz w:val="20"/>
          <w:szCs w:val="20"/>
          <w:color w:val="auto"/>
        </w:rPr>
      </w:pPr>
      <w:r>
        <w:rPr>
          <w:rFonts w:ascii="Times New Roman" w:cs="Times New Roman" w:eastAsia="Times New Roman" w:hAnsi="Times New Roman"/>
          <w:sz w:val="20"/>
          <w:szCs w:val="20"/>
          <w:color w:val="auto"/>
        </w:rPr>
        <w:t>prospectively or retrospectively. Management is currently evaluating this ASU to determine its impact on the Company’s disclosures. Adoption of the update will not impact the Company’s financial position, results of operations or liquidity.</w:t>
      </w:r>
    </w:p>
    <w:p>
      <w:pPr>
        <w:spacing w:after="0" w:line="170" w:lineRule="exact"/>
        <w:rPr>
          <w:sz w:val="20"/>
          <w:szCs w:val="20"/>
          <w:color w:val="auto"/>
        </w:rPr>
      </w:pPr>
    </w:p>
    <w:p>
      <w:pPr>
        <w:ind w:left="100" w:right="120" w:firstLine="719"/>
        <w:spacing w:after="0" w:line="289"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ASUs. ASUs not listed above were assessed and determined to be either not applicable, previously disclosed, or not material upon adoption.</w:t>
      </w:r>
    </w:p>
    <w:p>
      <w:pPr>
        <w:spacing w:after="0" w:line="161" w:lineRule="exact"/>
        <w:rPr>
          <w:sz w:val="20"/>
          <w:szCs w:val="20"/>
          <w:color w:val="auto"/>
        </w:rPr>
      </w:pPr>
    </w:p>
    <w:p>
      <w:pPr>
        <w:ind w:left="140" w:right="4540" w:hanging="40"/>
        <w:spacing w:after="0" w:line="503" w:lineRule="auto"/>
        <w:tabs>
          <w:tab w:leader="none" w:pos="815"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FROM CONTRACTS WITH CUSTOMERS Revenue from Contracts with Customers</w:t>
      </w:r>
    </w:p>
    <w:p>
      <w:pPr>
        <w:spacing w:after="0" w:line="1"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tables present the Company’s revenue from contracts with customers:</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6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center"/>
              <w:ind w:left="44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bottom w:val="single" w:sz="8" w:color="auto"/>
            </w:tcBorders>
          </w:tcPr>
          <w:p>
            <w:pPr>
              <w:spacing w:after="0"/>
              <w:rPr>
                <w:sz w:val="21"/>
                <w:szCs w:val="21"/>
                <w:color w:val="auto"/>
              </w:rPr>
            </w:pPr>
          </w:p>
        </w:tc>
      </w:tr>
      <w:tr>
        <w:trPr>
          <w:trHeight w:val="243"/>
        </w:trPr>
        <w:tc>
          <w:tcPr>
            <w:tcW w:w="6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8"/>
        </w:trPr>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xml:space="preserve">Oil sales </w:t>
            </w:r>
            <w:r>
              <w:rPr>
                <w:rFonts w:ascii="Times New Roman" w:cs="Times New Roman" w:eastAsia="Times New Roman" w:hAnsi="Times New Roman"/>
                <w:sz w:val="20"/>
                <w:szCs w:val="20"/>
                <w:color w:val="B3B3B3"/>
                <w:w w:val="96"/>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7,660</w:t>
            </w:r>
          </w:p>
        </w:tc>
      </w:tr>
      <w:tr>
        <w:trPr>
          <w:trHeight w:val="298"/>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xml:space="preserve">Natural gas sales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w:t>
            </w:r>
          </w:p>
        </w:tc>
      </w:tr>
      <w:tr>
        <w:trPr>
          <w:trHeight w:val="304"/>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Natural gas liquid sales</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1,048</w:t>
            </w:r>
          </w:p>
        </w:tc>
      </w:tr>
      <w:tr>
        <w:trPr>
          <w:trHeight w:val="276"/>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oil, natural gas and natural gas liquid revenues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9,566</w:t>
            </w:r>
          </w:p>
        </w:tc>
      </w:tr>
      <w:tr>
        <w:trPr>
          <w:trHeight w:val="300"/>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xml:space="preserve">Sales of purchased oil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2"/>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Other service revenues</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8"/>
        </w:trPr>
        <w:tc>
          <w:tcPr>
            <w:tcW w:w="6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revenue from contracts with customers </w:t>
            </w:r>
            <w:r>
              <w:rPr>
                <w:rFonts w:ascii="Times New Roman" w:cs="Times New Roman" w:eastAsia="Times New Roman" w:hAnsi="Times New Roman"/>
                <w:sz w:val="20"/>
                <w:szCs w:val="20"/>
                <w:color w:val="B3B3B3"/>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9,635</w:t>
            </w:r>
          </w:p>
        </w:tc>
      </w:tr>
      <w:tr>
        <w:trPr>
          <w:trHeight w:val="21"/>
        </w:trPr>
        <w:tc>
          <w:tcPr>
            <w:tcW w:w="6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tables present the Company’s revenue from oil, natural gas, and natural gas liquids disaggregated by</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basin:</w:t>
      </w:r>
    </w:p>
    <w:p>
      <w:pPr>
        <w:spacing w:after="0" w:line="346" w:lineRule="exact"/>
        <w:rPr>
          <w:sz w:val="20"/>
          <w:szCs w:val="20"/>
          <w:color w:val="auto"/>
        </w:rPr>
      </w:pPr>
    </w:p>
    <w:tbl>
      <w:tblPr>
        <w:tblLayout w:type="fixed"/>
        <w:tblInd w:w="220" w:type="dxa"/>
        <w:tblCellMar>
          <w:top w:w="0" w:type="dxa"/>
          <w:left w:w="0" w:type="dxa"/>
          <w:bottom w:w="0" w:type="dxa"/>
          <w:right w:w="0" w:type="dxa"/>
        </w:tblCellMar>
      </w:tblPr>
      <w:tr>
        <w:trPr>
          <w:trHeight w:val="249"/>
        </w:trPr>
        <w:tc>
          <w:tcPr>
            <w:tcW w:w="49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44"/>
              <w:spacing w:after="0" w:line="204" w:lineRule="exact"/>
              <w:rPr>
                <w:sz w:val="20"/>
                <w:szCs w:val="20"/>
                <w:color w:val="auto"/>
              </w:rPr>
            </w:pPr>
            <w:r>
              <w:rPr>
                <w:rFonts w:ascii="Times New Roman" w:cs="Times New Roman" w:eastAsia="Times New Roman" w:hAnsi="Times New Roman"/>
                <w:sz w:val="18"/>
                <w:szCs w:val="18"/>
                <w:b w:val="1"/>
                <w:bCs w:val="1"/>
                <w:color w:val="auto"/>
                <w:w w:val="99"/>
              </w:rPr>
              <w:t>Midland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45"/>
              <w:spacing w:after="0" w:line="204"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gridSpan w:val="3"/>
            <w:vMerge w:val="restart"/>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9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Oil sales</w:t>
            </w:r>
            <w:r>
              <w:rPr>
                <w:rFonts w:ascii="Times New Roman" w:cs="Times New Roman" w:eastAsia="Times New Roman" w:hAnsi="Times New Roman"/>
                <w:sz w:val="20"/>
                <w:szCs w:val="20"/>
                <w:color w:val="B3B3B3"/>
                <w:w w:val="96"/>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9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 xml:space="preserve">Natural gas sales </w:t>
            </w:r>
            <w:r>
              <w:rPr>
                <w:rFonts w:ascii="Times New Roman" w:cs="Times New Roman" w:eastAsia="Times New Roman" w:hAnsi="Times New Roman"/>
                <w:sz w:val="20"/>
                <w:szCs w:val="20"/>
                <w:color w:val="B3B3B3"/>
                <w:w w:val="96"/>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9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 xml:space="preserve">Natural gas liquid sales </w:t>
            </w:r>
            <w:r>
              <w:rPr>
                <w:rFonts w:ascii="Times New Roman" w:cs="Times New Roman" w:eastAsia="Times New Roman" w:hAnsi="Times New Roman"/>
                <w:sz w:val="20"/>
                <w:szCs w:val="20"/>
                <w:color w:val="B3B3B3"/>
                <w:w w:val="96"/>
              </w:rPr>
              <w: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44"/>
              <w:spacing w:after="0" w:line="204" w:lineRule="exact"/>
              <w:rPr>
                <w:sz w:val="20"/>
                <w:szCs w:val="20"/>
                <w:color w:val="auto"/>
              </w:rPr>
            </w:pPr>
            <w:r>
              <w:rPr>
                <w:rFonts w:ascii="Times New Roman" w:cs="Times New Roman" w:eastAsia="Times New Roman" w:hAnsi="Times New Roman"/>
                <w:sz w:val="18"/>
                <w:szCs w:val="18"/>
                <w:b w:val="1"/>
                <w:bCs w:val="1"/>
                <w:color w:val="auto"/>
                <w:w w:val="99"/>
              </w:rPr>
              <w:t>Midland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45"/>
              <w:spacing w:after="0" w:line="204"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gridSpan w:val="3"/>
            <w:vMerge w:val="restart"/>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Oil sales</w:t>
            </w:r>
            <w:r>
              <w:rPr>
                <w:rFonts w:ascii="Times New Roman" w:cs="Times New Roman" w:eastAsia="Times New Roman" w:hAnsi="Times New Roman"/>
                <w:sz w:val="20"/>
                <w:szCs w:val="20"/>
                <w:color w:val="B3B3B3"/>
                <w:w w:val="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 xml:space="preserve">Natural gas sales </w:t>
            </w:r>
            <w:r>
              <w:rPr>
                <w:rFonts w:ascii="Times New Roman" w:cs="Times New Roman" w:eastAsia="Times New Roman" w:hAnsi="Times New Roman"/>
                <w:sz w:val="20"/>
                <w:szCs w:val="20"/>
                <w:color w:val="B3B3B3"/>
                <w:w w:val="98"/>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 xml:space="preserve">Natural gas liquid sales </w:t>
            </w:r>
            <w:r>
              <w:rPr>
                <w:rFonts w:ascii="Times New Roman" w:cs="Times New Roman" w:eastAsia="Times New Roman" w:hAnsi="Times New Roman"/>
                <w:sz w:val="20"/>
                <w:szCs w:val="20"/>
                <w:color w:val="B3B3B3"/>
                <w:w w:val="98"/>
              </w:rPr>
              <w: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00"/>
          </w:cols>
          <w:pgMar w:left="980" w:top="214" w:right="1060" w:bottom="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4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84"/>
              <w:spacing w:after="0"/>
              <w:rPr>
                <w:sz w:val="20"/>
                <w:szCs w:val="20"/>
                <w:color w:val="auto"/>
              </w:rPr>
            </w:pPr>
            <w:r>
              <w:rPr>
                <w:rFonts w:ascii="Times New Roman" w:cs="Times New Roman" w:eastAsia="Times New Roman" w:hAnsi="Times New Roman"/>
                <w:sz w:val="18"/>
                <w:szCs w:val="18"/>
                <w:b w:val="1"/>
                <w:bCs w:val="1"/>
                <w:color w:val="auto"/>
              </w:rPr>
              <w:t>Midland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8"/>
                <w:szCs w:val="18"/>
                <w:b w:val="1"/>
                <w:bCs w:val="1"/>
                <w:color w:val="auto"/>
              </w:rPr>
              <w:t>Basin</w:t>
            </w: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5"/>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9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Oil sales</w:t>
            </w:r>
            <w:r>
              <w:rPr>
                <w:rFonts w:ascii="Times New Roman" w:cs="Times New Roman" w:eastAsia="Times New Roman" w:hAnsi="Times New Roman"/>
                <w:sz w:val="20"/>
                <w:szCs w:val="20"/>
                <w:color w:val="B3B3B3"/>
                <w:w w:val="96"/>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2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9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 xml:space="preserve">Natural gas sales </w:t>
            </w:r>
            <w:r>
              <w:rPr>
                <w:rFonts w:ascii="Times New Roman" w:cs="Times New Roman" w:eastAsia="Times New Roman" w:hAnsi="Times New Roman"/>
                <w:sz w:val="20"/>
                <w:szCs w:val="20"/>
                <w:color w:val="B3B3B3"/>
                <w:w w:val="96"/>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Natural gas liquid sales </w:t>
            </w:r>
            <w:r>
              <w:rPr>
                <w:rFonts w:ascii="Times New Roman" w:cs="Times New Roman" w:eastAsia="Times New Roman" w:hAnsi="Times New Roman"/>
                <w:sz w:val="20"/>
                <w:szCs w:val="20"/>
                <w:color w:val="B3B3B3"/>
                <w:w w:val="96"/>
              </w:rPr>
              <w:t>.............................................................</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6,823</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w:t>
            </w:r>
          </w:p>
        </w:tc>
        <w:tc>
          <w:tcPr>
            <w:tcW w:w="2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4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51" w:lineRule="exact"/>
        <w:rPr>
          <w:sz w:val="20"/>
          <w:szCs w:val="20"/>
          <w:color w:val="auto"/>
        </w:rPr>
      </w:pPr>
    </w:p>
    <w:p>
      <w:pPr>
        <w:jc w:val="both"/>
        <w:ind w:left="100" w:right="40" w:firstLine="720"/>
        <w:spacing w:after="0" w:line="254" w:lineRule="auto"/>
        <w:rPr>
          <w:sz w:val="20"/>
          <w:szCs w:val="20"/>
          <w:color w:val="auto"/>
        </w:rPr>
      </w:pPr>
      <w:r>
        <w:rPr>
          <w:rFonts w:ascii="Times New Roman" w:cs="Times New Roman" w:eastAsia="Times New Roman" w:hAnsi="Times New Roman"/>
          <w:sz w:val="20"/>
          <w:szCs w:val="20"/>
          <w:color w:val="auto"/>
        </w:rPr>
        <w:t>The Company is subject to risk resulting from the concentration of its crude oil and natural gas sales and receivables with several significant purchasers. For the year ended December 31, 2024, four purchasers each accounted for more than 10% of our revenue: Vitol Inc. (“Vitol”) (17%), Enterprise Crude Oil LLC (“Enterprise”) (15%), Shell Trading (USA) Company (“Shell”) (13%) and DK Trading &amp; Supply LLC (“DK”) (11%). For the year ended December 31, 2023, four purchasers each accounted for more than 10% of the Company’s revenue: Vitol (22%), DK (18%), Shell (14%) and Enterprise (13%). For the year ended December 31, 2022, two purchasers each accounted for more than 10% of the Company’s revenue: Vitol (23%) and Shell (20%) .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99" w:lineRule="exact"/>
        <w:rPr>
          <w:sz w:val="20"/>
          <w:szCs w:val="20"/>
          <w:color w:val="auto"/>
        </w:rPr>
      </w:pPr>
    </w:p>
    <w:p>
      <w:pPr>
        <w:ind w:left="100" w:right="5940"/>
        <w:spacing w:after="0" w:line="503" w:lineRule="auto"/>
        <w:tabs>
          <w:tab w:leader="none" w:pos="817"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 AND DIVESTITURES 2024 Activity</w:t>
      </w: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Diamondback Acquisitions and Divestiture</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Endeavor Acquisition</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For details on the Endeavor Acquisition, see Note 5—Endeavor Energy Resources, LP Acquisition.</w:t>
      </w: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TRP Energy, LLC Asset Exchange</w:t>
      </w:r>
    </w:p>
    <w:p>
      <w:pPr>
        <w:spacing w:after="0" w:line="247" w:lineRule="exact"/>
        <w:rPr>
          <w:sz w:val="20"/>
          <w:szCs w:val="20"/>
          <w:color w:val="auto"/>
        </w:rPr>
      </w:pPr>
    </w:p>
    <w:p>
      <w:pPr>
        <w:jc w:val="both"/>
        <w:ind w:left="100" w:right="40" w:firstLine="720"/>
        <w:spacing w:after="0" w:line="265" w:lineRule="auto"/>
        <w:rPr>
          <w:sz w:val="20"/>
          <w:szCs w:val="20"/>
          <w:color w:val="auto"/>
        </w:rPr>
      </w:pPr>
      <w:r>
        <w:rPr>
          <w:rFonts w:ascii="Times New Roman" w:cs="Times New Roman" w:eastAsia="Times New Roman" w:hAnsi="Times New Roman"/>
          <w:sz w:val="20"/>
          <w:szCs w:val="20"/>
          <w:color w:val="auto"/>
        </w:rPr>
        <w:t>On December 20, 2024, the Company completed a transaction with TRP Energy, LLC (“TRP”), in which the Company exchanged certain assets including approximately 47,034 gross (35,673 net) acres located in the Delaware Basin and $325 million in cash, subject to customary post-closing adjustments, for certain of TRP’s assets consisting of approximately 21,582 gross (15,421 net) acres located in the Midland Basin with 55 operated locations (the “TRP Exchange”). The TRP Exchange is expected to expand our operating footprint and enhance our inventory of near-term drilling locations, and was valued at approximately $1.4 billion. The Company funded the cash portion of the exchange with cash on hand and borrowings under its revolving credit facility.</w:t>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presents the acquisition consideration transferred in the TRP Exchange (in millions):</w:t>
      </w: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24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Oil and natural gas properties</w:t>
            </w:r>
            <w:r>
              <w:rPr>
                <w:rFonts w:ascii="Times New Roman" w:cs="Times New Roman" w:eastAsia="Times New Roman" w:hAnsi="Times New Roman"/>
                <w:sz w:val="18"/>
                <w:szCs w:val="18"/>
                <w:color w:val="B3B3B3"/>
              </w:rPr>
              <w:t>.................................................................................................................................</w:t>
            </w:r>
          </w:p>
        </w:tc>
        <w:tc>
          <w:tcPr>
            <w:tcW w:w="840" w:type="dxa"/>
            <w:vAlign w:val="bottom"/>
          </w:tcPr>
          <w:p>
            <w:pPr>
              <w:jc w:val="right"/>
              <w:ind w:right="585"/>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w:t>
            </w:r>
          </w:p>
        </w:tc>
      </w:tr>
      <w:tr>
        <w:trPr>
          <w:trHeight w:val="241"/>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Midstream assets </w:t>
            </w:r>
            <w:r>
              <w:rPr>
                <w:rFonts w:ascii="Times New Roman" w:cs="Times New Roman" w:eastAsia="Times New Roman" w:hAnsi="Times New Roman"/>
                <w:sz w:val="18"/>
                <w:szCs w:val="18"/>
                <w:color w:val="B3B3B3"/>
              </w:rPr>
              <w:t>....................................................................................................................................................</w:t>
            </w:r>
          </w:p>
        </w:tc>
        <w:tc>
          <w:tcPr>
            <w:tcW w:w="8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5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Suspense liabilities relieved </w:t>
            </w:r>
            <w:r>
              <w:rPr>
                <w:rFonts w:ascii="Times New Roman" w:cs="Times New Roman" w:eastAsia="Times New Roman" w:hAnsi="Times New Roman"/>
                <w:sz w:val="18"/>
                <w:szCs w:val="18"/>
                <w:color w:val="B3B3B3"/>
              </w:rPr>
              <w:t>...................................................................................................................................</w:t>
            </w:r>
          </w:p>
        </w:tc>
        <w:tc>
          <w:tcPr>
            <w:tcW w:w="8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35"/>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w:t>
            </w:r>
          </w:p>
        </w:tc>
        <w:tc>
          <w:tcPr>
            <w:tcW w:w="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325</w:t>
            </w:r>
          </w:p>
        </w:tc>
      </w:tr>
      <w:tr>
        <w:trPr>
          <w:trHeight w:val="225"/>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b w:val="1"/>
                <w:bCs w:val="1"/>
                <w:color w:val="B3B3B3"/>
              </w:rPr>
              <w:t>.......................................................................................................................................</w:t>
            </w:r>
          </w:p>
        </w:tc>
        <w:tc>
          <w:tcPr>
            <w:tcW w:w="8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1,351</w:t>
            </w:r>
          </w:p>
        </w:tc>
      </w:tr>
      <w:tr>
        <w:trPr>
          <w:trHeight w:val="20"/>
        </w:trPr>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i w:val="1"/>
          <w:iCs w:val="1"/>
          <w:color w:val="auto"/>
        </w:rPr>
        <w:t>Acquisition Date Fair Value of Consideration Transferred</w:t>
      </w:r>
    </w:p>
    <w:p>
      <w:pPr>
        <w:spacing w:after="0" w:line="247" w:lineRule="exact"/>
        <w:rPr>
          <w:sz w:val="20"/>
          <w:szCs w:val="20"/>
          <w:color w:val="auto"/>
        </w:rPr>
      </w:pPr>
    </w:p>
    <w:p>
      <w:pPr>
        <w:jc w:val="both"/>
        <w:ind w:left="100" w:right="40" w:firstLine="720"/>
        <w:spacing w:after="0" w:line="268" w:lineRule="auto"/>
        <w:rPr>
          <w:sz w:val="20"/>
          <w:szCs w:val="20"/>
          <w:color w:val="auto"/>
        </w:rPr>
      </w:pPr>
      <w:r>
        <w:rPr>
          <w:rFonts w:ascii="Times New Roman" w:cs="Times New Roman" w:eastAsia="Times New Roman" w:hAnsi="Times New Roman"/>
          <w:sz w:val="20"/>
          <w:szCs w:val="20"/>
          <w:color w:val="auto"/>
        </w:rPr>
        <w:t>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20"/>
          </w:cols>
          <w:pgMar w:left="980" w:top="214" w:right="1040" w:bottom="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spacing w:after="0" w:line="18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acquisition date fair value of midstream assets transferred was determined based on the cost approach, which utilized asset listings and cost records with consideration for the age, condition, utilization and economic support of the assets.</w:t>
      </w:r>
    </w:p>
    <w:p>
      <w:pPr>
        <w:spacing w:after="0" w:line="1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i w:val="1"/>
          <w:iCs w:val="1"/>
          <w:color w:val="auto"/>
        </w:rPr>
        <w:t>Allocation of Consideration Transferred</w:t>
      </w:r>
    </w:p>
    <w:p>
      <w:pPr>
        <w:spacing w:after="0" w:line="249"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Although the allocation of consideration transferred is substantially complete as of the date of this filing, title to properties exchanged remain subject to change as the details of the transaction are finalized subsequent to closing. As such, there may be further adjustments to the fair value of certain assets acquired and liabilities assumed. The allocation of consideration transferred will be finalized within twelve months of the closing date of the transaction.</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the Company’s purchase price allocation (in millions):</w:t>
      </w:r>
    </w:p>
    <w:p>
      <w:pPr>
        <w:spacing w:after="0" w:line="343"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b w:val="1"/>
                <w:bCs w:val="1"/>
                <w:color w:val="B3B3B3"/>
              </w:rPr>
              <w:t>...............................................................................................................................................</w:t>
            </w:r>
          </w:p>
        </w:tc>
        <w:tc>
          <w:tcPr>
            <w:tcW w:w="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571"/>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7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 xml:space="preserve">Suspense liabilities </w:t>
            </w:r>
            <w:r>
              <w:rPr>
                <w:rFonts w:ascii="Times New Roman" w:cs="Times New Roman" w:eastAsia="Times New Roman" w:hAnsi="Times New Roman"/>
                <w:sz w:val="18"/>
                <w:szCs w:val="18"/>
                <w:color w:val="B3B3B3"/>
              </w:rPr>
              <w:t>..</w:t>
            </w:r>
            <w:r>
              <w:rPr>
                <w:rFonts w:ascii="Times New Roman" w:cs="Times New Roman" w:eastAsia="Times New Roman" w:hAnsi="Times New Roman"/>
                <w:sz w:val="19"/>
                <w:szCs w:val="19"/>
                <w:color w:val="B3B3B3"/>
              </w:rPr>
              <w: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572"/>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1"/>
        </w:trPr>
        <w:tc>
          <w:tcPr>
            <w:tcW w:w="7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 xml:space="preserve">Oil and natural gas properties </w:t>
            </w:r>
            <w:r>
              <w:rPr>
                <w:rFonts w:ascii="Times New Roman" w:cs="Times New Roman" w:eastAsia="Times New Roman" w:hAnsi="Times New Roman"/>
                <w:sz w:val="18"/>
                <w:szCs w:val="18"/>
                <w:color w:val="B3B3B3"/>
              </w:rPr>
              <w:t>.......</w:t>
            </w:r>
            <w:r>
              <w:rPr>
                <w:rFonts w:ascii="Times New Roman" w:cs="Times New Roman" w:eastAsia="Times New Roman" w:hAnsi="Times New Roman"/>
                <w:sz w:val="19"/>
                <w:szCs w:val="19"/>
                <w:color w:val="B3B3B3"/>
              </w:rPr>
              <w:t>...................................................................................................</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1,354</w:t>
            </w:r>
          </w:p>
        </w:tc>
      </w:tr>
      <w:tr>
        <w:trPr>
          <w:trHeight w:val="211"/>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 xml:space="preserve">Net assets acquired and liabilities assumed </w:t>
            </w:r>
            <w:r>
              <w:rPr>
                <w:rFonts w:ascii="Times New Roman" w:cs="Times New Roman" w:eastAsia="Times New Roman" w:hAnsi="Times New Roman"/>
                <w:sz w:val="18"/>
                <w:szCs w:val="18"/>
                <w:b w:val="1"/>
                <w:bCs w:val="1"/>
                <w:color w:val="B3B3B3"/>
                <w:w w:val="98"/>
              </w:rPr>
              <w:t>.......................................................................................................</w:t>
            </w:r>
          </w:p>
        </w:tc>
        <w:tc>
          <w:tcPr>
            <w:tcW w:w="900" w:type="dxa"/>
            <w:vAlign w:val="bottom"/>
            <w:gridSpan w:val="2"/>
          </w:tcPr>
          <w:p>
            <w:pPr>
              <w:jc w:val="right"/>
              <w:ind w:right="660"/>
              <w:spacing w:after="0" w:line="211" w:lineRule="exact"/>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line="211" w:lineRule="exact"/>
              <w:rPr>
                <w:sz w:val="20"/>
                <w:szCs w:val="20"/>
                <w:color w:val="auto"/>
              </w:rPr>
            </w:pPr>
            <w:r>
              <w:rPr>
                <w:rFonts w:ascii="Times New Roman" w:cs="Times New Roman" w:eastAsia="Times New Roman" w:hAnsi="Times New Roman"/>
                <w:sz w:val="19"/>
                <w:szCs w:val="19"/>
                <w:color w:val="auto"/>
              </w:rPr>
              <w:t>1,351</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Oil and natural gas properties acquired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w:t>
      </w:r>
    </w:p>
    <w:p>
      <w:pPr>
        <w:spacing w:after="0" w:line="202"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With the completion of the TRP Exchange, the Company acquired proved properties of $853 million and unproved properties of $501 million.</w:t>
      </w:r>
    </w:p>
    <w:p>
      <w:pPr>
        <w:spacing w:after="0" w:line="17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The results of operations attributable to the TRP Exchange since the acquisition date have been included in the consolidated statements of operations and were insignificant for the year ended December 31, 2024.</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WTG Midstream Transaction</w:t>
      </w:r>
    </w:p>
    <w:p>
      <w:pPr>
        <w:spacing w:after="0" w:line="244"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The Company owns a 25% non- operating equity investment in Remuda Midstream Holdings LLC, (the “WTG joint venture”). On July 15, 2024, the WTG joint venture sold its subsidiary, WTG Midstream LLC (the “WTG Midstream Transaction”), for which the Company received as its portion of the consideration 10.1 million common units issued by Energy Transfer LP (NYSE: ET) and $190 million in cash, subject to customary post- closing adjustments. The common unit consideration was also subject to preferred distributions to incentive members of the WTG joint venture which reduced the proceeds attributable to the Company. At the closing of the WTG Midstream Transaction, the value attributable to the Company of the 10.1 million common units was approximately $135 million, of which approximately $81 million was received by the Company and $54 million remains in an escrow account pursuant to an escrow agreement entered into by the WTG joint venture in connection with the initial transaction. The total value of distributions received by the Company through December 31, 2024 of $271 million (excluding amounts held in escrow) exceeded the carrying value of the Company’s investment balance in the WTG joint venture, resulting in a gain of approximately $74 million, which is included</w:t>
      </w:r>
    </w:p>
    <w:p>
      <w:pPr>
        <w:sectPr>
          <w:pgSz w:w="12240" w:h="15840" w:orient="portrait"/>
          <w:cols w:equalWidth="0" w:num="1">
            <w:col w:w="10180"/>
          </w:cols>
          <w:pgMar w:left="980" w:top="214" w:right="10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10180"/>
          </w:cols>
          <w:pgMar w:left="980" w:top="214" w:right="10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spacing w:after="0" w:line="286" w:lineRule="auto"/>
        <w:rPr>
          <w:sz w:val="20"/>
          <w:szCs w:val="20"/>
          <w:color w:val="auto"/>
        </w:rPr>
      </w:pPr>
      <w:r>
        <w:rPr>
          <w:rFonts w:ascii="Times New Roman" w:cs="Times New Roman" w:eastAsia="Times New Roman" w:hAnsi="Times New Roman"/>
          <w:sz w:val="20"/>
          <w:szCs w:val="20"/>
          <w:color w:val="auto"/>
        </w:rPr>
        <w:t>in the caption “Other income (expense), net” in the consolidated statement of operations for the year ended December 31, 2024.</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Viper Acquisitions</w:t>
      </w:r>
    </w:p>
    <w:p>
      <w:pPr>
        <w:spacing w:after="0" w:line="2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Viper Tumbleweed Acquisitions</w:t>
      </w:r>
    </w:p>
    <w:p>
      <w:pPr>
        <w:spacing w:after="0" w:line="244" w:lineRule="exact"/>
        <w:rPr>
          <w:sz w:val="20"/>
          <w:szCs w:val="20"/>
          <w:color w:val="auto"/>
        </w:rPr>
      </w:pPr>
    </w:p>
    <w:p>
      <w:pPr>
        <w:jc w:val="both"/>
        <w:ind w:left="100" w:firstLine="720"/>
        <w:spacing w:after="0" w:line="269" w:lineRule="auto"/>
        <w:rPr>
          <w:sz w:val="20"/>
          <w:szCs w:val="20"/>
          <w:color w:val="auto"/>
        </w:rPr>
      </w:pPr>
      <w:r>
        <w:rPr>
          <w:rFonts w:ascii="Times New Roman" w:cs="Times New Roman" w:eastAsia="Times New Roman" w:hAnsi="Times New Roman"/>
          <w:sz w:val="20"/>
          <w:szCs w:val="20"/>
          <w:color w:val="auto"/>
        </w:rPr>
        <w:t>In September and October of 2024, Viper completed a series of related acquisitions including the Viper TWR Acquisition, the Viper Q Acquisition and the Viper M Acquisition, collectively the (“Viper Tumbleweed Acquisitions”) as defined and discussed below.</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On October 1, 2024, Viper acquired all of the issued and outstanding equity interests in TWR IV, LLC and TWR IV</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SellCo, LLC from Tumbleweed Royalty IV, LLC (“TWR IV”) and TWR IV SellCo Parent, LLC (the “Viper TWR</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Acquisition”), pursuant to a definitive purchase and sale agreement for consideration consisting of approximately (i)</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$464 million in cash, including transaction costs and certain customary post-closing adjustments, (ii) 10.09 million Viper</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LLC units to TWR IV, (iii) an option for TWR IV to acquire up to 10.09 million shares of Viper’s Class B Common Stock</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“TWR Class B Option”), and (iv) contingent cash consideration of up to $41 million, payable in January of 2026, based</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on the average price of WTI sweet crude oil prompt month futures contracts for the calendar year 2025 (the “WTI 2025</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Average”).</w:t>
      </w:r>
    </w:p>
    <w:p>
      <w:pPr>
        <w:spacing w:after="0" w:line="252" w:lineRule="exact"/>
        <w:rPr>
          <w:sz w:val="20"/>
          <w:szCs w:val="20"/>
          <w:color w:val="auto"/>
        </w:rPr>
      </w:pPr>
    </w:p>
    <w:p>
      <w:pPr>
        <w:jc w:val="both"/>
        <w:ind w:left="100" w:firstLine="720"/>
        <w:spacing w:after="0" w:line="275" w:lineRule="auto"/>
        <w:rPr>
          <w:sz w:val="20"/>
          <w:szCs w:val="20"/>
          <w:color w:val="auto"/>
        </w:rPr>
      </w:pPr>
      <w:r>
        <w:rPr>
          <w:rFonts w:ascii="Times New Roman" w:cs="Times New Roman" w:eastAsia="Times New Roman" w:hAnsi="Times New Roman"/>
          <w:sz w:val="19"/>
          <w:szCs w:val="19"/>
          <w:color w:val="auto"/>
        </w:rPr>
        <w:t>TWR IV can exchange some or all of the Viper LLC units received for an equal number of shares of Viper’s Class A common stock upon expiration of the six month lockup period. The mineral and royalty interests acquired in the Viper TWR Acquisition represent approximately 3,067 net royalty acres located primarily in the Permian Basin. Viper funded the cash consideration through a combination of cash on hand, borrowings under the Viper LLC credit agreement and proceeds from the Viper 2024 Equity Offering (as defined and discussed in Note 10—Stockholders' Equity and Earnings (Loss) Per Share).</w:t>
      </w:r>
    </w:p>
    <w:p>
      <w:pPr>
        <w:spacing w:after="0" w:line="186" w:lineRule="exact"/>
        <w:rPr>
          <w:sz w:val="20"/>
          <w:szCs w:val="20"/>
          <w:color w:val="auto"/>
        </w:rPr>
      </w:pPr>
    </w:p>
    <w:p>
      <w:pPr>
        <w:jc w:val="both"/>
        <w:ind w:left="100" w:firstLine="720"/>
        <w:spacing w:after="0" w:line="279" w:lineRule="auto"/>
        <w:rPr>
          <w:sz w:val="20"/>
          <w:szCs w:val="20"/>
          <w:color w:val="auto"/>
        </w:rPr>
      </w:pPr>
      <w:r>
        <w:rPr>
          <w:rFonts w:ascii="Times New Roman" w:cs="Times New Roman" w:eastAsia="Times New Roman" w:hAnsi="Times New Roman"/>
          <w:sz w:val="19"/>
          <w:szCs w:val="19"/>
          <w:color w:val="auto"/>
        </w:rPr>
        <w:t>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w:t>
      </w:r>
    </w:p>
    <w:p>
      <w:pPr>
        <w:spacing w:after="0" w:line="18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mineral and royalty interests acquired in the Viper Q &amp; M Acquisitions, represent approximately 406 and 267 net royalty acres located primarily in the Permian Basin, respectively. Viper funded the cash consideration for the Viper Q &amp; M Acquisitions through a combination of cash on hand and borrowings under the Viper LLC credit agreement.</w:t>
      </w:r>
    </w:p>
    <w:p>
      <w:pPr>
        <w:spacing w:after="0" w:line="208"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14—Fair Value Measurements for further discussion of the fair value of the Viper Tumbleweed Acquisitions contingent consideration liabilities (collectively, the “2026 WTI Contingent Liability”).</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2023 Activity</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Diamondback Acquisition and Divestitures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Lario Acquisition</w:t>
      </w:r>
    </w:p>
    <w:p>
      <w:pPr>
        <w:spacing w:after="0" w:line="24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On January 31, 2023, the Company closed on its acquisition of all leasehold interests and related assets of Lario Permian, LLC, a wholly owned subsidiary of Lario Oil and Gas Company, and certain associated sellers (collectively “Lario”) . The acquisition included approximately 25,000 gross (16,000 net) acres in the Midland Basin and certain related oil and gas assets (the “Lario Acquisition”), in exchange for consideration of 4.33 million shares of the Company’s common stock and $814 million in cash, including customary post-closing adjustments. Approximately $113 million of the cash consideration was deposited in an indemnity holdback escrow account at closing and was distributed upon satisfactory settlement of any potential title defects on the acquired properties during the first quarter of 2024. The cash consideration for</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180"/>
          </w:cols>
          <w:pgMar w:left="980" w:top="214" w:right="1080" w:bottom="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160"/>
        <w:spacing w:after="0" w:line="286" w:lineRule="auto"/>
        <w:rPr>
          <w:sz w:val="20"/>
          <w:szCs w:val="20"/>
          <w:color w:val="auto"/>
        </w:rPr>
      </w:pPr>
      <w:r>
        <w:rPr>
          <w:rFonts w:ascii="Times New Roman" w:cs="Times New Roman" w:eastAsia="Times New Roman" w:hAnsi="Times New Roman"/>
          <w:sz w:val="20"/>
          <w:szCs w:val="20"/>
          <w:color w:val="auto"/>
        </w:rPr>
        <w:t>the Lario Acquisition was funded through a combination of cash on hand, a portion of the net proceeds from the Company’s offering of 6.250% Senior Notes due 2053 and borrowings under the Company’s revolving credit facility.</w:t>
      </w:r>
    </w:p>
    <w:p>
      <w:pPr>
        <w:spacing w:after="0" w:line="170" w:lineRule="exact"/>
        <w:rPr>
          <w:sz w:val="20"/>
          <w:szCs w:val="20"/>
          <w:color w:val="auto"/>
        </w:rPr>
      </w:pPr>
    </w:p>
    <w:p>
      <w:pPr>
        <w:ind w:left="100" w:right="60" w:firstLine="719"/>
        <w:spacing w:after="0" w:line="289" w:lineRule="auto"/>
        <w:rPr>
          <w:sz w:val="20"/>
          <w:szCs w:val="20"/>
          <w:color w:val="auto"/>
        </w:rPr>
      </w:pPr>
      <w:r>
        <w:rPr>
          <w:rFonts w:ascii="Times New Roman" w:cs="Times New Roman" w:eastAsia="Times New Roman" w:hAnsi="Times New Roman"/>
          <w:sz w:val="20"/>
          <w:szCs w:val="20"/>
          <w:color w:val="auto"/>
        </w:rPr>
        <w:t>The following table presents the acquisition consideration paid in the Lario Acquisition (in millions, except per share data, shares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Diamondback common stock issued at closing</w:t>
            </w:r>
            <w:r>
              <w:rPr>
                <w:rFonts w:ascii="Times New Roman" w:cs="Times New Roman" w:eastAsia="Times New Roman" w:hAnsi="Times New Roman"/>
                <w:sz w:val="18"/>
                <w:szCs w:val="18"/>
                <w:color w:val="B3B3B3"/>
              </w:rPr>
              <w:t>......................................................................................</w:t>
            </w:r>
          </w:p>
        </w:tc>
        <w:tc>
          <w:tcPr>
            <w:tcW w:w="78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4,330</w:t>
            </w:r>
          </w:p>
        </w:tc>
      </w:tr>
      <w:tr>
        <w:trPr>
          <w:trHeight w:val="21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price per share of Diamondback common stock on the closing date</w:t>
            </w:r>
            <w:r>
              <w:rPr>
                <w:rFonts w:ascii="Times New Roman" w:cs="Times New Roman" w:eastAsia="Times New Roman" w:hAnsi="Times New Roman"/>
                <w:sz w:val="18"/>
                <w:szCs w:val="18"/>
                <w:color w:val="B3B3B3"/>
              </w:rPr>
              <w:t>........................................................</w:t>
            </w:r>
          </w:p>
        </w:tc>
        <w:tc>
          <w:tcPr>
            <w:tcW w:w="78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146.12</w:t>
            </w:r>
          </w:p>
        </w:tc>
      </w:tr>
      <w:tr>
        <w:trPr>
          <w:trHeight w:val="270"/>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Fair value of Diamondback common stock issued</w:t>
            </w:r>
            <w:r>
              <w:rPr>
                <w:rFonts w:ascii="Times New Roman" w:cs="Times New Roman" w:eastAsia="Times New Roman" w:hAnsi="Times New Roman"/>
                <w:sz w:val="18"/>
                <w:szCs w:val="18"/>
                <w:color w:val="B3B3B3"/>
              </w:rPr>
              <w:t>.........................................................................................</w:t>
            </w:r>
          </w:p>
        </w:tc>
        <w:tc>
          <w:tcPr>
            <w:tcW w:w="780" w:type="dxa"/>
            <w:vAlign w:val="bottom"/>
          </w:tcPr>
          <w:p>
            <w:pPr>
              <w:jc w:val="right"/>
              <w:ind w:right="545"/>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633</w:t>
            </w:r>
          </w:p>
        </w:tc>
      </w:tr>
      <w:tr>
        <w:trPr>
          <w:trHeight w:val="21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 ................................................................................................................................................</w:t>
            </w: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814</w:t>
            </w:r>
          </w:p>
        </w:tc>
      </w:tr>
      <w:tr>
        <w:trPr>
          <w:trHeight w:val="227"/>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Total consideration (including fair value of Diamondback common stock issued) </w:t>
            </w:r>
            <w:r>
              <w:rPr>
                <w:rFonts w:ascii="Times New Roman" w:cs="Times New Roman" w:eastAsia="Times New Roman" w:hAnsi="Times New Roman"/>
                <w:sz w:val="18"/>
                <w:szCs w:val="18"/>
                <w:b w:val="1"/>
                <w:bCs w:val="1"/>
                <w:color w:val="B3B3B3"/>
              </w:rPr>
              <w:t>...............................</w:t>
            </w:r>
          </w:p>
        </w:tc>
        <w:tc>
          <w:tcPr>
            <w:tcW w:w="780" w:type="dxa"/>
            <w:vAlign w:val="bottom"/>
          </w:tcPr>
          <w:p>
            <w:pPr>
              <w:jc w:val="right"/>
              <w:ind w:right="565"/>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1,447</w:t>
            </w:r>
          </w:p>
        </w:tc>
      </w:tr>
      <w:tr>
        <w:trPr>
          <w:trHeight w:val="20"/>
        </w:trPr>
        <w:tc>
          <w:tcPr>
            <w:tcW w:w="7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Purchase Price Allocation</w:t>
      </w:r>
    </w:p>
    <w:p>
      <w:pPr>
        <w:spacing w:after="0" w:line="247" w:lineRule="exact"/>
        <w:rPr>
          <w:sz w:val="20"/>
          <w:szCs w:val="20"/>
          <w:color w:val="auto"/>
        </w:rPr>
      </w:pPr>
    </w:p>
    <w:p>
      <w:pPr>
        <w:jc w:val="both"/>
        <w:ind w:left="100" w:right="20" w:firstLine="720"/>
        <w:spacing w:after="0" w:line="262" w:lineRule="auto"/>
        <w:rPr>
          <w:sz w:val="20"/>
          <w:szCs w:val="20"/>
          <w:color w:val="auto"/>
        </w:rPr>
      </w:pPr>
      <w:r>
        <w:rPr>
          <w:rFonts w:ascii="Times New Roman" w:cs="Times New Roman" w:eastAsia="Times New Roman" w:hAnsi="Times New Roman"/>
          <w:sz w:val="20"/>
          <w:szCs w:val="20"/>
          <w:color w:val="auto"/>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the Company’s purchase price allocation (in millions):</w:t>
      </w: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262"/>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b w:val="1"/>
                <w:bCs w:val="1"/>
                <w:color w:val="B3B3B3"/>
              </w:rPr>
              <w:t>...............................................................................................................................................</w:t>
            </w:r>
          </w:p>
        </w:tc>
        <w:tc>
          <w:tcPr>
            <w:tcW w:w="840" w:type="dxa"/>
            <w:vAlign w:val="bottom"/>
            <w:gridSpan w:val="2"/>
          </w:tcPr>
          <w:p>
            <w:pPr>
              <w:jc w:val="right"/>
              <w:ind w:right="740"/>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1,447</w:t>
            </w:r>
          </w:p>
        </w:tc>
      </w:tr>
      <w:tr>
        <w:trPr>
          <w:trHeight w:val="491"/>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Other  long-term  liabilities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514"/>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8"/>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Oil and natural gas properties </w:t>
            </w:r>
            <w:r>
              <w:rPr>
                <w:rFonts w:ascii="Times New Roman" w:cs="Times New Roman" w:eastAsia="Times New Roman" w:hAnsi="Times New Roman"/>
                <w:sz w:val="19"/>
                <w:szCs w:val="19"/>
                <w:color w:val="B3B3B3"/>
              </w:rPr>
              <w:t>..............................................................................................................</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1,460</w:t>
            </w:r>
          </w:p>
        </w:tc>
      </w:tr>
      <w:tr>
        <w:trPr>
          <w:trHeight w:val="255"/>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Inventories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w:t>
            </w:r>
          </w:p>
        </w:tc>
      </w:tr>
      <w:tr>
        <w:trPr>
          <w:trHeight w:val="220"/>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Other property, equipment and land .......................................................................................................</w:t>
            </w: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22</w:t>
            </w:r>
          </w:p>
        </w:tc>
      </w:tr>
      <w:tr>
        <w:trPr>
          <w:trHeight w:val="234"/>
        </w:trPr>
        <w:tc>
          <w:tcPr>
            <w:tcW w:w="79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Amount attributable to assets acquired ..............................................................................................</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1,484</w:t>
            </w:r>
          </w:p>
        </w:tc>
      </w:tr>
      <w:tr>
        <w:trPr>
          <w:trHeight w:val="225"/>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Net assets acquired and liabilities assumed </w:t>
            </w:r>
            <w:r>
              <w:rPr>
                <w:rFonts w:ascii="Times New Roman" w:cs="Times New Roman" w:eastAsia="Times New Roman" w:hAnsi="Times New Roman"/>
                <w:sz w:val="18"/>
                <w:szCs w:val="18"/>
                <w:b w:val="1"/>
                <w:bCs w:val="1"/>
                <w:color w:val="B3B3B3"/>
                <w:w w:val="99"/>
              </w:rPr>
              <w:t>.......................................................................................................</w:t>
            </w:r>
          </w:p>
        </w:tc>
        <w:tc>
          <w:tcPr>
            <w:tcW w:w="8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1,447</w:t>
            </w:r>
          </w:p>
        </w:tc>
      </w:tr>
      <w:tr>
        <w:trPr>
          <w:trHeight w:val="20"/>
        </w:trPr>
        <w:tc>
          <w:tcPr>
            <w:tcW w:w="7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w:t>
      </w:r>
    </w:p>
    <w:p>
      <w:pPr>
        <w:spacing w:after="0" w:line="211" w:lineRule="exact"/>
        <w:rPr>
          <w:sz w:val="20"/>
          <w:szCs w:val="20"/>
          <w:color w:val="auto"/>
        </w:rPr>
      </w:pPr>
    </w:p>
    <w:p>
      <w:pPr>
        <w:jc w:val="both"/>
        <w:ind w:left="100" w:right="20" w:firstLine="720"/>
        <w:spacing w:after="0" w:line="261" w:lineRule="auto"/>
        <w:rPr>
          <w:sz w:val="20"/>
          <w:szCs w:val="20"/>
          <w:color w:val="auto"/>
        </w:rPr>
      </w:pPr>
      <w:r>
        <w:rPr>
          <w:rFonts w:ascii="Times New Roman" w:cs="Times New Roman" w:eastAsia="Times New Roman" w:hAnsi="Times New Roman"/>
          <w:sz w:val="20"/>
          <w:szCs w:val="20"/>
          <w:color w:val="auto"/>
        </w:rPr>
        <w:t>With the completion of the Lario Acquisition, the Company acquired proved properties of $924 million and unproved properties of $536 million. The results of operations attributable to the Lario Acquisition since the acquisition date have been included in the consolidated statements of operations and include $488 million of total revenue and $200 million of net income for the year ended December 31, 2023.</w:t>
      </w:r>
    </w:p>
    <w:p>
      <w:pPr>
        <w:sectPr>
          <w:pgSz w:w="12240" w:h="15840" w:orient="portrait"/>
          <w:cols w:equalWidth="0" w:num="1">
            <w:col w:w="10200"/>
          </w:cols>
          <w:pgMar w:left="980" w:top="214"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10200"/>
          </w:cols>
          <w:pgMar w:left="980" w:top="214" w:right="10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Divestiture of Deep Blue Water Assets and Deep Blue Formation</w:t>
      </w:r>
    </w:p>
    <w:p>
      <w:pPr>
        <w:spacing w:after="0" w:line="24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On September 1, 2023, the Company closed on a joint venture agreement with Five Point Energy LLC (“Five Point”) to form Deep Blue Midland Basin LLC (“Deep Blue”) . At closing, the Company contributed certain treated water, fresh water and saltwater disposal assets (the “Deep Blue Water Assets”) with a net carrying value of $703 million, including certain post-closing adjustments, and Five Point contributed $251 million in cash to Deep Blue. In exchange for these contributions, Deep Blue issued the Company a one -time cash distribution of approximately $516 million and a 30% equity ownership and voting interest, and issued to Five Point a 70% equity ownership and voting interest. Five Point is not considered a related party of the Company.</w:t>
      </w:r>
    </w:p>
    <w:p>
      <w:pPr>
        <w:spacing w:after="0" w:line="205"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Additionally, under a separate agreement with Deep Blue, the Company continued to operate the Deep Blue Water Assets on a short-term basis. Five Point agreed to pay the Company approximately $47 million upon the successful transfer of operations to Deep Blue and the Company recorded approximately $43 million as a contingent consideration receivable on the closing date based on the assessed probability of earning the additional consideration. Upon the successful transfer of operations in June 2024, the Company received the full contingent consideration amount of $47 million.</w:t>
      </w:r>
    </w:p>
    <w:p>
      <w:pPr>
        <w:spacing w:after="0" w:line="202"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The Company recorded its 30% equity interest in Deep Blue at fair value based on the cash consideration and contingent consideration contributed by Five Point to Deep Blue in exchange for its 70% equity ownership. The Company’s equity method investment in Deep Blue had an initial fair value of $126 million. The Company’s proportionate share of the income or loss from Deep Blue is recognized on a two-month lag. The Company has recognized an aggregate $13 million loss on the sale of its Deep Blue Water Assets, of which approximately $1 million was recognized during the year ended December 31, 2024. The loss on the sale of Deep Blue Water Assets is included in the caption “Other operating expenses” in the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spacing w:after="0" w:line="205"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The Company and Five Point currently anticipate collectively contributing $500 million in follow-on capital to fund future growth projects and acquisitions.</w:t>
      </w:r>
    </w:p>
    <w:p>
      <w:pPr>
        <w:spacing w:after="0" w:line="172" w:lineRule="exact"/>
        <w:rPr>
          <w:sz w:val="20"/>
          <w:szCs w:val="20"/>
          <w:color w:val="auto"/>
        </w:rPr>
      </w:pPr>
    </w:p>
    <w:p>
      <w:pPr>
        <w:jc w:val="both"/>
        <w:ind w:left="100" w:firstLine="720"/>
        <w:spacing w:after="0" w:line="267" w:lineRule="auto"/>
        <w:rPr>
          <w:sz w:val="20"/>
          <w:szCs w:val="20"/>
          <w:color w:val="auto"/>
        </w:rPr>
      </w:pPr>
      <w:r>
        <w:rPr>
          <w:rFonts w:ascii="Times New Roman" w:cs="Times New Roman" w:eastAsia="Times New Roman" w:hAnsi="Times New Roman"/>
          <w:sz w:val="20"/>
          <w:szCs w:val="20"/>
          <w:color w:val="auto"/>
        </w:rPr>
        <w:t>As part of the transaction, the Company also entered into a 15-year dedication with Deep Blue for its produced water and supply water within a 12-county area of mutual interest in the Midland Basin. See Note 8—Equity Method Investments and Related Party Transactions for further discussion of transactions with Deep Blue.</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OMOG Divestiture</w:t>
      </w:r>
    </w:p>
    <w:p>
      <w:pPr>
        <w:spacing w:after="0" w:line="24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On July 28, 2023, the Company divested its 43% limited liability company interest in OMOG JV LLC (“OMOG”) for $225 million in cash received at closing. This divestiture resulted in a gain on the sale of equity method investments of approximately $35 million, which is included in the caption “Other income (expense), net” on the consolidated statements of operations for the year ended December 31, 2023. The Company used its net proceeds from this transaction for debt reduction and other general corporate purposes.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Non-Core Assets Divestiture</w:t>
      </w:r>
    </w:p>
    <w:p>
      <w:pPr>
        <w:spacing w:after="0" w:line="244"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On April 28, 2023, the Company divested non- 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spacing w:after="0" w:line="19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On March 31, 2023, the Company divested non-core assets consisting of approximately 4,900 net acres in Ward and Winkler counties to unrelated third-party buyers for $72 million in net cash proceeds, including customary post-closing adjustments.</w:t>
      </w:r>
    </w:p>
    <w:p>
      <w:pPr>
        <w:spacing w:after="0" w:line="18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180"/>
          </w:cols>
          <w:pgMar w:left="980" w:top="214" w:right="1080" w:bottom="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Gray Oak Divestiture</w:t>
      </w:r>
    </w:p>
    <w:p>
      <w:pPr>
        <w:spacing w:after="0" w:line="247" w:lineRule="exact"/>
        <w:rPr>
          <w:sz w:val="20"/>
          <w:szCs w:val="20"/>
          <w:color w:val="auto"/>
        </w:rPr>
      </w:pPr>
    </w:p>
    <w:p>
      <w:pPr>
        <w:jc w:val="both"/>
        <w:ind w:left="100" w:right="20" w:firstLine="720"/>
        <w:spacing w:after="0" w:line="261" w:lineRule="auto"/>
        <w:rPr>
          <w:sz w:val="20"/>
          <w:szCs w:val="20"/>
          <w:color w:val="auto"/>
        </w:rPr>
      </w:pPr>
      <w:r>
        <w:rPr>
          <w:rFonts w:ascii="Times New Roman" w:cs="Times New Roman" w:eastAsia="Times New Roman" w:hAnsi="Times New Roman"/>
          <w:sz w:val="20"/>
          <w:szCs w:val="20"/>
          <w:color w:val="auto"/>
        </w:rPr>
        <w:t>On January 9, 2023, the Company divested its 10% non-operating equity investment in Gray Oak Pipeline, LLC (“Gray Oak”) for $172 million in net cash proceeds and recorded a gain on the sale of equity method investments of approximately $53 million, which is included in the caption “Other income (expense), net” on the consolidated statements of operations for the year ended December 31, 2023.</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Viper Acquisitions</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GRP Acquisition</w:t>
      </w:r>
    </w:p>
    <w:p>
      <w:pPr>
        <w:spacing w:after="0" w:line="247"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On November 1, 2023, Viper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$747 million in cash, including transaction costs and certain customary post-closing adjustments (the “GRP Acquisition”). The mineral and royalty interests acquired in the GRP Acquisition represent 4,600 net royalty acres in the Permian Basin, plus approximately 2,700 additional net royalty acres in other major basins. The cash consideration for the GRP Acquisition was funded through a combination of cash on hand and held in escrow, borrowings under the Viper LLC credit agreement, proceeds from the Viper 2031 Notes (as defined and discussed in Note 9—Debt) and proceeds from a $200 million common unit issuance to Diamondback.</w:t>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2022 Activity</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Diamondback Acquisitions and Divestiture</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FireBird Energy LLC Acquisition</w:t>
      </w:r>
    </w:p>
    <w:p>
      <w:pPr>
        <w:spacing w:after="0" w:line="247"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Approximately $125 million of the cash consideration was deposited in an indemnity holdback escrow account at closing and was distributed upon satisfactory settlement of any potential title defects on the acquired properties.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spacing w:after="0" w:line="208" w:lineRule="exact"/>
        <w:rPr>
          <w:sz w:val="20"/>
          <w:szCs w:val="20"/>
          <w:color w:val="auto"/>
        </w:rPr>
      </w:pPr>
    </w:p>
    <w:p>
      <w:pPr>
        <w:jc w:val="both"/>
        <w:ind w:left="100" w:right="20" w:firstLine="720"/>
        <w:spacing w:after="0" w:line="289" w:lineRule="auto"/>
        <w:rPr>
          <w:sz w:val="20"/>
          <w:szCs w:val="20"/>
          <w:color w:val="auto"/>
        </w:rPr>
      </w:pPr>
      <w:r>
        <w:rPr>
          <w:rFonts w:ascii="Times New Roman" w:cs="Times New Roman" w:eastAsia="Times New Roman" w:hAnsi="Times New Roman"/>
          <w:sz w:val="20"/>
          <w:szCs w:val="20"/>
          <w:color w:val="auto"/>
        </w:rPr>
        <w:t>The following table presents the acquisition consideration paid in the FireBird Acquisition (in millions, except per share data, shares in thousands):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8"/>
        </w:trPr>
        <w:tc>
          <w:tcPr>
            <w:tcW w:w="7940" w:type="dxa"/>
            <w:vAlign w:val="bottom"/>
          </w:tcPr>
          <w:p>
            <w:pPr>
              <w:spacing w:after="0"/>
              <w:rPr>
                <w:sz w:val="20"/>
                <w:szCs w:val="20"/>
                <w:color w:val="auto"/>
              </w:rPr>
            </w:pPr>
            <w:r>
              <w:rPr>
                <w:rFonts w:ascii="Times New Roman" w:cs="Times New Roman" w:eastAsia="Times New Roman" w:hAnsi="Times New Roman"/>
                <w:sz w:val="19"/>
                <w:szCs w:val="19"/>
                <w:color w:val="auto"/>
              </w:rPr>
              <w:t>Shares of Diamondback common stock issued at closing</w:t>
            </w:r>
            <w:r>
              <w:rPr>
                <w:rFonts w:ascii="Times New Roman" w:cs="Times New Roman" w:eastAsia="Times New Roman" w:hAnsi="Times New Roman"/>
                <w:sz w:val="19"/>
                <w:szCs w:val="19"/>
                <w:color w:val="B3B3B3"/>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5,921</w:t>
            </w:r>
          </w:p>
        </w:tc>
        <w:tc>
          <w:tcPr>
            <w:tcW w:w="40" w:type="dxa"/>
            <w:vAlign w:val="bottom"/>
          </w:tcPr>
          <w:p>
            <w:pPr>
              <w:spacing w:after="0"/>
              <w:rPr>
                <w:sz w:val="23"/>
                <w:szCs w:val="23"/>
                <w:color w:val="auto"/>
              </w:rPr>
            </w:pPr>
          </w:p>
        </w:tc>
      </w:tr>
      <w:tr>
        <w:trPr>
          <w:trHeight w:val="219"/>
        </w:trPr>
        <w:tc>
          <w:tcPr>
            <w:tcW w:w="7940" w:type="dxa"/>
            <w:vAlign w:val="bottom"/>
          </w:tcPr>
          <w:p>
            <w:pPr>
              <w:spacing w:after="0"/>
              <w:rPr>
                <w:sz w:val="20"/>
                <w:szCs w:val="20"/>
                <w:color w:val="auto"/>
              </w:rPr>
            </w:pPr>
            <w:r>
              <w:rPr>
                <w:rFonts w:ascii="Times New Roman" w:cs="Times New Roman" w:eastAsia="Times New Roman" w:hAnsi="Times New Roman"/>
                <w:sz w:val="19"/>
                <w:szCs w:val="19"/>
                <w:color w:val="auto"/>
              </w:rPr>
              <w:t>Closing price per share of Diamondback common stock on the closing date</w:t>
            </w:r>
            <w:r>
              <w:rPr>
                <w:rFonts w:ascii="Times New Roman" w:cs="Times New Roman" w:eastAsia="Times New Roman" w:hAnsi="Times New Roman"/>
                <w:sz w:val="19"/>
                <w:szCs w:val="19"/>
                <w:color w:val="B3B3B3"/>
              </w:rPr>
              <w:t>...........................................</w:t>
            </w:r>
          </w:p>
        </w:tc>
        <w:tc>
          <w:tcPr>
            <w:tcW w:w="86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148.02</w:t>
            </w:r>
          </w:p>
        </w:tc>
        <w:tc>
          <w:tcPr>
            <w:tcW w:w="40" w:type="dxa"/>
            <w:vAlign w:val="bottom"/>
          </w:tcPr>
          <w:p>
            <w:pPr>
              <w:spacing w:after="0"/>
              <w:rPr>
                <w:sz w:val="19"/>
                <w:szCs w:val="19"/>
                <w:color w:val="auto"/>
              </w:rPr>
            </w:pPr>
          </w:p>
        </w:tc>
      </w:tr>
      <w:tr>
        <w:trPr>
          <w:trHeight w:val="266"/>
        </w:trPr>
        <w:tc>
          <w:tcPr>
            <w:tcW w:w="7940" w:type="dxa"/>
            <w:vAlign w:val="bottom"/>
          </w:tcPr>
          <w:p>
            <w:pPr>
              <w:jc w:val="center"/>
              <w:ind w:left="227"/>
              <w:spacing w:after="0"/>
              <w:rPr>
                <w:sz w:val="20"/>
                <w:szCs w:val="20"/>
                <w:color w:val="auto"/>
              </w:rPr>
            </w:pPr>
            <w:r>
              <w:rPr>
                <w:rFonts w:ascii="Times New Roman" w:cs="Times New Roman" w:eastAsia="Times New Roman" w:hAnsi="Times New Roman"/>
                <w:sz w:val="19"/>
                <w:szCs w:val="19"/>
                <w:color w:val="auto"/>
              </w:rPr>
              <w:t>Fair value of Diamondback common stock issued</w:t>
            </w:r>
            <w:r>
              <w:rPr>
                <w:rFonts w:ascii="Times New Roman" w:cs="Times New Roman" w:eastAsia="Times New Roman" w:hAnsi="Times New Roman"/>
                <w:sz w:val="19"/>
                <w:szCs w:val="19"/>
                <w:color w:val="B3B3B3"/>
              </w:rPr>
              <w:t>.............................................................................</w:t>
            </w:r>
          </w:p>
        </w:tc>
        <w:tc>
          <w:tcPr>
            <w:tcW w:w="860" w:type="dxa"/>
            <w:vAlign w:val="bottom"/>
            <w:gridSpan w:val="3"/>
          </w:tcPr>
          <w:p>
            <w:pPr>
              <w:jc w:val="right"/>
              <w:ind w:right="6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876</w:t>
            </w:r>
          </w:p>
        </w:tc>
        <w:tc>
          <w:tcPr>
            <w:tcW w:w="40" w:type="dxa"/>
            <w:vAlign w:val="bottom"/>
          </w:tcPr>
          <w:p>
            <w:pPr>
              <w:spacing w:after="0"/>
              <w:rPr>
                <w:sz w:val="23"/>
                <w:szCs w:val="23"/>
                <w:color w:val="auto"/>
              </w:rPr>
            </w:pPr>
          </w:p>
        </w:tc>
      </w:tr>
      <w:tr>
        <w:trPr>
          <w:trHeight w:val="220"/>
        </w:trPr>
        <w:tc>
          <w:tcPr>
            <w:tcW w:w="8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Cash consideration ........................................................................................................................................</w:t>
            </w: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787</w:t>
            </w:r>
          </w:p>
        </w:tc>
        <w:tc>
          <w:tcPr>
            <w:tcW w:w="40" w:type="dxa"/>
            <w:vAlign w:val="bottom"/>
            <w:tcBorders>
              <w:bottom w:val="single" w:sz="8" w:color="auto"/>
            </w:tcBorders>
          </w:tcPr>
          <w:p>
            <w:pPr>
              <w:spacing w:after="0"/>
              <w:rPr>
                <w:sz w:val="19"/>
                <w:szCs w:val="19"/>
                <w:color w:val="auto"/>
              </w:rPr>
            </w:pPr>
          </w:p>
        </w:tc>
      </w:tr>
      <w:tr>
        <w:trPr>
          <w:trHeight w:val="232"/>
        </w:trPr>
        <w:tc>
          <w:tcPr>
            <w:tcW w:w="7940" w:type="dxa"/>
            <w:vAlign w:val="bottom"/>
          </w:tcPr>
          <w:p>
            <w:pPr>
              <w:jc w:val="center"/>
              <w:ind w:left="247"/>
              <w:spacing w:after="0"/>
              <w:rPr>
                <w:sz w:val="20"/>
                <w:szCs w:val="20"/>
                <w:color w:val="auto"/>
              </w:rPr>
            </w:pPr>
            <w:r>
              <w:rPr>
                <w:rFonts w:ascii="Times New Roman" w:cs="Times New Roman" w:eastAsia="Times New Roman" w:hAnsi="Times New Roman"/>
                <w:sz w:val="18"/>
                <w:szCs w:val="18"/>
                <w:b w:val="1"/>
                <w:bCs w:val="1"/>
                <w:color w:val="auto"/>
                <w:w w:val="99"/>
              </w:rPr>
              <w:t>Total consideration (including fair value of Diamondback common stock issued)</w:t>
            </w:r>
            <w:r>
              <w:rPr>
                <w:rFonts w:ascii="Times New Roman" w:cs="Times New Roman" w:eastAsia="Times New Roman" w:hAnsi="Times New Roman"/>
                <w:sz w:val="18"/>
                <w:szCs w:val="18"/>
                <w:b w:val="1"/>
                <w:bCs w:val="1"/>
                <w:color w:val="B3B3B3"/>
                <w:w w:val="99"/>
              </w:rPr>
              <w:t>.................................</w:t>
            </w:r>
          </w:p>
        </w:tc>
        <w:tc>
          <w:tcPr>
            <w:tcW w:w="860" w:type="dxa"/>
            <w:vAlign w:val="bottom"/>
            <w:gridSpan w:val="3"/>
          </w:tcPr>
          <w:p>
            <w:pPr>
              <w:jc w:val="right"/>
              <w:ind w:right="6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w:t>
            </w:r>
          </w:p>
        </w:tc>
        <w:tc>
          <w:tcPr>
            <w:tcW w:w="40" w:type="dxa"/>
            <w:vAlign w:val="bottom"/>
          </w:tcPr>
          <w:p>
            <w:pPr>
              <w:spacing w:after="0"/>
              <w:rPr>
                <w:sz w:val="20"/>
                <w:szCs w:val="20"/>
                <w:color w:val="auto"/>
              </w:rPr>
            </w:pPr>
          </w:p>
        </w:tc>
      </w:tr>
      <w:tr>
        <w:trPr>
          <w:trHeight w:val="20"/>
        </w:trPr>
        <w:tc>
          <w:tcPr>
            <w:tcW w:w="7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Purchase Price Allocation</w:t>
      </w:r>
    </w:p>
    <w:p>
      <w:pPr>
        <w:spacing w:after="0" w:line="249" w:lineRule="exact"/>
        <w:rPr>
          <w:sz w:val="20"/>
          <w:szCs w:val="20"/>
          <w:color w:val="auto"/>
        </w:rPr>
      </w:pPr>
    </w:p>
    <w:p>
      <w:pPr>
        <w:jc w:val="both"/>
        <w:ind w:left="100" w:right="20" w:firstLine="720"/>
        <w:spacing w:after="0" w:line="261" w:lineRule="auto"/>
        <w:rPr>
          <w:sz w:val="20"/>
          <w:szCs w:val="20"/>
          <w:color w:val="auto"/>
        </w:rPr>
      </w:pPr>
      <w:r>
        <w:rPr>
          <w:rFonts w:ascii="Times New Roman" w:cs="Times New Roman" w:eastAsia="Times New Roman" w:hAnsi="Times New Roman"/>
          <w:sz w:val="20"/>
          <w:szCs w:val="20"/>
          <w:color w:val="auto"/>
        </w:rPr>
        <w:t>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their fair values at the acquisition date. The purchase price allocation was completed in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00"/>
          </w:cols>
          <w:pgMar w:left="980" w:top="214" w:right="1060" w:bottom="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color w:val="auto"/>
        </w:rPr>
        <w:t>Table of Contents</w:t>
      </w:r>
    </w:p>
    <w:tbl>
      <w:tblPr>
        <w:tblLayout w:type="fixed"/>
        <w:tblInd w:w="160" w:type="dxa"/>
        <w:tblCellMar>
          <w:top w:w="0" w:type="dxa"/>
          <w:left w:w="0" w:type="dxa"/>
          <w:bottom w:w="0" w:type="dxa"/>
          <w:right w:w="0" w:type="dxa"/>
        </w:tblCellMar>
      </w:tblPr>
      <w:tr>
        <w:trPr>
          <w:trHeight w:val="226"/>
        </w:trPr>
        <w:tc>
          <w:tcPr>
            <w:tcW w:w="7960" w:type="dxa"/>
            <w:vAlign w:val="bottom"/>
          </w:tcPr>
          <w:p>
            <w:pPr>
              <w:ind w:left="3100"/>
              <w:spacing w:after="0" w:line="227" w:lineRule="exact"/>
              <w:rPr>
                <w:sz w:val="20"/>
                <w:szCs w:val="20"/>
                <w:color w:val="auto"/>
              </w:rPr>
            </w:pPr>
            <w:r>
              <w:rPr>
                <w:rFonts w:ascii="Times New Roman" w:cs="Times New Roman" w:eastAsia="Times New Roman" w:hAnsi="Times New Roman"/>
                <w:sz w:val="20"/>
                <w:szCs w:val="20"/>
                <w:b w:val="1"/>
                <w:bCs w:val="1"/>
                <w:color w:val="auto"/>
              </w:rPr>
              <w:t>Diamondback Energy, Inc. and Subsidiaries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4"/>
        </w:trPr>
        <w:tc>
          <w:tcPr>
            <w:tcW w:w="7960" w:type="dxa"/>
            <w:vAlign w:val="bottom"/>
          </w:tcPr>
          <w:p>
            <w:pPr>
              <w:ind w:left="25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649"/>
        </w:trPr>
        <w:tc>
          <w:tcPr>
            <w:tcW w:w="7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following table sets forth the Company’s purchase price allocation (in millions):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b w:val="1"/>
                <w:bCs w:val="1"/>
                <w:color w:val="B3B3B3"/>
              </w:rPr>
              <w:t>...............................................................................................................................................</w:t>
            </w:r>
          </w:p>
        </w:tc>
        <w:tc>
          <w:tcPr>
            <w:tcW w:w="840" w:type="dxa"/>
            <w:vAlign w:val="bottom"/>
            <w:gridSpan w:val="2"/>
          </w:tcPr>
          <w:p>
            <w:pPr>
              <w:jc w:val="right"/>
              <w:ind w:right="740"/>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w:t>
            </w:r>
          </w:p>
        </w:tc>
      </w:tr>
      <w:tr>
        <w:trPr>
          <w:trHeight w:val="491"/>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5"/>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Other  long-term  liabilities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516"/>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8"/>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Oil and natural gas properties </w:t>
            </w:r>
            <w:r>
              <w:rPr>
                <w:rFonts w:ascii="Times New Roman" w:cs="Times New Roman" w:eastAsia="Times New Roman" w:hAnsi="Times New Roman"/>
                <w:sz w:val="19"/>
                <w:szCs w:val="19"/>
                <w:color w:val="B3B3B3"/>
              </w:rPr>
              <w:t>..............................................................................................................</w:t>
            </w: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1,598</w:t>
            </w:r>
          </w:p>
        </w:tc>
      </w:tr>
      <w:tr>
        <w:trPr>
          <w:trHeight w:val="254"/>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Inventories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w:t>
            </w:r>
          </w:p>
        </w:tc>
      </w:tr>
      <w:tr>
        <w:trPr>
          <w:trHeight w:val="219"/>
        </w:trPr>
        <w:tc>
          <w:tcPr>
            <w:tcW w:w="79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Other property, equipment and land .......................................................................................................</w:t>
            </w: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72</w:t>
            </w:r>
          </w:p>
        </w:tc>
      </w:tr>
      <w:tr>
        <w:trPr>
          <w:trHeight w:val="234"/>
        </w:trPr>
        <w:tc>
          <w:tcPr>
            <w:tcW w:w="796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Amount attributable to assets acquired ..............................................................................................</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1,673</w:t>
            </w:r>
          </w:p>
        </w:tc>
      </w:tr>
      <w:tr>
        <w:trPr>
          <w:trHeight w:val="227"/>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Net assets acquired and liabilities assumed </w:t>
            </w:r>
            <w:r>
              <w:rPr>
                <w:rFonts w:ascii="Times New Roman" w:cs="Times New Roman" w:eastAsia="Times New Roman" w:hAnsi="Times New Roman"/>
                <w:sz w:val="18"/>
                <w:szCs w:val="18"/>
                <w:b w:val="1"/>
                <w:bCs w:val="1"/>
                <w:color w:val="B3B3B3"/>
                <w:w w:val="99"/>
              </w:rPr>
              <w:t>.......................................................................................................</w:t>
            </w:r>
          </w:p>
        </w:tc>
        <w:tc>
          <w:tcPr>
            <w:tcW w:w="8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rPr>
              <w:t>1,663</w:t>
            </w:r>
          </w:p>
        </w:tc>
      </w:tr>
      <w:tr>
        <w:trPr>
          <w:trHeight w:val="20"/>
        </w:trPr>
        <w:tc>
          <w:tcPr>
            <w:tcW w:w="7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was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w:t>
      </w:r>
    </w:p>
    <w:p>
      <w:pPr>
        <w:spacing w:after="0" w:line="208" w:lineRule="exact"/>
        <w:rPr>
          <w:sz w:val="20"/>
          <w:szCs w:val="20"/>
          <w:color w:val="auto"/>
        </w:rPr>
      </w:pPr>
    </w:p>
    <w:p>
      <w:pPr>
        <w:jc w:val="both"/>
        <w:ind w:left="100" w:right="20" w:firstLine="720"/>
        <w:spacing w:after="0" w:line="262" w:lineRule="auto"/>
        <w:rPr>
          <w:sz w:val="20"/>
          <w:szCs w:val="20"/>
          <w:color w:val="auto"/>
        </w:rPr>
      </w:pPr>
      <w:r>
        <w:rPr>
          <w:rFonts w:ascii="Times New Roman" w:cs="Times New Roman" w:eastAsia="Times New Roman" w:hAnsi="Times New Roman"/>
          <w:sz w:val="20"/>
          <w:szCs w:val="20"/>
          <w:color w:val="auto"/>
        </w:rPr>
        <w:t>With the completion of the FireBird Acquisition, the Company acquired proved properties of $648 million and unproved properties of $950 million. The results of operations attributable to the FireBird Acquisition from the acquisition date through December 31, 2022 have been included in the consolidated statement of operations and include $46 million of total revenue and $28 million of net income.</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Delaware Basin Acquisition</w:t>
      </w:r>
    </w:p>
    <w:p>
      <w:pPr>
        <w:spacing w:after="0" w:line="247" w:lineRule="exact"/>
        <w:rPr>
          <w:sz w:val="20"/>
          <w:szCs w:val="20"/>
          <w:color w:val="auto"/>
        </w:rPr>
      </w:pPr>
    </w:p>
    <w:p>
      <w:pPr>
        <w:jc w:val="both"/>
        <w:ind w:left="100" w:right="20" w:firstLine="720"/>
        <w:spacing w:after="0" w:line="268" w:lineRule="auto"/>
        <w:rPr>
          <w:sz w:val="20"/>
          <w:szCs w:val="20"/>
          <w:color w:val="auto"/>
        </w:rPr>
      </w:pPr>
      <w:r>
        <w:rPr>
          <w:rFonts w:ascii="Times New Roman" w:cs="Times New Roman" w:eastAsia="Times New Roman" w:hAnsi="Times New Roman"/>
          <w:sz w:val="20"/>
          <w:szCs w:val="20"/>
          <w:color w:val="auto"/>
        </w:rPr>
        <w:t>On January 18, 2022, the Company acquired, from an unrelated third-party seller, approximately 6,200 net acres in the Delaware Basin for $232 million in cash, including customary post-closing adjustments. The acquisition was funded through cash on hand.</w:t>
      </w:r>
    </w:p>
    <w:p>
      <w:pPr>
        <w:spacing w:after="0" w:line="1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Other 2022 Acquisitions</w:t>
      </w:r>
    </w:p>
    <w:p>
      <w:pPr>
        <w:spacing w:after="0" w:line="244" w:lineRule="exact"/>
        <w:rPr>
          <w:sz w:val="20"/>
          <w:szCs w:val="20"/>
          <w:color w:val="auto"/>
        </w:rPr>
      </w:pPr>
    </w:p>
    <w:p>
      <w:pPr>
        <w:jc w:val="both"/>
        <w:ind w:left="100" w:right="20" w:firstLine="720"/>
        <w:spacing w:after="0" w:line="262" w:lineRule="auto"/>
        <w:rPr>
          <w:sz w:val="20"/>
          <w:szCs w:val="20"/>
          <w:color w:val="auto"/>
        </w:rPr>
      </w:pPr>
      <w:r>
        <w:rPr>
          <w:rFonts w:ascii="Times New Roman" w:cs="Times New Roman" w:eastAsia="Times New Roman" w:hAnsi="Times New Roman"/>
          <w:sz w:val="20"/>
          <w:szCs w:val="20"/>
          <w:color w:val="auto"/>
        </w:rPr>
        <w:t>Additionally during the year ended December 31, 2022, the Company acquired, from unrelated third-party sellers, approximately 4,000 net acres and over 200 gross wells in the Permian Basin for an aggregate purchase price of approximately $220 million in cash, including customary closing adjustments. The acquisitions were funded through cash on hand.</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Non-Core Assets Divestiture</w:t>
      </w:r>
    </w:p>
    <w:p>
      <w:pPr>
        <w:spacing w:after="0" w:line="249" w:lineRule="exact"/>
        <w:rPr>
          <w:sz w:val="20"/>
          <w:szCs w:val="20"/>
          <w:color w:val="auto"/>
        </w:rPr>
      </w:pPr>
    </w:p>
    <w:p>
      <w:pPr>
        <w:jc w:val="both"/>
        <w:ind w:left="100" w:right="20" w:firstLine="720"/>
        <w:spacing w:after="0" w:line="267" w:lineRule="auto"/>
        <w:rPr>
          <w:sz w:val="20"/>
          <w:szCs w:val="20"/>
          <w:color w:val="auto"/>
        </w:rPr>
      </w:pPr>
      <w:r>
        <w:rPr>
          <w:rFonts w:ascii="Times New Roman" w:cs="Times New Roman" w:eastAsia="Times New Roman" w:hAnsi="Times New Roman"/>
          <w:sz w:val="20"/>
          <w:szCs w:val="20"/>
          <w:color w:val="auto"/>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for debt reduction.</w:t>
      </w:r>
    </w:p>
    <w:p>
      <w:pPr>
        <w:spacing w:after="0" w:line="168" w:lineRule="exact"/>
        <w:rPr>
          <w:sz w:val="20"/>
          <w:szCs w:val="20"/>
          <w:color w:val="auto"/>
        </w:rPr>
      </w:pPr>
    </w:p>
    <w:p>
      <w:pPr>
        <w:ind w:left="820" w:hanging="720"/>
        <w:spacing w:after="0"/>
        <w:tabs>
          <w:tab w:leader="none" w:pos="8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ENDEAVOR ENERGY RESOURCES, LP ACQUISITION</w:t>
      </w:r>
    </w:p>
    <w:p>
      <w:pPr>
        <w:spacing w:after="0" w:line="239" w:lineRule="exact"/>
        <w:rPr>
          <w:sz w:val="20"/>
          <w:szCs w:val="20"/>
          <w:color w:val="auto"/>
        </w:rPr>
      </w:pPr>
    </w:p>
    <w:p>
      <w:pPr>
        <w:jc w:val="both"/>
        <w:ind w:left="100" w:right="20" w:firstLine="720"/>
        <w:spacing w:after="0" w:line="256" w:lineRule="auto"/>
        <w:rPr>
          <w:sz w:val="20"/>
          <w:szCs w:val="20"/>
          <w:color w:val="auto"/>
        </w:rPr>
      </w:pPr>
      <w:r>
        <w:rPr>
          <w:rFonts w:ascii="Times New Roman" w:cs="Times New Roman" w:eastAsia="Times New Roman" w:hAnsi="Times New Roman"/>
          <w:sz w:val="20"/>
          <w:szCs w:val="20"/>
          <w:color w:val="auto"/>
        </w:rPr>
        <w:t>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w:t>
      </w:r>
    </w:p>
    <w:p>
      <w:pPr>
        <w:sectPr>
          <w:pgSz w:w="12240" w:h="15840" w:orient="portrait"/>
          <w:cols w:equalWidth="0" w:num="1">
            <w:col w:w="10200"/>
          </w:cols>
          <w:pgMar w:left="980" w:top="214" w:right="10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10200"/>
          </w:cols>
          <w:pgMar w:left="980" w:top="214" w:right="10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40"/>
        <w:spacing w:after="0" w:line="286" w:lineRule="auto"/>
        <w:rPr>
          <w:sz w:val="20"/>
          <w:szCs w:val="20"/>
          <w:color w:val="auto"/>
        </w:rPr>
      </w:pPr>
      <w:r>
        <w:rPr>
          <w:rFonts w:ascii="Times New Roman" w:cs="Times New Roman" w:eastAsia="Times New Roman" w:hAnsi="Times New Roman"/>
          <w:sz w:val="20"/>
          <w:szCs w:val="20"/>
          <w:color w:val="auto"/>
        </w:rPr>
        <w:t>Endeavor Acquisition, the Company believes its inventory has industry-leading depth and quality that will be converted into cash flow with the industry’s lowest cost structure, creating a differentiated value proposition for Diamondback stockholders.</w:t>
      </w:r>
    </w:p>
    <w:p>
      <w:pPr>
        <w:spacing w:after="0" w:line="170" w:lineRule="exact"/>
        <w:rPr>
          <w:sz w:val="20"/>
          <w:szCs w:val="20"/>
          <w:color w:val="auto"/>
        </w:rPr>
      </w:pPr>
    </w:p>
    <w:p>
      <w:pPr>
        <w:jc w:val="both"/>
        <w:ind w:left="100" w:right="40" w:firstLine="720"/>
        <w:spacing w:after="0" w:line="258" w:lineRule="auto"/>
        <w:rPr>
          <w:sz w:val="20"/>
          <w:szCs w:val="20"/>
          <w:color w:val="auto"/>
        </w:rPr>
      </w:pPr>
      <w:r>
        <w:rPr>
          <w:rFonts w:ascii="Times New Roman" w:cs="Times New Roman" w:eastAsia="Times New Roman" w:hAnsi="Times New Roman"/>
          <w:sz w:val="20"/>
          <w:szCs w:val="20"/>
          <w:color w:val="auto"/>
        </w:rPr>
        <w:t>The cash consideration for the Endeavor Acquisition was funded through a combination of cash on hand, the net proceeds from the Company’s April 2024 Notes offering and borrowings under the Tranche A Loans (as defined and discussed in Note 9—Debt). Immediately following the close of the Endeavor Acquisition, Endeavor equityholders held approximately 39.8% of Diamondback’s common stock. As of December 31, 2024, Endeavor’s equityholders held approximately 36% of the Company’s common stock.</w:t>
      </w:r>
    </w:p>
    <w:p>
      <w:pPr>
        <w:spacing w:after="0" w:line="202" w:lineRule="exact"/>
        <w:rPr>
          <w:sz w:val="20"/>
          <w:szCs w:val="20"/>
          <w:color w:val="auto"/>
        </w:rPr>
      </w:pPr>
    </w:p>
    <w:p>
      <w:pPr>
        <w:jc w:val="both"/>
        <w:ind w:left="100" w:right="40" w:firstLine="720"/>
        <w:spacing w:after="0" w:line="268" w:lineRule="auto"/>
        <w:rPr>
          <w:sz w:val="20"/>
          <w:szCs w:val="20"/>
          <w:color w:val="auto"/>
        </w:rPr>
      </w:pPr>
      <w:r>
        <w:rPr>
          <w:rFonts w:ascii="Times New Roman" w:cs="Times New Roman" w:eastAsia="Times New Roman" w:hAnsi="Times New Roman"/>
          <w:sz w:val="20"/>
          <w:szCs w:val="20"/>
          <w:color w:val="auto"/>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spacing w:after="0" w:line="190" w:lineRule="exact"/>
        <w:rPr>
          <w:sz w:val="20"/>
          <w:szCs w:val="20"/>
          <w:color w:val="auto"/>
        </w:rPr>
      </w:pPr>
    </w:p>
    <w:p>
      <w:pPr>
        <w:jc w:val="both"/>
        <w:ind w:left="100" w:right="4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the acquisition consideration paid to Endeavor equityholders in the Endeavor Acquisition (in millions, except per share data, shares in thousands):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Shares of Diamondback common stock issued at closing </w:t>
            </w:r>
            <w:r>
              <w:rPr>
                <w:rFonts w:ascii="Times New Roman" w:cs="Times New Roman" w:eastAsia="Times New Roman" w:hAnsi="Times New Roman"/>
                <w:sz w:val="19"/>
                <w:szCs w:val="19"/>
                <w:color w:val="B3B3B3"/>
              </w:rPr>
              <w:t>............................................................................</w:t>
            </w:r>
          </w:p>
        </w:tc>
        <w:tc>
          <w:tcPr>
            <w:tcW w:w="7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117,267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Closing price per share of Diamondback common stock on the closing date </w:t>
            </w:r>
            <w:r>
              <w:rPr>
                <w:rFonts w:ascii="Times New Roman" w:cs="Times New Roman" w:eastAsia="Times New Roman" w:hAnsi="Times New Roman"/>
                <w:sz w:val="19"/>
                <w:szCs w:val="19"/>
                <w:color w:val="B3B3B3"/>
              </w:rPr>
              <w:t>..............................................</w:t>
            </w:r>
          </w:p>
        </w:tc>
        <w:tc>
          <w:tcPr>
            <w:tcW w:w="7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171.49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Diamondback common stock issued</w:t>
            </w:r>
            <w:r>
              <w:rPr>
                <w:rFonts w:ascii="Times New Roman" w:cs="Times New Roman" w:eastAsia="Times New Roman" w:hAnsi="Times New Roman"/>
                <w:sz w:val="18"/>
                <w:szCs w:val="18"/>
                <w:b w:val="1"/>
                <w:bCs w:val="1"/>
                <w:color w:val="B3B3B3"/>
              </w:rPr>
              <w:t>............................................................................................</w:t>
            </w:r>
          </w:p>
        </w:tc>
        <w:tc>
          <w:tcPr>
            <w:tcW w:w="76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20,110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6"/>
        </w:trPr>
        <w:tc>
          <w:tcPr>
            <w:tcW w:w="7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Base cash amount</w:t>
            </w:r>
            <w:r>
              <w:rPr>
                <w:rFonts w:ascii="Times New Roman" w:cs="Times New Roman" w:eastAsia="Times New Roman" w:hAnsi="Times New Roman"/>
                <w:sz w:val="19"/>
                <w:szCs w:val="19"/>
                <w:color w:val="B3B3B3"/>
              </w:rPr>
              <w:t>..........................................................................................................................................</w:t>
            </w:r>
          </w:p>
        </w:tc>
        <w:tc>
          <w:tcPr>
            <w:tcW w:w="76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960" w:type="dxa"/>
            <w:vAlign w:val="bottom"/>
          </w:tcPr>
          <w:p>
            <w:pPr>
              <w:spacing w:after="0"/>
              <w:rPr>
                <w:sz w:val="20"/>
                <w:szCs w:val="20"/>
                <w:color w:val="auto"/>
              </w:rPr>
            </w:pPr>
            <w:r>
              <w:rPr>
                <w:rFonts w:ascii="Times New Roman" w:cs="Times New Roman" w:eastAsia="Times New Roman" w:hAnsi="Times New Roman"/>
                <w:sz w:val="19"/>
                <w:szCs w:val="19"/>
                <w:color w:val="auto"/>
                <w:w w:val="99"/>
              </w:rPr>
              <w:t>Preliminary closing adjustments ...................................................................................................................</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(928)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Cash consideration to Endeavor equityholders</w:t>
            </w:r>
            <w:r>
              <w:rPr>
                <w:rFonts w:ascii="Times New Roman" w:cs="Times New Roman" w:eastAsia="Times New Roman" w:hAnsi="Times New Roman"/>
                <w:sz w:val="19"/>
                <w:szCs w:val="19"/>
                <w:color w:val="B3B3B3"/>
              </w:rPr>
              <w:t>.............................................................................................</w:t>
            </w:r>
          </w:p>
        </w:tc>
        <w:tc>
          <w:tcPr>
            <w:tcW w:w="7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960" w:type="dxa"/>
            <w:vAlign w:val="bottom"/>
          </w:tcPr>
          <w:p>
            <w:pPr>
              <w:spacing w:after="0"/>
              <w:rPr>
                <w:sz w:val="20"/>
                <w:szCs w:val="20"/>
                <w:color w:val="auto"/>
              </w:rPr>
            </w:pPr>
            <w:r>
              <w:rPr>
                <w:rFonts w:ascii="Times New Roman" w:cs="Times New Roman" w:eastAsia="Times New Roman" w:hAnsi="Times New Roman"/>
                <w:sz w:val="19"/>
                <w:szCs w:val="19"/>
                <w:color w:val="auto"/>
                <w:w w:val="99"/>
              </w:rPr>
              <w:t>Cash payment of net debt position and make-whole amount .......................................................................</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consideration</w:t>
            </w:r>
            <w:r>
              <w:rPr>
                <w:rFonts w:ascii="Times New Roman" w:cs="Times New Roman" w:eastAsia="Times New Roman" w:hAnsi="Times New Roman"/>
                <w:sz w:val="18"/>
                <w:szCs w:val="18"/>
                <w:b w:val="1"/>
                <w:bCs w:val="1"/>
                <w:color w:val="B3B3B3"/>
              </w:rPr>
              <w:t>......................................................................................................................................</w:t>
            </w:r>
          </w:p>
        </w:tc>
        <w:tc>
          <w:tcPr>
            <w:tcW w:w="7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consideration (including fair value of Diamondback common stock issued)</w:t>
            </w:r>
          </w:p>
        </w:tc>
        <w:tc>
          <w:tcPr>
            <w:tcW w:w="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980" w:type="dxa"/>
            <w:vAlign w:val="bottom"/>
            <w:gridSpan w:val="2"/>
            <w:vMerge w:val="continue"/>
          </w:tcPr>
          <w:p>
            <w:pPr>
              <w:ind w:left="6160"/>
              <w:spacing w:after="0" w:line="180" w:lineRule="exact"/>
              <w:rPr>
                <w:sz w:val="20"/>
                <w:szCs w:val="20"/>
                <w:color w:val="auto"/>
              </w:rPr>
            </w:pPr>
            <w:r>
              <w:rPr>
                <w:rFonts w:ascii="Times New Roman" w:cs="Times New Roman" w:eastAsia="Times New Roman" w:hAnsi="Times New Roman"/>
                <w:sz w:val="18"/>
                <w:szCs w:val="18"/>
                <w:b w:val="1"/>
                <w:bCs w:val="1"/>
                <w:color w:val="B3B3B3"/>
              </w:rPr>
              <w:t>.......................................</w:t>
            </w:r>
          </w:p>
        </w:tc>
        <w:tc>
          <w:tcPr>
            <w:tcW w:w="760" w:type="dxa"/>
            <w:vAlign w:val="bottom"/>
          </w:tcPr>
          <w:p>
            <w:pPr>
              <w:jc w:val="right"/>
              <w:ind w:right="545"/>
              <w:spacing w:after="0" w:line="202"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27,420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Purchase Price Allocation</w:t>
      </w:r>
    </w:p>
    <w:p>
      <w:pPr>
        <w:spacing w:after="0" w:line="256" w:lineRule="exact"/>
        <w:rPr>
          <w:sz w:val="20"/>
          <w:szCs w:val="20"/>
          <w:color w:val="auto"/>
        </w:rPr>
      </w:pPr>
    </w:p>
    <w:p>
      <w:pPr>
        <w:jc w:val="both"/>
        <w:ind w:left="100" w:right="40" w:firstLine="720"/>
        <w:spacing w:after="0" w:line="253" w:lineRule="auto"/>
        <w:rPr>
          <w:sz w:val="20"/>
          <w:szCs w:val="20"/>
          <w:color w:val="auto"/>
        </w:rPr>
      </w:pPr>
      <w:r>
        <w:rPr>
          <w:rFonts w:ascii="Times New Roman" w:cs="Times New Roman" w:eastAsia="Times New Roman" w:hAnsi="Times New Roman"/>
          <w:sz w:val="20"/>
          <w:szCs w:val="20"/>
          <w:color w:val="auto"/>
        </w:rPr>
        <w:t>The Endeavor Acquisition has been accounted for under the acquisition method of accounting for business combinations in accordance with ASC Topic 805, “Business Combinations.” The following table represents the preliminary allocation of the total purchase price for the acquisition of Endeavor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including, but not limited to, final tax returns that provide the underlying tax basis of Endeavor’s assets and liabilities. As such, there may be further adjustments to the fair value of certain assets acquired and liabilities assumed, including Endeavor’s deferred tax liability, oil and natural gas properties, which include mineral and royalty interests acquired, and other property and equipment. The Company expects to complete the purchase price allocation during the 12-month period following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20"/>
          </w:cols>
          <w:pgMar w:left="980" w:top="214" w:right="1040" w:bottom="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the Company’s preliminary purchase price allocation (in millions):</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Total consideration</w:t>
            </w:r>
            <w:r>
              <w:rPr>
                <w:rFonts w:ascii="Times New Roman" w:cs="Times New Roman" w:eastAsia="Times New Roman" w:hAnsi="Times New Roman"/>
                <w:sz w:val="18"/>
                <w:szCs w:val="18"/>
                <w:b w:val="1"/>
                <w:bCs w:val="1"/>
                <w:color w:val="B3B3B3"/>
                <w:w w:val="99"/>
              </w:rPr>
              <w:t>.......................................................................................................................</w:t>
            </w:r>
          </w:p>
        </w:tc>
        <w:tc>
          <w:tcPr>
            <w:tcW w:w="1320" w:type="dxa"/>
            <w:vAlign w:val="bottom"/>
            <w:gridSpan w:val="2"/>
          </w:tcPr>
          <w:p>
            <w:pPr>
              <w:jc w:val="right"/>
              <w:ind w:right="1085"/>
              <w:spacing w:after="0"/>
              <w:rPr>
                <w:sz w:val="20"/>
                <w:szCs w:val="20"/>
                <w:color w:val="auto"/>
              </w:rPr>
            </w:pPr>
            <w:r>
              <w:rPr>
                <w:rFonts w:ascii="Times New Roman" w:cs="Times New Roman" w:eastAsia="Times New Roman" w:hAnsi="Times New Roman"/>
                <w:sz w:val="19"/>
                <w:szCs w:val="19"/>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27,420</w:t>
            </w:r>
          </w:p>
        </w:tc>
        <w:tc>
          <w:tcPr>
            <w:tcW w:w="0" w:type="dxa"/>
            <w:vAlign w:val="bottom"/>
          </w:tcPr>
          <w:p>
            <w:pPr>
              <w:spacing w:after="0"/>
              <w:rPr>
                <w:sz w:val="1"/>
                <w:szCs w:val="1"/>
                <w:color w:val="auto"/>
              </w:rPr>
            </w:pPr>
          </w:p>
        </w:tc>
      </w:tr>
      <w:tr>
        <w:trPr>
          <w:trHeight w:val="50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auto"/>
              </w:rPr>
              <w:t xml:space="preserve">Accounts payable - trade </w:t>
            </w:r>
            <w:r>
              <w:rPr>
                <w:rFonts w:ascii="Times New Roman" w:cs="Times New Roman" w:eastAsia="Times New Roman" w:hAnsi="Times New Roman"/>
                <w:sz w:val="19"/>
                <w:szCs w:val="19"/>
                <w:color w:val="B3B3B3"/>
              </w:rPr>
              <w:t>...................................................................................................</w:t>
            </w:r>
          </w:p>
        </w:tc>
        <w:tc>
          <w:tcPr>
            <w:tcW w:w="1320" w:type="dxa"/>
            <w:vAlign w:val="bottom"/>
            <w:gridSpan w:val="2"/>
          </w:tcPr>
          <w:p>
            <w:pPr>
              <w:jc w:val="right"/>
              <w:ind w:right="1085"/>
              <w:spacing w:after="0"/>
              <w:rPr>
                <w:sz w:val="20"/>
                <w:szCs w:val="20"/>
                <w:color w:val="auto"/>
              </w:rPr>
            </w:pPr>
            <w:r>
              <w:rPr>
                <w:rFonts w:ascii="Times New Roman" w:cs="Times New Roman" w:eastAsia="Times New Roman" w:hAnsi="Times New Roman"/>
                <w:sz w:val="19"/>
                <w:szCs w:val="19"/>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Accrued capital expenditures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Other accrued liabilities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w:t>
            </w:r>
          </w:p>
        </w:tc>
        <w:tc>
          <w:tcPr>
            <w:tcW w:w="0" w:type="dxa"/>
            <w:vAlign w:val="bottom"/>
          </w:tcPr>
          <w:p>
            <w:pPr>
              <w:spacing w:after="0"/>
              <w:rPr>
                <w:sz w:val="1"/>
                <w:szCs w:val="1"/>
                <w:color w:val="auto"/>
              </w:rPr>
            </w:pPr>
          </w:p>
        </w:tc>
      </w:tr>
      <w:tr>
        <w:trPr>
          <w:trHeight w:val="257"/>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Revenues and royalties payable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567</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Derivative instruments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Income taxes payable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Other current liabilities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0" w:type="dxa"/>
            <w:vAlign w:val="bottom"/>
          </w:tcPr>
          <w:p>
            <w:pPr>
              <w:spacing w:after="0"/>
              <w:rPr>
                <w:sz w:val="1"/>
                <w:szCs w:val="1"/>
                <w:color w:val="auto"/>
              </w:rPr>
            </w:pPr>
          </w:p>
        </w:tc>
      </w:tr>
      <w:tr>
        <w:trPr>
          <w:trHeight w:val="257"/>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Asset retirement obligations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Deferred income taxes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7,211</w:t>
            </w:r>
          </w:p>
        </w:tc>
        <w:tc>
          <w:tcPr>
            <w:tcW w:w="0" w:type="dxa"/>
            <w:vAlign w:val="bottom"/>
          </w:tcPr>
          <w:p>
            <w:pPr>
              <w:spacing w:after="0"/>
              <w:rPr>
                <w:sz w:val="1"/>
                <w:szCs w:val="1"/>
                <w:color w:val="auto"/>
              </w:rPr>
            </w:pPr>
          </w:p>
        </w:tc>
      </w:tr>
      <w:tr>
        <w:trPr>
          <w:trHeight w:val="256"/>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Other long-term liabilities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B3B3B3"/>
              </w:rPr>
              <w:t>...................................................................</w:t>
            </w:r>
            <w:r>
              <w:rPr>
                <w:rFonts w:ascii="Times New Roman" w:cs="Times New Roman" w:eastAsia="Times New Roman" w:hAnsi="Times New Roman"/>
                <w:sz w:val="19"/>
                <w:szCs w:val="19"/>
                <w:color w:val="000000"/>
              </w:rPr>
              <w:t>Amountattributabletoliabilitiesacquired</w:t>
            </w:r>
          </w:p>
        </w:tc>
        <w:tc>
          <w:tcPr>
            <w:tcW w:w="20" w:type="dxa"/>
            <w:vAlign w:val="bottom"/>
          </w:tcPr>
          <w:p>
            <w:pPr>
              <w:spacing w:after="0"/>
              <w:rPr>
                <w:sz w:val="22"/>
                <w:szCs w:val="22"/>
                <w:color w:val="auto"/>
              </w:rPr>
            </w:pPr>
          </w:p>
        </w:tc>
        <w:tc>
          <w:tcPr>
            <w:tcW w:w="1300" w:type="dxa"/>
            <w:vAlign w:val="bottom"/>
          </w:tcPr>
          <w:p>
            <w:pPr>
              <w:jc w:val="right"/>
              <w:ind w:right="1085"/>
              <w:spacing w:after="0"/>
              <w:rPr>
                <w:sz w:val="20"/>
                <w:szCs w:val="20"/>
                <w:color w:val="auto"/>
              </w:rPr>
            </w:pPr>
            <w:r>
              <w:rPr>
                <w:rFonts w:ascii="Times New Roman" w:cs="Times New Roman" w:eastAsia="Times New Roman" w:hAnsi="Times New Roman"/>
                <w:sz w:val="19"/>
                <w:szCs w:val="19"/>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9,133</w:t>
            </w:r>
          </w:p>
        </w:tc>
        <w:tc>
          <w:tcPr>
            <w:tcW w:w="0" w:type="dxa"/>
            <w:vAlign w:val="bottom"/>
          </w:tcPr>
          <w:p>
            <w:pPr>
              <w:spacing w:after="0"/>
              <w:rPr>
                <w:sz w:val="1"/>
                <w:szCs w:val="1"/>
                <w:color w:val="auto"/>
              </w:rPr>
            </w:pPr>
          </w:p>
        </w:tc>
      </w:tr>
      <w:tr>
        <w:trPr>
          <w:trHeight w:val="49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9"/>
                <w:szCs w:val="19"/>
                <w:color w:val="auto"/>
              </w:rPr>
              <w:t xml:space="preserve">Accounts receivable - joint interest and other, net </w:t>
            </w:r>
            <w:r>
              <w:rPr>
                <w:rFonts w:ascii="Times New Roman" w:cs="Times New Roman" w:eastAsia="Times New Roman" w:hAnsi="Times New Roman"/>
                <w:sz w:val="19"/>
                <w:szCs w:val="19"/>
                <w:color w:val="B3B3B3"/>
              </w:rPr>
              <w:t>............................................................</w:t>
            </w:r>
          </w:p>
        </w:tc>
        <w:tc>
          <w:tcPr>
            <w:tcW w:w="1320" w:type="dxa"/>
            <w:vAlign w:val="bottom"/>
            <w:gridSpan w:val="2"/>
          </w:tcPr>
          <w:p>
            <w:pPr>
              <w:jc w:val="right"/>
              <w:ind w:right="1085"/>
              <w:spacing w:after="0"/>
              <w:rPr>
                <w:sz w:val="20"/>
                <w:szCs w:val="20"/>
                <w:color w:val="auto"/>
              </w:rPr>
            </w:pPr>
            <w:r>
              <w:rPr>
                <w:rFonts w:ascii="Times New Roman" w:cs="Times New Roman" w:eastAsia="Times New Roman" w:hAnsi="Times New Roman"/>
                <w:sz w:val="19"/>
                <w:szCs w:val="19"/>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Accounts receivable - oil and natural gas sales, net</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659</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Inventories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57"/>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Derivative instruments </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Prepaid expenses and other current assets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Oil and natural gas properties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34,824</w:t>
            </w:r>
          </w:p>
        </w:tc>
        <w:tc>
          <w:tcPr>
            <w:tcW w:w="0" w:type="dxa"/>
            <w:vAlign w:val="bottom"/>
          </w:tcPr>
          <w:p>
            <w:pPr>
              <w:spacing w:after="0"/>
              <w:rPr>
                <w:sz w:val="1"/>
                <w:szCs w:val="1"/>
                <w:color w:val="auto"/>
              </w:rPr>
            </w:pPr>
          </w:p>
        </w:tc>
      </w:tr>
      <w:tr>
        <w:trPr>
          <w:trHeight w:val="254"/>
        </w:trPr>
        <w:tc>
          <w:tcPr>
            <w:tcW w:w="69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Other property, equipment and land</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849</w:t>
            </w:r>
          </w:p>
        </w:tc>
        <w:tc>
          <w:tcPr>
            <w:tcW w:w="0" w:type="dxa"/>
            <w:vAlign w:val="bottom"/>
          </w:tcPr>
          <w:p>
            <w:pPr>
              <w:spacing w:after="0"/>
              <w:rPr>
                <w:sz w:val="1"/>
                <w:szCs w:val="1"/>
                <w:color w:val="auto"/>
              </w:rPr>
            </w:pPr>
          </w:p>
        </w:tc>
      </w:tr>
      <w:tr>
        <w:trPr>
          <w:trHeight w:val="258"/>
        </w:trPr>
        <w:tc>
          <w:tcPr>
            <w:tcW w:w="69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Other assets</w:t>
            </w:r>
            <w:r>
              <w:rPr>
                <w:rFonts w:ascii="Times New Roman" w:cs="Times New Roman" w:eastAsia="Times New Roman" w:hAnsi="Times New Roman"/>
                <w:sz w:val="19"/>
                <w:szCs w:val="19"/>
                <w:color w:val="B3B3B3"/>
              </w:rPr>
              <w:t>........................................................................................................................</w:t>
            </w: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235"/>
        </w:trPr>
        <w:tc>
          <w:tcPr>
            <w:tcW w:w="6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Amount attributable to assets acquired </w:t>
            </w:r>
            <w:r>
              <w:rPr>
                <w:rFonts w:ascii="Times New Roman" w:cs="Times New Roman" w:eastAsia="Times New Roman" w:hAnsi="Times New Roman"/>
                <w:sz w:val="19"/>
                <w:szCs w:val="19"/>
                <w:color w:val="B3B3B3"/>
              </w:rPr>
              <w:t>........................................................................</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36,553</w:t>
            </w:r>
          </w:p>
        </w:tc>
        <w:tc>
          <w:tcPr>
            <w:tcW w:w="0" w:type="dxa"/>
            <w:vAlign w:val="bottom"/>
          </w:tcPr>
          <w:p>
            <w:pPr>
              <w:spacing w:after="0"/>
              <w:rPr>
                <w:sz w:val="1"/>
                <w:szCs w:val="1"/>
                <w:color w:val="auto"/>
              </w:rPr>
            </w:pPr>
          </w:p>
        </w:tc>
      </w:tr>
      <w:tr>
        <w:trPr>
          <w:trHeight w:val="238"/>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 acquired and liabilities assumed</w:t>
            </w: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920" w:type="dxa"/>
            <w:vAlign w:val="bottom"/>
            <w:gridSpan w:val="2"/>
            <w:vMerge w:val="continue"/>
          </w:tcPr>
          <w:p>
            <w:pPr>
              <w:ind w:left="3280"/>
              <w:spacing w:after="0" w:line="169" w:lineRule="exact"/>
              <w:rPr>
                <w:sz w:val="20"/>
                <w:szCs w:val="20"/>
                <w:color w:val="auto"/>
              </w:rPr>
            </w:pPr>
            <w:r>
              <w:rPr>
                <w:rFonts w:ascii="Times New Roman" w:cs="Times New Roman" w:eastAsia="Times New Roman" w:hAnsi="Times New Roman"/>
                <w:sz w:val="18"/>
                <w:szCs w:val="18"/>
                <w:b w:val="1"/>
                <w:bCs w:val="1"/>
                <w:color w:val="B3B3B3"/>
              </w:rPr>
              <w:t>...............................................................................</w:t>
            </w:r>
          </w:p>
        </w:tc>
        <w:tc>
          <w:tcPr>
            <w:tcW w:w="1320" w:type="dxa"/>
            <w:vAlign w:val="bottom"/>
            <w:tcBorders>
              <w:bottom w:val="single" w:sz="8" w:color="auto"/>
            </w:tcBorders>
            <w:gridSpan w:val="2"/>
          </w:tcPr>
          <w:p>
            <w:pPr>
              <w:jc w:val="right"/>
              <w:ind w:right="1105"/>
              <w:spacing w:after="0" w:line="199" w:lineRule="exact"/>
              <w:rPr>
                <w:sz w:val="20"/>
                <w:szCs w:val="20"/>
                <w:color w:val="auto"/>
              </w:rPr>
            </w:pPr>
            <w:r>
              <w:rPr>
                <w:rFonts w:ascii="Times New Roman" w:cs="Times New Roman" w:eastAsia="Times New Roman" w:hAnsi="Times New Roman"/>
                <w:sz w:val="19"/>
                <w:szCs w:val="19"/>
                <w:color w:val="auto"/>
              </w:rPr>
              <w:t>$</w:t>
            </w:r>
          </w:p>
        </w:tc>
        <w:tc>
          <w:tcPr>
            <w:tcW w:w="17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9"/>
                <w:szCs w:val="19"/>
                <w:color w:val="auto"/>
              </w:rPr>
              <w:t>27,420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Note 2—Summary of Significant Accounting Policies. The fair values of various current assets and liabilities including accounts receivable and accounts payable approximate their carrying values on the closing date of the Endeavor Acquisition because of the short-term nature of the instruments.</w:t>
      </w:r>
    </w:p>
    <w:p>
      <w:pPr>
        <w:spacing w:after="0" w:line="213"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With the completion of the Endeavor Acquisition, the Company acquired proved properties of $20.6 billion and unproved properties of $14.2 billion, primarily in the Midland Basin.</w:t>
      </w:r>
    </w:p>
    <w:p>
      <w:pPr>
        <w:spacing w:after="0" w:line="164"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results of operations attributable to the Endeavor Acquisition since the acquisition date have been included in the consolidated statements of operations and include $1.8 billion of total revenue and $459 million of net income for the year ended December 31, 2024.</w:t>
      </w:r>
    </w:p>
    <w:p>
      <w:pPr>
        <w:sectPr>
          <w:pgSz w:w="12240" w:h="15840" w:orient="portrait"/>
          <w:cols w:equalWidth="0" w:num="1">
            <w:col w:w="10180"/>
          </w:cols>
          <w:pgMar w:left="980" w:top="21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2240" w:h="15840" w:orient="portrait"/>
          <w:cols w:equalWidth="0" w:num="1">
            <w:col w:w="10180"/>
          </w:cols>
          <w:pgMar w:left="980" w:top="214" w:right="10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Pro Forma Financial Information (Unaudited)</w:t>
      </w:r>
    </w:p>
    <w:p>
      <w:pPr>
        <w:spacing w:after="0" w:line="256" w:lineRule="exact"/>
        <w:rPr>
          <w:sz w:val="20"/>
          <w:szCs w:val="20"/>
          <w:color w:val="auto"/>
        </w:rPr>
      </w:pPr>
    </w:p>
    <w:p>
      <w:pPr>
        <w:jc w:val="both"/>
        <w:ind w:left="100" w:right="20" w:firstLine="720"/>
        <w:spacing w:after="0" w:line="249" w:lineRule="auto"/>
        <w:rPr>
          <w:sz w:val="20"/>
          <w:szCs w:val="20"/>
          <w:color w:val="auto"/>
        </w:rPr>
      </w:pPr>
      <w:r>
        <w:rPr>
          <w:rFonts w:ascii="Times New Roman" w:cs="Times New Roman" w:eastAsia="Times New Roman" w:hAnsi="Times New Roman"/>
          <w:sz w:val="20"/>
          <w:szCs w:val="20"/>
          <w:color w:val="auto"/>
        </w:rPr>
        <w:t>The following unaudited summary pro forma financial information for the year ended December 31, 2024, 2023 and 2022 has been prepared to give effect to (i) the Endeavor Acquisition as if it had occurred on January 1, 2023, (ii) the TRP Exchange as if it had occurred on January 1, 2023, (iii) the Lario Acquisition as if it had occurred on January 1, 2022, and</w:t>
      </w:r>
    </w:p>
    <w:p>
      <w:pPr>
        <w:spacing w:after="0" w:line="2" w:lineRule="exact"/>
        <w:rPr>
          <w:sz w:val="20"/>
          <w:szCs w:val="20"/>
          <w:color w:val="auto"/>
        </w:rPr>
      </w:pPr>
    </w:p>
    <w:p>
      <w:pPr>
        <w:jc w:val="both"/>
        <w:ind w:left="100" w:right="20" w:hanging="1"/>
        <w:spacing w:after="0" w:line="261" w:lineRule="auto"/>
        <w:tabs>
          <w:tab w:leader="none" w:pos="4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FireBird Acquisition as if it had occurred on January 1, 2021. The unaudited pro forma financial information does not purport to be indicative of what the combined company’s results of operations would have been if the transaction had occurred on the dates indicated, nor is it indicative of the future financial position or results of operations of the combined company.</w:t>
      </w:r>
    </w:p>
    <w:p>
      <w:pPr>
        <w:spacing w:after="0" w:line="197" w:lineRule="exact"/>
        <w:rPr>
          <w:sz w:val="20"/>
          <w:szCs w:val="20"/>
          <w:color w:val="auto"/>
        </w:rPr>
      </w:pPr>
    </w:p>
    <w:p>
      <w:pPr>
        <w:jc w:val="both"/>
        <w:ind w:left="100" w:right="20" w:firstLine="720"/>
        <w:spacing w:after="0" w:line="262" w:lineRule="auto"/>
        <w:rPr>
          <w:sz w:val="20"/>
          <w:szCs w:val="20"/>
          <w:color w:val="auto"/>
        </w:rPr>
      </w:pPr>
      <w:r>
        <w:rPr>
          <w:rFonts w:ascii="Times New Roman" w:cs="Times New Roman" w:eastAsia="Times New Roman" w:hAnsi="Times New Roman"/>
          <w:sz w:val="20"/>
          <w:szCs w:val="20"/>
          <w:color w:val="auto"/>
        </w:rPr>
        <w:t>The below information reflects pro forma adjustments for the issuance of the Company’s common stock as consideration for the Endeavor Acquisition, the Lario Acquisition and the Firebird Acquisition as well as pro forma adjustments based on available information and certain assumptions that the Company believes are reasonable, including adjustments to depreciation, depletion and amortization based on the full cost method of accounting.</w:t>
      </w:r>
    </w:p>
    <w:p>
      <w:pPr>
        <w:spacing w:after="0" w:line="194" w:lineRule="exact"/>
        <w:rPr>
          <w:sz w:val="20"/>
          <w:szCs w:val="20"/>
          <w:color w:val="auto"/>
        </w:rPr>
      </w:pPr>
    </w:p>
    <w:p>
      <w:pPr>
        <w:jc w:val="both"/>
        <w:ind w:left="100" w:right="20" w:firstLine="720"/>
        <w:spacing w:after="0" w:line="253" w:lineRule="auto"/>
        <w:rPr>
          <w:sz w:val="20"/>
          <w:szCs w:val="20"/>
          <w:color w:val="auto"/>
        </w:rPr>
      </w:pPr>
      <w:r>
        <w:rPr>
          <w:rFonts w:ascii="Times New Roman" w:cs="Times New Roman" w:eastAsia="Times New Roman" w:hAnsi="Times New Roman"/>
          <w:sz w:val="20"/>
          <w:szCs w:val="20"/>
          <w:color w:val="auto"/>
        </w:rPr>
        <w:t>Additionally, pro forma earnings for the year ended December 31, 2024 include historical acquisition-related costs incurred by Endeavor of $415 million, which consist primarily of incentive compensation, investment banking and legal costs. The Company incurred acquisition related costs of $303 million for the year ended December 31, 2024 which consist primarily of $197 million in severance and accelerated incentive compensation payments to former Endeavor employees, $ 78 million in investment banking and legal costs incurred upon the closing of the Endeavor Acquisition, $14 million related to regulatory reviews under the Hart-Scott-Rodino Antitrust Improvements Act of 1976, as amended, and other individually insignificant items including SEC filing fees and other professional fees. The pro forma results of operations do not include any cost savings or other synergies that may result from the Endeavor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8"/>
          </w:tcPr>
          <w:p>
            <w:pPr>
              <w:jc w:val="center"/>
              <w:ind w:left="444"/>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61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2"/>
                <w:szCs w:val="22"/>
                <w:color w:val="auto"/>
              </w:rPr>
            </w:pPr>
          </w:p>
        </w:tc>
      </w:tr>
      <w:tr>
        <w:trPr>
          <w:trHeight w:val="268"/>
        </w:trPr>
        <w:tc>
          <w:tcPr>
            <w:tcW w:w="6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00" w:type="dxa"/>
            <w:vAlign w:val="bottom"/>
            <w:gridSpan w:val="9"/>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amounts)</w:t>
            </w:r>
          </w:p>
        </w:tc>
        <w:tc>
          <w:tcPr>
            <w:tcW w:w="20" w:type="dxa"/>
            <w:vAlign w:val="bottom"/>
          </w:tcPr>
          <w:p>
            <w:pPr>
              <w:spacing w:after="0"/>
              <w:rPr>
                <w:sz w:val="23"/>
                <w:szCs w:val="23"/>
                <w:color w:val="auto"/>
              </w:rPr>
            </w:pPr>
          </w:p>
        </w:tc>
      </w:tr>
      <w:tr>
        <w:trPr>
          <w:trHeight w:val="312"/>
        </w:trPr>
        <w:tc>
          <w:tcPr>
            <w:tcW w:w="6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Revenues</w:t>
            </w:r>
            <w:r>
              <w:rPr>
                <w:rFonts w:ascii="Times New Roman" w:cs="Times New Roman" w:eastAsia="Times New Roman" w:hAnsi="Times New Roman"/>
                <w:sz w:val="20"/>
                <w:szCs w:val="20"/>
                <w:color w:val="B3B3B3"/>
                <w:w w:val="96"/>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15,706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14,618</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10,542</w:t>
            </w:r>
          </w:p>
        </w:tc>
        <w:tc>
          <w:tcPr>
            <w:tcW w:w="20" w:type="dxa"/>
            <w:vAlign w:val="bottom"/>
          </w:tcPr>
          <w:p>
            <w:pPr>
              <w:spacing w:after="0"/>
              <w:rPr>
                <w:sz w:val="24"/>
                <w:szCs w:val="24"/>
                <w:color w:val="auto"/>
              </w:rPr>
            </w:pPr>
          </w:p>
        </w:tc>
      </w:tr>
      <w:tr>
        <w:trPr>
          <w:trHeight w:val="317"/>
        </w:trPr>
        <w:tc>
          <w:tcPr>
            <w:tcW w:w="6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Income (loss) from operations</w:t>
            </w:r>
            <w:r>
              <w:rPr>
                <w:rFonts w:ascii="Times New Roman" w:cs="Times New Roman" w:eastAsia="Times New Roman" w:hAnsi="Times New Roman"/>
                <w:sz w:val="20"/>
                <w:szCs w:val="20"/>
                <w:color w:val="B3B3B3"/>
                <w:w w:val="96"/>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6,448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7,787</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7,071</w:t>
            </w:r>
          </w:p>
        </w:tc>
        <w:tc>
          <w:tcPr>
            <w:tcW w:w="20" w:type="dxa"/>
            <w:vAlign w:val="bottom"/>
          </w:tcPr>
          <w:p>
            <w:pPr>
              <w:spacing w:after="0"/>
              <w:rPr>
                <w:sz w:val="24"/>
                <w:szCs w:val="24"/>
                <w:color w:val="auto"/>
              </w:rPr>
            </w:pPr>
          </w:p>
        </w:tc>
      </w:tr>
      <w:tr>
        <w:trPr>
          <w:trHeight w:val="314"/>
        </w:trPr>
        <w:tc>
          <w:tcPr>
            <w:tcW w:w="6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 xml:space="preserve">Net income (loss) attributable to Diamondback Energy, Inc. </w:t>
            </w:r>
            <w:r>
              <w:rPr>
                <w:rFonts w:ascii="Times New Roman" w:cs="Times New Roman" w:eastAsia="Times New Roman" w:hAnsi="Times New Roman"/>
                <w:sz w:val="20"/>
                <w:szCs w:val="20"/>
                <w:color w:val="B3B3B3"/>
                <w:w w:val="98"/>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3,315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5,668</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4,834</w:t>
            </w:r>
          </w:p>
        </w:tc>
        <w:tc>
          <w:tcPr>
            <w:tcW w:w="20" w:type="dxa"/>
            <w:vAlign w:val="bottom"/>
          </w:tcPr>
          <w:p>
            <w:pPr>
              <w:spacing w:after="0"/>
              <w:rPr>
                <w:sz w:val="24"/>
                <w:szCs w:val="24"/>
                <w:color w:val="auto"/>
              </w:rPr>
            </w:pPr>
          </w:p>
        </w:tc>
      </w:tr>
      <w:tr>
        <w:trPr>
          <w:trHeight w:val="314"/>
        </w:trPr>
        <w:tc>
          <w:tcPr>
            <w:tcW w:w="6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Basic earnings (loss) per common share </w:t>
            </w:r>
            <w:r>
              <w:rPr>
                <w:rFonts w:ascii="Times New Roman" w:cs="Times New Roman" w:eastAsia="Times New Roman" w:hAnsi="Times New Roman"/>
                <w:sz w:val="20"/>
                <w:szCs w:val="20"/>
                <w:color w:val="B3B3B3"/>
                <w:w w:val="97"/>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20" w:type="dxa"/>
            <w:vAlign w:val="bottom"/>
          </w:tcPr>
          <w:p>
            <w:pPr>
              <w:spacing w:after="0"/>
              <w:rPr>
                <w:sz w:val="24"/>
                <w:szCs w:val="24"/>
                <w:color w:val="auto"/>
              </w:rPr>
            </w:pPr>
          </w:p>
        </w:tc>
      </w:tr>
      <w:tr>
        <w:trPr>
          <w:trHeight w:val="298"/>
        </w:trPr>
        <w:tc>
          <w:tcPr>
            <w:tcW w:w="6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Diluted earnings (loss) per common share </w:t>
            </w:r>
            <w:r>
              <w:rPr>
                <w:rFonts w:ascii="Times New Roman" w:cs="Times New Roman" w:eastAsia="Times New Roman" w:hAnsi="Times New Roman"/>
                <w:sz w:val="20"/>
                <w:szCs w:val="20"/>
                <w:color w:val="B3B3B3"/>
                <w:w w:val="97"/>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00"/>
          </w:cols>
          <w:pgMar w:left="980" w:top="214" w:right="1060" w:bottom="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3"/>
              </w:rPr>
              <w:t>6.</w:t>
            </w:r>
          </w:p>
        </w:tc>
        <w:tc>
          <w:tcPr>
            <w:tcW w:w="7060" w:type="dxa"/>
            <w:vAlign w:val="bottom"/>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PROPERTY AND EQUIPMENT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8"/>
        </w:trPr>
        <w:tc>
          <w:tcPr>
            <w:tcW w:w="280" w:type="dxa"/>
            <w:vAlign w:val="bottom"/>
          </w:tcPr>
          <w:p>
            <w:pPr>
              <w:spacing w:after="0"/>
              <w:rPr>
                <w:sz w:val="24"/>
                <w:szCs w:val="24"/>
                <w:color w:val="auto"/>
              </w:rPr>
            </w:pPr>
          </w:p>
        </w:tc>
        <w:tc>
          <w:tcPr>
            <w:tcW w:w="70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Property and equipment includes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2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w w:val="88"/>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4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Oil and natural gas properties: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4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Subject to depletion</w:t>
            </w:r>
            <w:r>
              <w:rPr>
                <w:rFonts w:ascii="Times New Roman" w:cs="Times New Roman" w:eastAsia="Times New Roman" w:hAnsi="Times New Roman"/>
                <w:sz w:val="20"/>
                <w:szCs w:val="20"/>
                <w:color w:val="B3B3B3"/>
                <w:w w:val="99"/>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59,574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Not subject to depletion </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22,666</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Grossoilandnaturalgasproperties</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82,240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Accumulated depletion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Accumulated impairment</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Oil and natural gas properties, net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63,203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Other property, equipment and land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Accumulated depreciation, amortization, accretion and impairment</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Totalpropertyandequipment,net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64,472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3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Balance of costs not subject to depletion: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Incurred in 2024 </w:t>
            </w:r>
            <w:r>
              <w:rPr>
                <w:rFonts w:ascii="Times New Roman" w:cs="Times New Roman" w:eastAsia="Times New Roman" w:hAnsi="Times New Roman"/>
                <w:sz w:val="20"/>
                <w:szCs w:val="20"/>
                <w:color w:val="B3B3B3"/>
                <w:w w:val="99"/>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Incurred in 2023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 xml:space="preserve">Incurred in 2022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80" w:type="dxa"/>
            <w:vAlign w:val="bottom"/>
          </w:tcPr>
          <w:p>
            <w:pPr>
              <w:spacing w:after="0"/>
              <w:rPr>
                <w:sz w:val="24"/>
                <w:szCs w:val="24"/>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Prior</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0" w:type="dxa"/>
            <w:vAlign w:val="bottom"/>
          </w:tcPr>
          <w:p>
            <w:pPr>
              <w:spacing w:after="0"/>
              <w:rPr>
                <w:sz w:val="22"/>
                <w:szCs w:val="22"/>
                <w:color w:val="auto"/>
              </w:rPr>
            </w:pPr>
          </w:p>
        </w:tc>
        <w:tc>
          <w:tcPr>
            <w:tcW w:w="7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Totalnotsubjecttodepletion</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left="100" w:right="20" w:firstLine="720"/>
        <w:spacing w:after="0" w:line="258" w:lineRule="auto"/>
        <w:rPr>
          <w:sz w:val="20"/>
          <w:szCs w:val="20"/>
          <w:color w:val="auto"/>
        </w:rPr>
      </w:pPr>
      <w:r>
        <w:rPr>
          <w:rFonts w:ascii="Times New Roman" w:cs="Times New Roman" w:eastAsia="Times New Roman" w:hAnsi="Times New Roman"/>
          <w:sz w:val="20"/>
          <w:szCs w:val="20"/>
          <w:color w:val="auto"/>
        </w:rPr>
        <w:t>Capitalized internal costs were approximately $90 million, $ 66 million and $58 million for the years ended December 31, 2024, 2023 and 2022, respectively. Costs associated with unevaluated properties are excluded from the full cost pool until the Company has made a determination as to the existence of proved reserves. Although the evaluation process has not been completed on our unevaluated properties, the Company currently estimates these costs will be added to the amortization base within fifteen years.</w:t>
      </w:r>
    </w:p>
    <w:p>
      <w:pPr>
        <w:spacing w:after="0" w:line="202" w:lineRule="exact"/>
        <w:rPr>
          <w:sz w:val="20"/>
          <w:szCs w:val="20"/>
          <w:color w:val="auto"/>
        </w:rPr>
      </w:pPr>
    </w:p>
    <w:p>
      <w:pPr>
        <w:jc w:val="both"/>
        <w:ind w:left="100" w:right="20" w:firstLine="720"/>
        <w:spacing w:after="0" w:line="267" w:lineRule="auto"/>
        <w:rPr>
          <w:sz w:val="20"/>
          <w:szCs w:val="20"/>
          <w:color w:val="auto"/>
        </w:rPr>
      </w:pPr>
      <w:r>
        <w:rPr>
          <w:rFonts w:ascii="Times New Roman" w:cs="Times New Roman" w:eastAsia="Times New Roman" w:hAnsi="Times New Roman"/>
          <w:sz w:val="20"/>
          <w:szCs w:val="20"/>
          <w:color w:val="auto"/>
        </w:rPr>
        <w:t>Under the full cost method of accounting, the Company is required to perform a ceiling test each quarter which determines a limit, or ceiling, on the book value of proved oil and natural gas properties. No impairment expense was recorded for the years ended December 31, 2024, 2023 and 2022.</w:t>
      </w:r>
    </w:p>
    <w:p>
      <w:pPr>
        <w:spacing w:after="0" w:line="190" w:lineRule="exact"/>
        <w:rPr>
          <w:sz w:val="20"/>
          <w:szCs w:val="20"/>
          <w:color w:val="auto"/>
        </w:rPr>
      </w:pPr>
    </w:p>
    <w:p>
      <w:pPr>
        <w:jc w:val="both"/>
        <w:ind w:left="100" w:right="20" w:firstLine="720"/>
        <w:spacing w:after="0" w:line="256" w:lineRule="auto"/>
        <w:rPr>
          <w:sz w:val="20"/>
          <w:szCs w:val="20"/>
          <w:color w:val="auto"/>
        </w:rPr>
      </w:pPr>
      <w:r>
        <w:rPr>
          <w:rFonts w:ascii="Times New Roman" w:cs="Times New Roman" w:eastAsia="Times New Roman" w:hAnsi="Times New Roman"/>
          <w:sz w:val="20"/>
          <w:szCs w:val="20"/>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decline as compared to the commodity prices used in prior quarters, the Company may have material write downs in subsequent quarters. Given the rate of change impacting the oil and natural gas industry described above, it is possible that circumstances requiring additional impairment testing will occur in future interim periods, which could result in potentially material impairment charges being recorded.</w:t>
      </w:r>
    </w:p>
    <w:p>
      <w:pPr>
        <w:spacing w:after="0" w:line="206" w:lineRule="exact"/>
        <w:rPr>
          <w:sz w:val="20"/>
          <w:szCs w:val="20"/>
          <w:color w:val="auto"/>
        </w:rPr>
      </w:pPr>
    </w:p>
    <w:p>
      <w:pPr>
        <w:jc w:val="both"/>
        <w:ind w:left="100" w:right="20" w:firstLine="720"/>
        <w:spacing w:after="0" w:line="267" w:lineRule="auto"/>
        <w:rPr>
          <w:sz w:val="20"/>
          <w:szCs w:val="20"/>
          <w:color w:val="auto"/>
        </w:rPr>
      </w:pPr>
      <w:r>
        <w:rPr>
          <w:rFonts w:ascii="Times New Roman" w:cs="Times New Roman" w:eastAsia="Times New Roman" w:hAnsi="Times New Roman"/>
          <w:sz w:val="20"/>
          <w:szCs w:val="20"/>
          <w:color w:val="auto"/>
        </w:rPr>
        <w:t>At December 31, 2024, there were $60 million in exploration and development costs and $473 million in capitalized interest that are not subject to depletion. At December 31, 2023, there were $77 million in exploration and development costs and $337 million in capitalized interest costs that were not subject to depletion.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00"/>
          </w:cols>
          <w:pgMar w:left="980" w:top="214" w:right="1060" w:bottom="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820" w:hanging="720"/>
        <w:spacing w:after="0"/>
        <w:tabs>
          <w:tab w:leader="none" w:pos="8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ASSET RETIREMENT OBLIGATIONS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describes the changes to the Company’s asset retirement obligations liability for the following</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periods:</w:t>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7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(In</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7"/>
              </w:rPr>
              <w:t>Asset retirement obligations, beginning of period</w:t>
            </w:r>
            <w:r>
              <w:rPr>
                <w:rFonts w:ascii="Times New Roman" w:cs="Times New Roman" w:eastAsia="Times New Roman" w:hAnsi="Times New Roman"/>
                <w:sz w:val="20"/>
                <w:szCs w:val="20"/>
                <w:color w:val="B3B3B3"/>
                <w:w w:val="97"/>
              </w:rPr>
              <w:t>..................................................................</w:t>
            </w:r>
          </w:p>
        </w:tc>
        <w:tc>
          <w:tcPr>
            <w:tcW w:w="860" w:type="dxa"/>
            <w:vAlign w:val="bottom"/>
          </w:tcPr>
          <w:p>
            <w:pPr>
              <w:jc w:val="right"/>
              <w:ind w:right="62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w:t>
            </w: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7"/>
              </w:rPr>
              <w:t>Additional liabilities incurred</w:t>
            </w:r>
            <w:r>
              <w:rPr>
                <w:rFonts w:ascii="Times New Roman" w:cs="Times New Roman" w:eastAsia="Times New Roman" w:hAnsi="Times New Roman"/>
                <w:sz w:val="20"/>
                <w:szCs w:val="20"/>
                <w:color w:val="B3B3B3"/>
                <w:w w:val="97"/>
              </w:rPr>
              <w:t>.................................................................................................</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7"/>
              </w:rPr>
              <w:t xml:space="preserve">Liabilities acquired </w:t>
            </w:r>
            <w:r>
              <w:rPr>
                <w:rFonts w:ascii="Times New Roman" w:cs="Times New Roman" w:eastAsia="Times New Roman" w:hAnsi="Times New Roman"/>
                <w:sz w:val="20"/>
                <w:szCs w:val="20"/>
                <w:color w:val="B3B3B3"/>
                <w:w w:val="97"/>
              </w:rPr>
              <w:t>.................................................................................................................</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7"/>
              </w:rPr>
              <w:t xml:space="preserve">Liabilities settled and divested </w:t>
            </w:r>
            <w:r>
              <w:rPr>
                <w:rFonts w:ascii="Times New Roman" w:cs="Times New Roman" w:eastAsia="Times New Roman" w:hAnsi="Times New Roman"/>
                <w:sz w:val="20"/>
                <w:szCs w:val="20"/>
                <w:color w:val="B3B3B3"/>
                <w:w w:val="97"/>
              </w:rPr>
              <w:t>...............................................................................................</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7"/>
              </w:rPr>
              <w:t xml:space="preserve">Accretion expense </w:t>
            </w:r>
            <w:r>
              <w:rPr>
                <w:rFonts w:ascii="Times New Roman" w:cs="Times New Roman" w:eastAsia="Times New Roman" w:hAnsi="Times New Roman"/>
                <w:sz w:val="20"/>
                <w:szCs w:val="20"/>
                <w:color w:val="B3B3B3"/>
                <w:w w:val="97"/>
              </w:rPr>
              <w:t>..................................................................................................................</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6"/>
              </w:rPr>
              <w:t>Revisions in estimated liabilities</w:t>
            </w:r>
            <w:r>
              <w:rPr>
                <w:rFonts w:ascii="Times New Roman" w:cs="Times New Roman" w:eastAsia="Times New Roman" w:hAnsi="Times New Roman"/>
                <w:sz w:val="25"/>
                <w:szCs w:val="25"/>
                <w:color w:val="auto"/>
                <w:w w:val="96"/>
                <w:vertAlign w:val="superscript"/>
              </w:rPr>
              <w:t>(1)</w:t>
            </w:r>
            <w:r>
              <w:rPr>
                <w:rFonts w:ascii="Times New Roman" w:cs="Times New Roman" w:eastAsia="Times New Roman" w:hAnsi="Times New Roman"/>
                <w:sz w:val="20"/>
                <w:szCs w:val="20"/>
                <w:color w:val="auto"/>
                <w:w w:val="96"/>
              </w:rPr>
              <w:t xml:space="preserve"> </w:t>
            </w:r>
            <w:r>
              <w:rPr>
                <w:rFonts w:ascii="Times New Roman" w:cs="Times New Roman" w:eastAsia="Times New Roman" w:hAnsi="Times New Roman"/>
                <w:sz w:val="20"/>
                <w:szCs w:val="20"/>
                <w:color w:val="B3B3B3"/>
                <w:w w:val="96"/>
              </w:rPr>
              <w:t>.........................................................................................</w:t>
            </w: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71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Assetretirementobligations,endofperiod</w:t>
            </w: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3"/>
        </w:trPr>
        <w:tc>
          <w:tcPr>
            <w:tcW w:w="7140" w:type="dxa"/>
            <w:vAlign w:val="bottom"/>
            <w:gridSpan w:val="3"/>
          </w:tcPr>
          <w:p>
            <w:pPr>
              <w:jc w:val="right"/>
              <w:ind w:right="60"/>
              <w:spacing w:after="0" w:line="283" w:lineRule="exact"/>
              <w:rPr>
                <w:sz w:val="20"/>
                <w:szCs w:val="20"/>
                <w:color w:val="auto"/>
              </w:rPr>
            </w:pPr>
            <w:r>
              <w:rPr>
                <w:rFonts w:ascii="Times New Roman" w:cs="Times New Roman" w:eastAsia="Times New Roman" w:hAnsi="Times New Roman"/>
                <w:sz w:val="20"/>
                <w:szCs w:val="20"/>
                <w:color w:val="auto"/>
                <w:w w:val="97"/>
              </w:rPr>
              <w:t>Less: current portion</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B3B3B3"/>
                <w:w w:val="97"/>
              </w:rPr>
              <w:t>............................................................................................................</w:t>
            </w: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7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Asset retirement obligations - long-term</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65"/>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top w:val="single" w:sz="8" w:color="auto"/>
              <w:bottom w:val="single" w:sz="8" w:color="auto"/>
            </w:tcBorders>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573</w:t>
            </w:r>
          </w:p>
        </w:tc>
        <w:tc>
          <w:tcPr>
            <w:tcW w:w="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3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239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4721225</wp:posOffset>
                </wp:positionH>
                <wp:positionV relativeFrom="paragraph">
                  <wp:posOffset>38735</wp:posOffset>
                </wp:positionV>
                <wp:extent cx="84772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75pt,3.05pt" to="438.5pt,3.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5616575</wp:posOffset>
                </wp:positionH>
                <wp:positionV relativeFrom="paragraph">
                  <wp:posOffset>38735</wp:posOffset>
                </wp:positionV>
                <wp:extent cx="8477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25pt,3.05pt" to="509pt,3.05pt" o:allowincell="f" strokecolor="#000000" strokeweight="1pt"/>
            </w:pict>
          </mc:Fallback>
        </mc:AlternateContent>
      </w:r>
    </w:p>
    <w:p>
      <w:pPr>
        <w:spacing w:after="0" w:line="46" w:lineRule="exact"/>
        <w:rPr>
          <w:sz w:val="20"/>
          <w:szCs w:val="20"/>
          <w:color w:val="auto"/>
        </w:rPr>
      </w:pPr>
    </w:p>
    <w:p>
      <w:pPr>
        <w:ind w:left="460" w:right="220" w:hanging="360"/>
        <w:spacing w:after="0" w:line="249" w:lineRule="auto"/>
        <w:tabs>
          <w:tab w:leader="none" w:pos="45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Revisions in estimated liabilities for the year ended December 31, 2024 are primarily the result of changes in estimated future plugging and abandonment costs due to increases in current cost estimates and other factors.</w:t>
      </w:r>
    </w:p>
    <w:p>
      <w:pPr>
        <w:ind w:left="460" w:right="160" w:hanging="360"/>
        <w:spacing w:after="0" w:line="286" w:lineRule="auto"/>
        <w:tabs>
          <w:tab w:leader="none" w:pos="42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portion of the asset retirement obligation is included in the caption “Other accrued liabilities” in the Company’s consolidated balance sheets.</w:t>
      </w:r>
    </w:p>
    <w:p>
      <w:pPr>
        <w:spacing w:after="0" w:line="172" w:lineRule="exact"/>
        <w:rPr>
          <w:sz w:val="20"/>
          <w:szCs w:val="20"/>
          <w:color w:val="auto"/>
        </w:rPr>
      </w:pPr>
    </w:p>
    <w:p>
      <w:pPr>
        <w:jc w:val="both"/>
        <w:ind w:left="100" w:right="40" w:firstLine="720"/>
        <w:spacing w:after="0" w:line="258" w:lineRule="auto"/>
        <w:rPr>
          <w:sz w:val="20"/>
          <w:szCs w:val="20"/>
          <w:color w:val="auto"/>
        </w:rPr>
      </w:pPr>
      <w:r>
        <w:rPr>
          <w:rFonts w:ascii="Times New Roman" w:cs="Times New Roman" w:eastAsia="Times New Roman" w:hAnsi="Times New Roman"/>
          <w:sz w:val="20"/>
          <w:szCs w:val="20"/>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94" w:lineRule="exact"/>
        <w:rPr>
          <w:sz w:val="20"/>
          <w:szCs w:val="20"/>
          <w:color w:val="auto"/>
        </w:rPr>
      </w:pPr>
    </w:p>
    <w:p>
      <w:pPr>
        <w:ind w:left="820" w:hanging="719"/>
        <w:spacing w:after="0"/>
        <w:tabs>
          <w:tab w:leader="none" w:pos="8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METHOD INVESTMENTS AND RELATED PARTY TRANSACTIONS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Company considers its equity method investees to be related parties. At December 31, 2024 and 2023, the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Company had the following significant equity method investments:</w:t>
      </w:r>
    </w:p>
    <w:p>
      <w:pPr>
        <w:spacing w:after="0" w:line="200" w:lineRule="exact"/>
        <w:rPr>
          <w:sz w:val="20"/>
          <w:szCs w:val="20"/>
          <w:color w:val="auto"/>
        </w:rPr>
      </w:pP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5100" w:type="dxa"/>
            <w:vAlign w:val="bottom"/>
          </w:tcPr>
          <w:p>
            <w:pPr>
              <w:spacing w:after="0"/>
              <w:rPr>
                <w:sz w:val="21"/>
                <w:szCs w:val="21"/>
                <w:color w:val="auto"/>
              </w:rPr>
            </w:pPr>
          </w:p>
        </w:tc>
        <w:tc>
          <w:tcPr>
            <w:tcW w:w="16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Ownership Interest</w:t>
            </w: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1"/>
                <w:szCs w:val="21"/>
                <w:color w:val="auto"/>
              </w:rPr>
            </w:pPr>
          </w:p>
        </w:tc>
      </w:tr>
      <w:tr>
        <w:trPr>
          <w:trHeight w:val="281"/>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w w:val="98"/>
              </w:rPr>
              <w:t>EPIC Crude Holdings, LP</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B3B3B3"/>
                <w:w w:val="9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27.5 %</w:t>
            </w:r>
          </w:p>
        </w:tc>
        <w:tc>
          <w:tcPr>
            <w:tcW w:w="66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880" w:type="dxa"/>
            <w:vAlign w:val="bottom"/>
            <w:gridSpan w:val="4"/>
          </w:tcPr>
          <w:p>
            <w:pPr>
              <w:jc w:val="right"/>
              <w:ind w:right="55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40" w:type="dxa"/>
            <w:vAlign w:val="bottom"/>
          </w:tcPr>
          <w:p>
            <w:pPr>
              <w:spacing w:after="0"/>
              <w:rPr>
                <w:sz w:val="24"/>
                <w:szCs w:val="24"/>
                <w:color w:val="auto"/>
              </w:rPr>
            </w:pPr>
          </w:p>
        </w:tc>
      </w:tr>
      <w:tr>
        <w:trPr>
          <w:trHeight w:val="26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w w:val="99"/>
              </w:rPr>
              <w:t>Wink to Webster Pipeline LLC</w:t>
            </w:r>
            <w:r>
              <w:rPr>
                <w:rFonts w:ascii="Times New Roman" w:cs="Times New Roman" w:eastAsia="Times New Roman" w:hAnsi="Times New Roman"/>
                <w:sz w:val="20"/>
                <w:szCs w:val="20"/>
                <w:color w:val="B3B3B3"/>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40" w:type="dxa"/>
            <w:vAlign w:val="bottom"/>
          </w:tcPr>
          <w:p>
            <w:pPr>
              <w:spacing w:after="0"/>
              <w:rPr>
                <w:sz w:val="23"/>
                <w:szCs w:val="23"/>
                <w:color w:val="auto"/>
              </w:rPr>
            </w:pPr>
          </w:p>
        </w:tc>
      </w:tr>
      <w:tr>
        <w:trPr>
          <w:trHeight w:val="300"/>
        </w:trPr>
        <w:tc>
          <w:tcPr>
            <w:tcW w:w="5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BANGL LLC </w:t>
            </w:r>
            <w:r>
              <w:rPr>
                <w:rFonts w:ascii="Times New Roman" w:cs="Times New Roman" w:eastAsia="Times New Roman" w:hAnsi="Times New Roman"/>
                <w:sz w:val="20"/>
                <w:szCs w:val="20"/>
                <w:color w:val="B3B3B3"/>
                <w:w w:val="9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40" w:type="dxa"/>
            <w:vAlign w:val="bottom"/>
          </w:tcPr>
          <w:p>
            <w:pPr>
              <w:spacing w:after="0"/>
              <w:rPr>
                <w:sz w:val="24"/>
                <w:szCs w:val="24"/>
                <w:color w:val="auto"/>
              </w:rPr>
            </w:pPr>
          </w:p>
        </w:tc>
      </w:tr>
      <w:tr>
        <w:trPr>
          <w:trHeight w:val="330"/>
        </w:trPr>
        <w:tc>
          <w:tcPr>
            <w:tcW w:w="51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WTG joint venture</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color w:val="B3B3B3"/>
                <w:w w:val="97"/>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40" w:type="dxa"/>
            <w:vAlign w:val="bottom"/>
          </w:tcPr>
          <w:p>
            <w:pPr>
              <w:spacing w:after="0"/>
              <w:rPr>
                <w:sz w:val="24"/>
                <w:szCs w:val="24"/>
                <w:color w:val="auto"/>
              </w:rPr>
            </w:pPr>
          </w:p>
        </w:tc>
      </w:tr>
      <w:tr>
        <w:trPr>
          <w:trHeight w:val="26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Deep Blue Midland Basin LLC </w:t>
            </w:r>
            <w:r>
              <w:rPr>
                <w:rFonts w:ascii="Times New Roman" w:cs="Times New Roman" w:eastAsia="Times New Roman" w:hAnsi="Times New Roman"/>
                <w:sz w:val="20"/>
                <w:szCs w:val="20"/>
                <w:color w:val="B3B3B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40" w:type="dxa"/>
            <w:vAlign w:val="bottom"/>
          </w:tcPr>
          <w:p>
            <w:pPr>
              <w:spacing w:after="0"/>
              <w:rPr>
                <w:sz w:val="23"/>
                <w:szCs w:val="23"/>
                <w:color w:val="auto"/>
              </w:rPr>
            </w:pPr>
          </w:p>
        </w:tc>
      </w:tr>
      <w:tr>
        <w:trPr>
          <w:trHeight w:val="319"/>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 xml:space="preserve">Other </w:t>
            </w:r>
            <w:r>
              <w:rPr>
                <w:rFonts w:ascii="Times New Roman" w:cs="Times New Roman" w:eastAsia="Times New Roman" w:hAnsi="Times New Roman"/>
                <w:sz w:val="20"/>
                <w:szCs w:val="20"/>
                <w:color w:val="B3B3B3"/>
                <w:w w:val="98"/>
              </w:rPr>
              <w:t>............................................................................................</w:t>
            </w:r>
          </w:p>
        </w:tc>
        <w:tc>
          <w:tcPr>
            <w:tcW w:w="16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various</w:t>
            </w: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4"/>
                <w:szCs w:val="24"/>
                <w:color w:val="auto"/>
              </w:rPr>
            </w:pPr>
          </w:p>
        </w:tc>
      </w:tr>
      <w:tr>
        <w:trPr>
          <w:trHeight w:val="242"/>
        </w:trPr>
        <w:tc>
          <w:tcPr>
            <w:tcW w:w="676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3B3B3"/>
              </w:rPr>
              <w:t>........................................................................................................................</w:t>
            </w:r>
          </w:p>
        </w:tc>
        <w:tc>
          <w:tcPr>
            <w:tcW w:w="6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80" w:type="dxa"/>
            <w:vAlign w:val="bottom"/>
            <w:gridSpan w:val="2"/>
          </w:tcPr>
          <w:p>
            <w:pPr>
              <w:spacing w:after="0"/>
              <w:rPr>
                <w:sz w:val="21"/>
                <w:szCs w:val="21"/>
                <w:color w:val="auto"/>
              </w:rPr>
            </w:pPr>
          </w:p>
        </w:tc>
        <w:tc>
          <w:tcPr>
            <w:tcW w:w="80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4435475</wp:posOffset>
                </wp:positionH>
                <wp:positionV relativeFrom="paragraph">
                  <wp:posOffset>39370</wp:posOffset>
                </wp:positionV>
                <wp:extent cx="990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5pt,3.1pt" to="427.25pt,3.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5473700</wp:posOffset>
                </wp:positionH>
                <wp:positionV relativeFrom="paragraph">
                  <wp:posOffset>39370</wp:posOffset>
                </wp:positionV>
                <wp:extent cx="9906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pt,3.1pt" to="509pt,3.1pt" o:allowincell="f" strokecolor="#000000" strokeweight="1pt"/>
            </w:pict>
          </mc:Fallback>
        </mc:AlternateContent>
      </w:r>
    </w:p>
    <w:p>
      <w:pPr>
        <w:spacing w:after="0" w:line="46" w:lineRule="exact"/>
        <w:rPr>
          <w:sz w:val="20"/>
          <w:szCs w:val="20"/>
          <w:color w:val="auto"/>
        </w:rPr>
      </w:pPr>
    </w:p>
    <w:p>
      <w:pPr>
        <w:ind w:left="460" w:right="120" w:hanging="360"/>
        <w:spacing w:after="0" w:line="249" w:lineRule="auto"/>
        <w:tabs>
          <w:tab w:leader="none" w:pos="44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26, 2024, the Company acquired an additional 17.5% ownership interest in EPIC Crude Holdings, LP (“EPIC”), bringing the Company’s aggregate ownership interest to 27.5%.</w:t>
      </w:r>
    </w:p>
    <w:p>
      <w:pPr>
        <w:ind w:left="460" w:right="120" w:hanging="360"/>
        <w:spacing w:after="0" w:line="289" w:lineRule="auto"/>
        <w:tabs>
          <w:tab w:leader="none" w:pos="44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WTG joint venture divested its subsidiary during the WTG Midstream Transaction in July 2024 as further discussed in Note 4—Acquisitions and Divestitures.</w:t>
      </w:r>
    </w:p>
    <w:p>
      <w:pPr>
        <w:spacing w:after="0" w:line="166" w:lineRule="exact"/>
        <w:rPr>
          <w:sz w:val="20"/>
          <w:szCs w:val="20"/>
          <w:color w:val="auto"/>
        </w:rPr>
      </w:pPr>
    </w:p>
    <w:p>
      <w:pPr>
        <w:ind w:left="100" w:right="200" w:firstLine="720"/>
        <w:spacing w:after="0" w:line="289" w:lineRule="auto"/>
        <w:rPr>
          <w:sz w:val="20"/>
          <w:szCs w:val="20"/>
          <w:color w:val="auto"/>
        </w:rPr>
      </w:pPr>
      <w:r>
        <w:rPr>
          <w:rFonts w:ascii="Times New Roman" w:cs="Times New Roman" w:eastAsia="Times New Roman" w:hAnsi="Times New Roman"/>
          <w:sz w:val="20"/>
          <w:szCs w:val="20"/>
          <w:color w:val="auto"/>
        </w:rPr>
        <w:t>Income (loss) and distributions from the Company’s equity method investees were not material for the years ended December 31,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20"/>
          </w:cols>
          <w:pgMar w:left="980" w:top="214" w:right="1040" w:bottom="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The Company reviews its equity method investments to determine if a loss in value which is other than temporary has occurred when events indicate the carrying value of the investment may not be recoverable. If such a loss has occurred, the Company recognizes an impairment provision. No significant impairments were recorded for the Company’s equity method investments for the years ended December 31, 2024, 2023 or 2022. If economic challenges occur in future periods, it could result in circumstances requiring the Company to record potentially material impairment charges on its equity method investments.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Related Party Transactions—Deep Blue</w:t>
      </w:r>
    </w:p>
    <w:p>
      <w:pPr>
        <w:spacing w:after="0" w:line="25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In addition to the equity method investee activity reported above, the Company had other significant related party transactions with Deep Blue which at December 31, 2024 and 2023, include (i) contingent consideration and other post-close adjustments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presents the significant related party balances included in the consolidated balance sheets at</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312"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6520" w:type="dxa"/>
            <w:vAlign w:val="bottom"/>
          </w:tcPr>
          <w:p>
            <w:pPr>
              <w:spacing w:after="0"/>
              <w:rPr>
                <w:sz w:val="21"/>
                <w:szCs w:val="21"/>
                <w:color w:val="auto"/>
              </w:rPr>
            </w:pPr>
          </w:p>
        </w:tc>
        <w:tc>
          <w:tcPr>
            <w:tcW w:w="29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1"/>
                <w:szCs w:val="21"/>
                <w:color w:val="auto"/>
              </w:rPr>
            </w:pPr>
          </w:p>
        </w:tc>
      </w:tr>
      <w:tr>
        <w:trPr>
          <w:trHeight w:val="205"/>
        </w:trPr>
        <w:tc>
          <w:tcPr>
            <w:tcW w:w="65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4"/>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70"/>
              <w:spacing w:after="0" w:line="205" w:lineRule="exact"/>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r>
      <w:tr>
        <w:trPr>
          <w:trHeight w:val="248"/>
        </w:trPr>
        <w:tc>
          <w:tcPr>
            <w:tcW w:w="6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(In</w:t>
            </w:r>
          </w:p>
        </w:tc>
        <w:tc>
          <w:tcPr>
            <w:tcW w:w="12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480" w:type="dxa"/>
            <w:vAlign w:val="bottom"/>
          </w:tcPr>
          <w:p>
            <w:pPr>
              <w:spacing w:after="0"/>
              <w:rPr>
                <w:sz w:val="21"/>
                <w:szCs w:val="21"/>
                <w:color w:val="auto"/>
              </w:rPr>
            </w:pPr>
          </w:p>
        </w:tc>
      </w:tr>
      <w:tr>
        <w:trPr>
          <w:trHeight w:val="269"/>
        </w:trPr>
        <w:tc>
          <w:tcPr>
            <w:tcW w:w="6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 xml:space="preserve">Current assets - Accounts receivable </w:t>
            </w:r>
            <w:r>
              <w:rPr>
                <w:rFonts w:ascii="Times New Roman" w:cs="Times New Roman" w:eastAsia="Times New Roman" w:hAnsi="Times New Roman"/>
                <w:sz w:val="20"/>
                <w:szCs w:val="20"/>
                <w:color w:val="B3B3B3"/>
                <w:w w:val="97"/>
              </w:rPr>
              <w:t>........................................................................</w:t>
            </w:r>
          </w:p>
        </w:tc>
        <w:tc>
          <w:tcPr>
            <w:tcW w:w="1140" w:type="dxa"/>
            <w:vAlign w:val="bottom"/>
          </w:tcPr>
          <w:p>
            <w:pPr>
              <w:jc w:val="right"/>
              <w:ind w:right="884"/>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6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8"/>
        </w:trPr>
        <w:tc>
          <w:tcPr>
            <w:tcW w:w="6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Current liabilities - Accrued capital expenditures</w:t>
            </w:r>
            <w:r>
              <w:rPr>
                <w:rFonts w:ascii="Times New Roman" w:cs="Times New Roman" w:eastAsia="Times New Roman" w:hAnsi="Times New Roman"/>
                <w:sz w:val="20"/>
                <w:szCs w:val="20"/>
                <w:color w:val="B3B3B3"/>
                <w:w w:val="97"/>
              </w:rPr>
              <w:t>.....................................................</w:t>
            </w:r>
          </w:p>
        </w:tc>
        <w:tc>
          <w:tcPr>
            <w:tcW w:w="1140" w:type="dxa"/>
            <w:vAlign w:val="bottom"/>
          </w:tcPr>
          <w:p>
            <w:pPr>
              <w:jc w:val="right"/>
              <w:ind w:right="884"/>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26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3"/>
        </w:trPr>
        <w:tc>
          <w:tcPr>
            <w:tcW w:w="65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Current liabilities - Other accrued liabilities</w:t>
            </w:r>
            <w:r>
              <w:rPr>
                <w:rFonts w:ascii="Times New Roman" w:cs="Times New Roman" w:eastAsia="Times New Roman" w:hAnsi="Times New Roman"/>
                <w:sz w:val="20"/>
                <w:szCs w:val="20"/>
                <w:color w:val="B3B3B3"/>
                <w:w w:val="97"/>
              </w:rPr>
              <w:t>.............................................................</w:t>
            </w:r>
          </w:p>
        </w:tc>
        <w:tc>
          <w:tcPr>
            <w:tcW w:w="1140" w:type="dxa"/>
            <w:vAlign w:val="bottom"/>
          </w:tcPr>
          <w:p>
            <w:pPr>
              <w:jc w:val="right"/>
              <w:ind w:right="884"/>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6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304"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also paid Deep Blue approximately $135 million and $35 million, respectively, for water services provided during the completion phase of wells. These costs were capitalized and are included in the caption “Oil and natural gas properties” on the consolidated balance sheet.</w:t>
      </w:r>
    </w:p>
    <w:p>
      <w:pPr>
        <w:spacing w:after="0" w:line="187"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The following table presents the significant related party transactions included in the consolidated statements of operations for the year ended December 31, 2024:</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6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44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6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6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(In</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1000" w:type="dxa"/>
            <w:vAlign w:val="bottom"/>
          </w:tcPr>
          <w:p>
            <w:pPr>
              <w:spacing w:after="0"/>
              <w:rPr>
                <w:sz w:val="21"/>
                <w:szCs w:val="21"/>
                <w:color w:val="auto"/>
              </w:rPr>
            </w:pPr>
          </w:p>
        </w:tc>
      </w:tr>
      <w:tr>
        <w:trPr>
          <w:trHeight w:val="26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Lease operating expenses</w:t>
            </w:r>
            <w:r>
              <w:rPr>
                <w:rFonts w:ascii="Times New Roman" w:cs="Times New Roman" w:eastAsia="Times New Roman" w:hAnsi="Times New Roman"/>
                <w:sz w:val="20"/>
                <w:szCs w:val="20"/>
                <w:color w:val="B3B3B3"/>
              </w:rPr>
              <w:t>.................................................................................................</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180"/>
          </w:cols>
          <w:pgMar w:left="980" w:top="214" w:right="1080" w:bottom="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820" w:hanging="720"/>
        <w:spacing w:after="0"/>
        <w:tabs>
          <w:tab w:leader="none" w:pos="8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w:t>
      </w:r>
    </w:p>
    <w:p>
      <w:pPr>
        <w:spacing w:after="0" w:line="128" w:lineRule="exact"/>
        <w:rPr>
          <w:rFonts w:ascii="Times New Roman" w:cs="Times New Roman" w:eastAsia="Times New Roman" w:hAnsi="Times New Roman"/>
          <w:sz w:val="20"/>
          <w:szCs w:val="20"/>
          <w:b w:val="1"/>
          <w:bCs w:val="1"/>
          <w:color w:val="auto"/>
        </w:rPr>
      </w:pPr>
    </w:p>
    <w:p>
      <w:pPr>
        <w:ind w:left="8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debt consisted of the following as of the dates indicated:</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6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6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(In</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8"/>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3.250% Senior Notes due 2026 </w:t>
            </w:r>
            <w:r>
              <w:rPr>
                <w:rFonts w:ascii="Times New Roman" w:cs="Times New Roman" w:eastAsia="Times New Roman" w:hAnsi="Times New Roman"/>
                <w:sz w:val="20"/>
                <w:szCs w:val="20"/>
                <w:color w:val="B3B3B3"/>
                <w:w w:val="98"/>
              </w:rPr>
              <w:t>..............................................................................</w:t>
            </w:r>
          </w:p>
        </w:tc>
        <w:tc>
          <w:tcPr>
            <w:tcW w:w="1080" w:type="dxa"/>
            <w:vAlign w:val="bottom"/>
          </w:tcPr>
          <w:p>
            <w:pPr>
              <w:jc w:val="right"/>
              <w:ind w:right="844"/>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5.625% Senior Notes due 2026</w:t>
            </w:r>
            <w:r>
              <w:rPr>
                <w:rFonts w:ascii="Times New Roman" w:cs="Times New Roman" w:eastAsia="Times New Roman" w:hAnsi="Times New Roman"/>
                <w:sz w:val="25"/>
                <w:szCs w:val="25"/>
                <w:color w:val="auto"/>
                <w:w w:val="97"/>
                <w:vertAlign w:val="superscript"/>
              </w:rPr>
              <w:t>(1)</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color w:val="B3B3B3"/>
                <w:w w:val="97"/>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7"/>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5.200% Senior Notes due 2027 </w:t>
            </w:r>
            <w:r>
              <w:rPr>
                <w:rFonts w:ascii="Times New Roman" w:cs="Times New Roman" w:eastAsia="Times New Roman" w:hAnsi="Times New Roman"/>
                <w:sz w:val="20"/>
                <w:szCs w:val="20"/>
                <w:color w:val="B3B3B3"/>
                <w:w w:val="98"/>
              </w:rPr>
              <w:t>..............................................................................</w:t>
            </w:r>
          </w:p>
        </w:tc>
        <w:tc>
          <w:tcPr>
            <w:tcW w:w="10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7.125% Medium-term Notes, Series B, due 2028</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3.500% Senior Notes due 2029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5.150% Senior Notes due 2030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3.125% Senior Notes due 2031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6.250% Senior Notes due 2033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5.400% Senior Notes due 2034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4.400% Senior Notes due 2051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4.250% Senior Notes due 2052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6.250% Senior Notes due 2053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5.750% Senior Notes due 2054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5.900% Senior Notes due 2064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Tranche A Loans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Unamortized debt issuance costs</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Unamortized discount costs</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Unamortized premium costs</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Unamortized basis adjustment of dedesignated interest rate swap agreements</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color w:val="B3B3B3"/>
                <w:w w:val="97"/>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7"/>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Viper revolving credit facility </w:t>
            </w:r>
            <w:r>
              <w:rPr>
                <w:rFonts w:ascii="Times New Roman" w:cs="Times New Roman" w:eastAsia="Times New Roman" w:hAnsi="Times New Roman"/>
                <w:sz w:val="20"/>
                <w:szCs w:val="20"/>
                <w:color w:val="B3B3B3"/>
                <w:w w:val="98"/>
              </w:rPr>
              <w:t>................................................................................</w:t>
            </w:r>
          </w:p>
        </w:tc>
        <w:tc>
          <w:tcPr>
            <w:tcW w:w="10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0"/>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Viper 5.375% Senior Notes due 2027 </w:t>
            </w:r>
            <w:r>
              <w:rPr>
                <w:rFonts w:ascii="Times New Roman" w:cs="Times New Roman" w:eastAsia="Times New Roman" w:hAnsi="Times New Roman"/>
                <w:sz w:val="20"/>
                <w:szCs w:val="20"/>
                <w:color w:val="B3B3B3"/>
                <w:w w:val="98"/>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8"/>
              </w:rPr>
              <w:t xml:space="preserve">Viper 7.375% Senior Notes due 2031 </w:t>
            </w:r>
            <w:r>
              <w:rPr>
                <w:rFonts w:ascii="Times New Roman" w:cs="Times New Roman" w:eastAsia="Times New Roman" w:hAnsi="Times New Roman"/>
                <w:sz w:val="20"/>
                <w:szCs w:val="20"/>
                <w:color w:val="B3B3B3"/>
                <w:w w:val="98"/>
              </w:rPr>
              <w:t>....................................................................</w:t>
            </w: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6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Total debt, net </w:t>
            </w:r>
            <w:r>
              <w:rPr>
                <w:rFonts w:ascii="Times New Roman" w:cs="Times New Roman" w:eastAsia="Times New Roman" w:hAnsi="Times New Roman"/>
                <w:sz w:val="20"/>
                <w:szCs w:val="20"/>
                <w:color w:val="B3B3B3"/>
              </w:rPr>
              <w:t>....................................................................................................</w:t>
            </w:r>
          </w:p>
        </w:tc>
        <w:tc>
          <w:tcPr>
            <w:tcW w:w="1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current maturities of debt</w:t>
            </w:r>
            <w:r>
              <w:rPr>
                <w:rFonts w:ascii="Times New Roman" w:cs="Times New Roman" w:eastAsia="Times New Roman" w:hAnsi="Times New Roman"/>
                <w:sz w:val="20"/>
                <w:szCs w:val="20"/>
                <w:color w:val="B3B3B3"/>
                <w:w w:val="99"/>
              </w:rPr>
              <w:t>..............................................................................</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6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long-term debt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12,075</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4206875</wp:posOffset>
                </wp:positionH>
                <wp:positionV relativeFrom="paragraph">
                  <wp:posOffset>38735</wp:posOffset>
                </wp:positionV>
                <wp:extent cx="11144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4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25pt,3.05pt" to="419pt,3.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5368925</wp:posOffset>
                </wp:positionH>
                <wp:positionV relativeFrom="paragraph">
                  <wp:posOffset>38735</wp:posOffset>
                </wp:positionV>
                <wp:extent cx="10953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75pt,3.05pt" to="509pt,3.05pt" o:allowincell="f" strokecolor="#000000" strokeweight="1pt"/>
            </w:pict>
          </mc:Fallback>
        </mc:AlternateContent>
      </w:r>
    </w:p>
    <w:p>
      <w:pPr>
        <w:spacing w:after="0" w:line="46" w:lineRule="exact"/>
        <w:rPr>
          <w:sz w:val="20"/>
          <w:szCs w:val="20"/>
          <w:color w:val="auto"/>
        </w:rPr>
      </w:pPr>
    </w:p>
    <w:p>
      <w:pPr>
        <w:ind w:left="460" w:hanging="360"/>
        <w:spacing w:after="0"/>
        <w:tabs>
          <w:tab w:leader="none" w:pos="4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QEP remained the issuer of these senior notes subsequent to becoming a wholly owned subsidiary of the Company.</w:t>
      </w:r>
    </w:p>
    <w:p>
      <w:pPr>
        <w:spacing w:after="0" w:line="10" w:lineRule="exact"/>
        <w:rPr>
          <w:rFonts w:ascii="Times New Roman" w:cs="Times New Roman" w:eastAsia="Times New Roman" w:hAnsi="Times New Roman"/>
          <w:sz w:val="20"/>
          <w:szCs w:val="20"/>
          <w:color w:val="auto"/>
        </w:rPr>
      </w:pPr>
    </w:p>
    <w:p>
      <w:pPr>
        <w:jc w:val="both"/>
        <w:ind w:left="460" w:right="40" w:hanging="360"/>
        <w:spacing w:after="0" w:line="268" w:lineRule="auto"/>
        <w:tabs>
          <w:tab w:leader="none" w:pos="4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13—Derivatives.</w:t>
      </w:r>
    </w:p>
    <w:p>
      <w:pPr>
        <w:spacing w:after="0" w:line="187" w:lineRule="exact"/>
        <w:rPr>
          <w:sz w:val="20"/>
          <w:szCs w:val="20"/>
          <w:color w:val="auto"/>
        </w:rPr>
      </w:pPr>
    </w:p>
    <w:p>
      <w:pPr>
        <w:ind w:left="100" w:right="360" w:firstLine="720"/>
        <w:spacing w:after="0" w:line="286" w:lineRule="auto"/>
        <w:rPr>
          <w:sz w:val="20"/>
          <w:szCs w:val="20"/>
          <w:color w:val="auto"/>
        </w:rPr>
      </w:pPr>
      <w:r>
        <w:rPr>
          <w:rFonts w:ascii="Times New Roman" w:cs="Times New Roman" w:eastAsia="Times New Roman" w:hAnsi="Times New Roman"/>
          <w:sz w:val="20"/>
          <w:szCs w:val="20"/>
          <w:color w:val="auto"/>
        </w:rPr>
        <w:t>Debt maturities as of December 31, 2024, excluding debt issuance costs, premiums and discounts and the unamortized basis adjustment of dedesignated interest rate swap agreements are as follows:</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328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Year Ending December 31,</w:t>
            </w:r>
          </w:p>
        </w:tc>
        <w:tc>
          <w:tcPr>
            <w:tcW w:w="12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72"/>
              </w:rPr>
              <w:t xml:space="preserve">2025  </w:t>
            </w:r>
            <w:r>
              <w:rPr>
                <w:rFonts w:ascii="Times New Roman" w:cs="Times New Roman" w:eastAsia="Times New Roman" w:hAnsi="Times New Roman"/>
                <w:sz w:val="10"/>
                <w:szCs w:val="10"/>
                <w:color w:val="B3B3B3"/>
                <w:w w:val="72"/>
              </w:rPr>
              <w:t>.................................................................................................................................................................</w:t>
            </w: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 xml:space="preserve">2026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 xml:space="preserve">2027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 xml:space="preserve">2028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 xml:space="preserve">2029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 xml:space="preserve">Thereafter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00" w:type="dxa"/>
            <w:vAlign w:val="bottom"/>
            <w:gridSpan w:val="3"/>
          </w:tcPr>
          <w:p>
            <w:pPr>
              <w:ind w:left="420"/>
              <w:spacing w:after="0" w:line="215"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2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rPr>
              <w:t>13,160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300" w:type="dxa"/>
            <w:vAlign w:val="bottom"/>
            <w:vMerge w:val="restart"/>
          </w:tcPr>
          <w:p>
            <w:pPr>
              <w:jc w:val="right"/>
              <w:ind w:right="3404"/>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2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20"/>
          </w:cols>
          <w:pgMar w:left="980" w:top="214" w:right="1040" w:bottom="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References in this section to the Company shall mean Diamondback Energy, Inc. and Diamondback E&amp;P, collectively, unless otherwise specified.</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Second Amended and Restated Credit Facility</w:t>
      </w:r>
    </w:p>
    <w:p>
      <w:pPr>
        <w:spacing w:after="0" w:line="25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March 6, 2024, Diamondback E&amp;P, as borrower, and Diamondback Energy, Inc., as parent guarantor, entered into a fourteenth amendment to the existing credit agreement, which upon consummation of the Endeavor Acquisition, (i) increased the maximum credit amount from $1.6 billion to $2.5 billion, which may be further increased to a total maximum commitment of $2.6 billion, (ii) decreased the swingline commitments amount from $ 100 million to $50 million and (iii) made certain amendments to the representations and warranties, affirmative and negative covenants, and events of default. As of December 31, 2024, the Company had no outstanding borrowings under the credit agreement and $2.5 billion available for future borrowings. The weighted average interest rate on borrowings under the credit agreement was 6.33%, 6.31% and 3.91% for the years ended December 31, 2024, 2023 and 2022, respectively. During the fourth quarter of 2024, the Company exercised an election to extend the maturity date of the credit agreement by one year to June 2, 2029.</w:t>
      </w:r>
    </w:p>
    <w:p>
      <w:pPr>
        <w:spacing w:after="0" w:line="205"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Outstanding borrowings under the credit agreement bear interest at a per annum rate elected by Diamondback E&amp;P that is equal to (i) term SOFR plus 0.10% (“Adjusted Term SOFR”) or (ii) an alternate base rate (which is equal to the greatest of the prime rate, the Federal Funds effective rate plus 0.50%, and 1 -month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the Company’s long-term senior unsecured debt ratings.</w:t>
      </w:r>
    </w:p>
    <w:p>
      <w:pPr>
        <w:spacing w:after="0" w:line="20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credit agreement contains a financial covenant that requires us to maintain a Total Net Debt to Capitalization Ratio (as defined in the credit agreement) of no more than 65%. As of December 31, 2024, the Company was in compliance with all financial maintenance covenants under the revolving credit facility, as then in effect.</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Term Loan Agreement</w:t>
      </w:r>
    </w:p>
    <w:p>
      <w:pPr>
        <w:spacing w:after="0" w:line="25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In connection with the Endeavor Acquisition, Diamondback Energy, Inc., as guarantor, entered into a Term Loan Credit Agreement with Diamondback E&amp;P LLC, as borrower, and Citibank, N.A., as administrative agent (the “Term Loan Agreement”) on February 29, 2024.</w:t>
      </w:r>
    </w:p>
    <w:p>
      <w:pPr>
        <w:spacing w:after="0" w:line="18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Term Loan Agreement provided the Company with the ability to borrow up to $1.5 billion, which was comprised of $1.0 billion of Tranche A Loans (the “Tranche A Loans”) and $500 million of Tranche B Loans on an unsecured basis to fund a portion of the cash consideration for the Endeavor Acquisition, repay certain debt of Endeavor or pay fees, costs and expenses related to the acquisition. The undrawn Tranche B Loans were terminated on August 2, 2024. As of December 31, 2024, the Company had $900 million in outstanding borrowings under the Tranche A Loans. During the year ended December 31, 2024, the weighted average interest rate on borrowings under the Term Loan Agreement was 6.13%.</w:t>
      </w:r>
    </w:p>
    <w:p>
      <w:pPr>
        <w:spacing w:after="0" w:line="205"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initial Tranche A Loans were made in a single borrowing on the date of closing of the Endeavor Acquisition (the “Closing Date”) and any remaining outstanding amounts will mature and be payable in full on the first anniversary of the Closing Date.</w:t>
      </w:r>
    </w:p>
    <w:p>
      <w:pPr>
        <w:spacing w:after="0" w:line="190" w:lineRule="exact"/>
        <w:rPr>
          <w:sz w:val="20"/>
          <w:szCs w:val="20"/>
          <w:color w:val="auto"/>
        </w:rPr>
      </w:pPr>
    </w:p>
    <w:p>
      <w:pPr>
        <w:jc w:val="both"/>
        <w:ind w:left="100" w:firstLine="721"/>
        <w:spacing w:after="0" w:line="255" w:lineRule="auto"/>
        <w:rPr>
          <w:sz w:val="20"/>
          <w:szCs w:val="20"/>
          <w:color w:val="auto"/>
        </w:rPr>
      </w:pPr>
      <w:r>
        <w:rPr>
          <w:rFonts w:ascii="Times New Roman" w:cs="Times New Roman" w:eastAsia="Times New Roman" w:hAnsi="Times New Roman"/>
          <w:sz w:val="20"/>
          <w:szCs w:val="20"/>
          <w:color w:val="auto"/>
        </w:rPr>
        <w:t>Outstanding borrowings under the Term Loan Agreement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180"/>
          </w:cols>
          <w:pgMar w:left="980" w:top="214" w:right="1080" w:bottom="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Bridge Facility</w:t>
      </w:r>
    </w:p>
    <w:p>
      <w:pPr>
        <w:spacing w:after="0" w:line="256"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On February 11, 2024, in connection with the Endeavor Acquisition, Diamondback Energy, Inc., as guarantor, obtained commitments of $8.0 billion to a 364 -day senior unsecured term loan facility with Diamondback E&amp;P LLC, as borrower, and Citigroup Global Markets Inc., as administrative agent (the “Bridge Facility”) . The Bridge Facility was reduced on a dollar -for-dollar basis by the amount of the Term Loan Agreement to $6.5 billion on February 29, 2024 and was further reduced on a dollar-for-dollar basis by the amount of the April 2024 Notes (as defined below) to $1.0 billion. The undrawn Bridge Facility was terminated on June 4, 2024. The Company recorded additional interest expense of $28 million during the year ended December 31, 2024, respectively, related to the amortization and write-off of debt issuance costs incurred for the Bridge Facility.</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2024 Issuance of Notes</w:t>
      </w:r>
    </w:p>
    <w:p>
      <w:pPr>
        <w:spacing w:after="0" w:line="258"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On April 18, 2024, Diamondback Energy, Inc., as borrower, and Diamondback E&amp;P LLC, as guarantor,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The April 2024 Notes are included in the Guaranteed Senior Notes for the Company. The Company received net proceeds of $5.5 billion, after underwriters’ discounts and transaction costs. Interest on the 2030 Notes is payable semi-annually on January 30 and July 30 of each year, beginning on July 30, 2024. Interest on each other series of notes will be payable semi-annually on April 18 and October 18 of each year. The Company used the net proceeds to fund a portion of the cash consideration for the Endeavor</w:t>
      </w: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2023 Issuance of Notes</w:t>
      </w:r>
    </w:p>
    <w:p>
      <w:pPr>
        <w:spacing w:after="0" w:line="256"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On October 19, 2023, Viper completed an offering of $ 400 million in aggregate principal amount of its 7.375% Senior Notes maturing on November 1, 2031 (the “Viper 2031 Notes”). Viper received net proceeds of approximately $394 million, after deducting the initial purchasers’ discount and transaction costs, from the Viper 2031 Notes. Viper loaned the gross proceeds to Viper LLC, which used the proceeds to partially fund the cash portion of the GRP Acquisition.</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Retirement of Notes</w:t>
      </w:r>
    </w:p>
    <w:p>
      <w:pPr>
        <w:spacing w:after="0" w:line="258"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In the first quarter of 2024, the Company opportunistically repurchased principal amounts of $22 million of its 3.125% Senior Notes due 2031 and $6 million of its 3.500% Senior Notes due 2029 for total cash consideration, including accrued interest paid of $ 25 million. These repurchases resulted in an immaterial gain on extinguishment of debt during the year ended December 31, 2024.</w:t>
      </w:r>
    </w:p>
    <w:p>
      <w:pPr>
        <w:spacing w:after="0" w:line="195"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In the second quarter of 2023, the Company repurchased principal amounts of $30 million of its 3.250% Senior Notes due 2026 and $100 million of its 3.500% Senior Notes due 2029 for total cash consideration, including accrued interest paid, of $124 million. These repurchases resulted in an immaterial loss on extinguishment of debt during the year ended December 31, 2023.</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Company redeemed the principal amount of its $10 million 5.250% Senior Notes due 2023 at maturity on May</w:t>
      </w: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1, 2023.</w:t>
      </w:r>
    </w:p>
    <w:p>
      <w:pPr>
        <w:spacing w:after="0" w:line="2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Guaranteed Senior Notes</w:t>
      </w:r>
    </w:p>
    <w:p>
      <w:pPr>
        <w:spacing w:after="0" w:line="258"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Guaranteed Senior Notes are the Company’s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spacing w:after="0" w:line="187"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Viper Notes are senior unsecured obligations of Viper, initially guaranteed on a senior unsecured basis by Viper LLC, and will pay interest semi-annually. The Company will not guarantee the Viper Notes. In the future, each of Viper’s restricted subsidiaries that either (i) guarantees any of its or a guarantor’s indebtedness, or (ii) is a domestic restricted</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180"/>
          </w:cols>
          <w:pgMar w:left="980" w:top="214" w:right="1080" w:bottom="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40"/>
        <w:spacing w:after="0" w:line="286" w:lineRule="auto"/>
        <w:rPr>
          <w:sz w:val="20"/>
          <w:szCs w:val="20"/>
          <w:color w:val="auto"/>
        </w:rPr>
      </w:pPr>
      <w:r>
        <w:rPr>
          <w:rFonts w:ascii="Times New Roman" w:cs="Times New Roman" w:eastAsia="Times New Roman" w:hAnsi="Times New Roman"/>
          <w:sz w:val="20"/>
          <w:szCs w:val="20"/>
          <w:color w:val="auto"/>
        </w:rPr>
        <w:t>subsidiary and is an obligor with respect to any indebtedness under any credit facility will be required to guarantee the Viper Notes.</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Viper LLC’s Credit Agreement</w:t>
      </w:r>
    </w:p>
    <w:p>
      <w:pPr>
        <w:spacing w:after="0" w:line="256" w:lineRule="exact"/>
        <w:rPr>
          <w:sz w:val="20"/>
          <w:szCs w:val="20"/>
          <w:color w:val="auto"/>
        </w:rPr>
      </w:pPr>
    </w:p>
    <w:p>
      <w:pPr>
        <w:jc w:val="both"/>
        <w:ind w:left="100" w:right="40" w:firstLine="720"/>
        <w:spacing w:after="0" w:line="269" w:lineRule="auto"/>
        <w:rPr>
          <w:sz w:val="20"/>
          <w:szCs w:val="20"/>
          <w:color w:val="auto"/>
        </w:rPr>
      </w:pPr>
      <w:r>
        <w:rPr>
          <w:rFonts w:ascii="Times New Roman" w:cs="Times New Roman" w:eastAsia="Times New Roman" w:hAnsi="Times New Roman"/>
          <w:sz w:val="20"/>
          <w:szCs w:val="20"/>
          <w:color w:val="auto"/>
        </w:rPr>
        <w:t>On November 22, 2024, Viper LLC entered into a thirteenth amendment to its existing credit agreement, which among other things, (i) maintained a maximum credit amount of $2.0 billion, (ii) maintained a borrowing base of $1.3 billion, and (iii) increased the aggregate elected commitment amount from $850 million to $1.3 billion.</w:t>
      </w:r>
    </w:p>
    <w:p>
      <w:pPr>
        <w:spacing w:after="0" w:line="187" w:lineRule="exact"/>
        <w:rPr>
          <w:sz w:val="20"/>
          <w:szCs w:val="20"/>
          <w:color w:val="auto"/>
        </w:rPr>
      </w:pPr>
    </w:p>
    <w:p>
      <w:pPr>
        <w:jc w:val="both"/>
        <w:ind w:left="100" w:right="40"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2024, Viper LLC had $261 million of outstanding borrowings and $1.0 billion available for future borrowings under its credit agreement. The weighted average interest rates on borrowings under Viper LLC’s credit agreement were 7.34%, 7.41%, and 4.22% for the years ended December 31, 2024, 2023 and 2022, respectively. Viper LLC’s credit agreement will mature on September 22, 2028.</w:t>
      </w:r>
    </w:p>
    <w:p>
      <w:pPr>
        <w:spacing w:after="0" w:line="197" w:lineRule="exact"/>
        <w:rPr>
          <w:sz w:val="20"/>
          <w:szCs w:val="20"/>
          <w:color w:val="auto"/>
        </w:rPr>
      </w:pPr>
    </w:p>
    <w:p>
      <w:pPr>
        <w:jc w:val="both"/>
        <w:ind w:left="100" w:right="40" w:firstLine="720"/>
        <w:spacing w:after="0" w:line="253" w:lineRule="auto"/>
        <w:rPr>
          <w:sz w:val="20"/>
          <w:szCs w:val="20"/>
          <w:color w:val="auto"/>
        </w:rPr>
      </w:pPr>
      <w:r>
        <w:rPr>
          <w:rFonts w:ascii="Times New Roman" w:cs="Times New Roman" w:eastAsia="Times New Roman" w:hAnsi="Times New Roman"/>
          <w:sz w:val="20"/>
          <w:szCs w:val="20"/>
          <w:color w:val="auto"/>
        </w:rPr>
        <w:t>The outstanding borrowings under Viper LLC’s credit agreement bear interest at a rate elected by Viper LLC that is equal to (i) term SOFR plus 0.10% (“Adjusted Term SOFR”), or (ii) an alternate base rate (which is equal to the greatest of the prime rate, the Federal Funds effective rate plus 0.50% and 1-month Adjusted Term SOFR plus 1.0%),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Viper LLC is obligated to pay a quarterly commitment fee ranging from 0.375% to 0.500% per year on the unused portion of the commitment. The credit agreement is secured by substantially all the assets of Viper and Viper LLC.</w:t>
      </w:r>
    </w:p>
    <w:p>
      <w:pPr>
        <w:spacing w:after="0" w:line="214" w:lineRule="exact"/>
        <w:rPr>
          <w:sz w:val="20"/>
          <w:szCs w:val="20"/>
          <w:color w:val="auto"/>
        </w:rPr>
      </w:pPr>
    </w:p>
    <w:p>
      <w:pPr>
        <w:jc w:val="both"/>
        <w:ind w:left="100" w:right="40" w:firstLine="720"/>
        <w:spacing w:after="0" w:line="261" w:lineRule="auto"/>
        <w:rPr>
          <w:sz w:val="20"/>
          <w:szCs w:val="20"/>
          <w:color w:val="auto"/>
        </w:rPr>
      </w:pPr>
      <w:r>
        <w:rPr>
          <w:rFonts w:ascii="Times New Roman" w:cs="Times New Roman" w:eastAsia="Times New Roman" w:hAnsi="Times New Roman"/>
          <w:sz w:val="20"/>
          <w:szCs w:val="20"/>
          <w:color w:val="auto"/>
        </w:rPr>
        <w:t>The Viper LLC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7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Covenant</w:t>
            </w:r>
          </w:p>
        </w:tc>
        <w:tc>
          <w:tcPr>
            <w:tcW w:w="22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Required Ratio</w:t>
            </w:r>
          </w:p>
        </w:tc>
      </w:tr>
      <w:tr>
        <w:trPr>
          <w:trHeight w:val="281"/>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Ratio of total net debt to EBITDAX, as defined in the Viper LLC credit agreement</w:t>
            </w:r>
            <w:r>
              <w:rPr>
                <w:rFonts w:ascii="Times New Roman" w:cs="Times New Roman" w:eastAsia="Times New Roman" w:hAnsi="Times New Roman"/>
                <w:sz w:val="20"/>
                <w:szCs w:val="20"/>
                <w:color w:val="B3B3B3"/>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Not greater than 4.0 to 1.0</w:t>
            </w:r>
          </w:p>
        </w:tc>
      </w:tr>
      <w:tr>
        <w:trPr>
          <w:trHeight w:val="283"/>
        </w:trPr>
        <w:tc>
          <w:tcPr>
            <w:tcW w:w="7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Ratio of current assets to liabilities, as defined in the Viper LLC credit agreement </w:t>
            </w:r>
            <w:r>
              <w:rPr>
                <w:rFonts w:ascii="Times New Roman" w:cs="Times New Roman" w:eastAsia="Times New Roman" w:hAnsi="Times New Roman"/>
                <w:sz w:val="20"/>
                <w:szCs w:val="20"/>
                <w:color w:val="B3B3B3"/>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Not less than 1.0 to 1.0</w:t>
            </w:r>
          </w:p>
        </w:tc>
      </w:tr>
      <w:tr>
        <w:trPr>
          <w:trHeight w:val="286"/>
        </w:trPr>
        <w:tc>
          <w:tcPr>
            <w:tcW w:w="7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Ratio of secured debt to EBITDAX, as defined in the Viper LLC credit agreement </w:t>
            </w:r>
            <w:r>
              <w:rPr>
                <w:rFonts w:ascii="Times New Roman" w:cs="Times New Roman" w:eastAsia="Times New Roman" w:hAnsi="Times New Roman"/>
                <w:sz w:val="20"/>
                <w:szCs w:val="20"/>
                <w:color w:val="B3B3B3"/>
              </w:rPr>
              <w:t>......................</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Not greater than 2.5 to 1.0</w:t>
            </w:r>
          </w:p>
        </w:tc>
      </w:tr>
    </w:tbl>
    <w:p>
      <w:pPr>
        <w:spacing w:after="0" w:line="282" w:lineRule="exact"/>
        <w:rPr>
          <w:sz w:val="20"/>
          <w:szCs w:val="20"/>
          <w:color w:val="auto"/>
        </w:rPr>
      </w:pPr>
    </w:p>
    <w:p>
      <w:pPr>
        <w:ind w:left="100" w:right="200" w:firstLine="720"/>
        <w:spacing w:after="0" w:line="289" w:lineRule="auto"/>
        <w:rPr>
          <w:sz w:val="20"/>
          <w:szCs w:val="20"/>
          <w:color w:val="auto"/>
        </w:rPr>
      </w:pPr>
      <w:r>
        <w:rPr>
          <w:rFonts w:ascii="Times New Roman" w:cs="Times New Roman" w:eastAsia="Times New Roman" w:hAnsi="Times New Roman"/>
          <w:sz w:val="20"/>
          <w:szCs w:val="20"/>
          <w:color w:val="auto"/>
        </w:rPr>
        <w:t>As of December 31, 2024, Viper LLC was in compliance with all financial maintenance covenants under the Viper LLC credit agreement.</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2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amounts have been incurred and charged to interest expense for the years ended December 31, 2024,</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2023 and 2022:</w:t>
      </w:r>
    </w:p>
    <w:p>
      <w:pPr>
        <w:spacing w:after="0" w:line="399"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5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57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5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3"/>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Interest expense</w:t>
            </w:r>
            <w:r>
              <w:rPr>
                <w:rFonts w:ascii="Times New Roman" w:cs="Times New Roman" w:eastAsia="Times New Roman" w:hAnsi="Times New Roman"/>
                <w:sz w:val="20"/>
                <w:szCs w:val="20"/>
                <w:color w:val="B3B3B3"/>
                <w:w w:val="99"/>
              </w:rPr>
              <w:t>..........................................................................................</w:t>
            </w:r>
          </w:p>
        </w:tc>
        <w:tc>
          <w:tcPr>
            <w:tcW w:w="9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44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Other fees and expenses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Less: interest income</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w w:val="98"/>
              </w:rPr>
              <w:t xml:space="preserve">Less: capitalized interest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expense, net</w:t>
            </w:r>
            <w:r>
              <w:rPr>
                <w:rFonts w:ascii="Times New Roman" w:cs="Times New Roman" w:eastAsia="Times New Roman" w:hAnsi="Times New Roman"/>
                <w:sz w:val="20"/>
                <w:szCs w:val="20"/>
                <w:color w:val="B3B3B3"/>
              </w:rPr>
              <w:t>...............................................................................</w:t>
            </w:r>
          </w:p>
        </w:tc>
        <w:tc>
          <w:tcPr>
            <w:tcW w:w="900" w:type="dxa"/>
            <w:vAlign w:val="bottom"/>
            <w:gridSpan w:val="2"/>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159</w:t>
            </w:r>
          </w:p>
        </w:tc>
        <w:tc>
          <w:tcPr>
            <w:tcW w:w="4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6"/>
        </w:trPr>
        <w:tc>
          <w:tcPr>
            <w:tcW w:w="578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20"/>
          </w:cols>
          <w:pgMar w:left="980" w:top="214" w:right="1040" w:bottom="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right="3380"/>
        <w:spacing w:after="0" w:line="503" w:lineRule="auto"/>
        <w:tabs>
          <w:tab w:leader="none" w:pos="817"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EARNINGS (LOSS) PER SHARE Common Stock Repurchase Program</w:t>
      </w:r>
    </w:p>
    <w:p>
      <w:pPr>
        <w:spacing w:after="0" w:line="2" w:lineRule="exact"/>
        <w:rPr>
          <w:sz w:val="20"/>
          <w:szCs w:val="20"/>
          <w:color w:val="auto"/>
        </w:rPr>
      </w:pPr>
    </w:p>
    <w:p>
      <w:pPr>
        <w:jc w:val="both"/>
        <w:ind w:left="100" w:right="40" w:firstLine="720"/>
        <w:spacing w:after="0" w:line="253" w:lineRule="auto"/>
        <w:rPr>
          <w:sz w:val="20"/>
          <w:szCs w:val="20"/>
          <w:color w:val="auto"/>
        </w:rPr>
      </w:pPr>
      <w:r>
        <w:rPr>
          <w:rFonts w:ascii="Times New Roman" w:cs="Times New Roman" w:eastAsia="Times New Roman" w:hAnsi="Times New Roman"/>
          <w:sz w:val="20"/>
          <w:szCs w:val="20"/>
          <w:color w:val="auto"/>
        </w:rPr>
        <w:t>The Company’s board of directors has approved a common stock repurchase program to acquire up to $6.0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years ended December 31, 2024, 2023 and 2022, the Company repurchased approximately $959 million, $838 million and $1.1 billion of common stock under the respective repurchase programs, respectively, in each case excluding excise tax. As of December 31, 2024, approximately $2.7 billion remained available for future repurchases under the Company’s common stock repurchase program, excluding excise tax.</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Viper 2024 Equity Offering</w:t>
      </w:r>
    </w:p>
    <w:p>
      <w:pPr>
        <w:spacing w:after="0" w:line="258" w:lineRule="exact"/>
        <w:rPr>
          <w:sz w:val="20"/>
          <w:szCs w:val="20"/>
          <w:color w:val="auto"/>
        </w:rPr>
      </w:pPr>
    </w:p>
    <w:p>
      <w:pPr>
        <w:jc w:val="both"/>
        <w:ind w:left="100" w:right="40" w:firstLine="720"/>
        <w:spacing w:after="0" w:line="258" w:lineRule="auto"/>
        <w:rPr>
          <w:sz w:val="20"/>
          <w:szCs w:val="20"/>
          <w:color w:val="auto"/>
        </w:rPr>
      </w:pPr>
      <w:r>
        <w:rPr>
          <w:rFonts w:ascii="Times New Roman" w:cs="Times New Roman" w:eastAsia="Times New Roman" w:hAnsi="Times New Roman"/>
          <w:sz w:val="20"/>
          <w:szCs w:val="20"/>
          <w:color w:val="auto"/>
        </w:rPr>
        <w:t>On September 13, 2024, Viper completed an underwritten public offering of approximately 11.5 million shares of its Class A common stock, which included 1.5 million shares issued pursuant to an option to purchase additional shares of Class A common stock granted to the underwriters, at a price to the public of $42.50 per share for total net proceeds to Viper of approximately $476 million, after underwriters’ discounts and transaction costs (the “Viper 2024 Equity Offering”). The net proceeds were used to fund a portion of the cash consideration for the Viper TWR Acquisition.</w:t>
      </w:r>
    </w:p>
    <w:p>
      <w:pPr>
        <w:spacing w:after="0" w:line="199" w:lineRule="exact"/>
        <w:rPr>
          <w:sz w:val="20"/>
          <w:szCs w:val="20"/>
          <w:color w:val="auto"/>
        </w:rPr>
      </w:pPr>
    </w:p>
    <w:p>
      <w:pPr>
        <w:ind w:left="100" w:right="1780" w:firstLine="719"/>
        <w:spacing w:after="0" w:line="500" w:lineRule="auto"/>
        <w:rPr>
          <w:sz w:val="20"/>
          <w:szCs w:val="20"/>
          <w:color w:val="auto"/>
        </w:rPr>
      </w:pPr>
      <w:r>
        <w:rPr>
          <w:rFonts w:ascii="Times New Roman" w:cs="Times New Roman" w:eastAsia="Times New Roman" w:hAnsi="Times New Roman"/>
          <w:sz w:val="20"/>
          <w:szCs w:val="20"/>
          <w:color w:val="auto"/>
        </w:rPr>
        <w:t xml:space="preserve">See Note 17—Subsequent Events for discussion of additional subsequent Viper equity offering. </w:t>
      </w:r>
      <w:r>
        <w:rPr>
          <w:rFonts w:ascii="Times New Roman" w:cs="Times New Roman" w:eastAsia="Times New Roman" w:hAnsi="Times New Roman"/>
          <w:sz w:val="20"/>
          <w:szCs w:val="20"/>
          <w:b w:val="1"/>
          <w:bCs w:val="1"/>
          <w:color w:val="auto"/>
        </w:rPr>
        <w:t>Change in Ownership of Consolidated Subsidiaries</w:t>
      </w:r>
    </w:p>
    <w:p>
      <w:pPr>
        <w:spacing w:after="0" w:line="2" w:lineRule="exact"/>
        <w:rPr>
          <w:sz w:val="20"/>
          <w:szCs w:val="20"/>
          <w:color w:val="auto"/>
        </w:rPr>
      </w:pPr>
    </w:p>
    <w:p>
      <w:pPr>
        <w:jc w:val="both"/>
        <w:ind w:left="100" w:right="40" w:firstLine="720"/>
        <w:spacing w:after="0" w:line="262" w:lineRule="auto"/>
        <w:rPr>
          <w:sz w:val="20"/>
          <w:szCs w:val="20"/>
          <w:color w:val="auto"/>
        </w:rPr>
      </w:pPr>
      <w:r>
        <w:rPr>
          <w:rFonts w:ascii="Times New Roman" w:cs="Times New Roman" w:eastAsia="Times New Roman" w:hAnsi="Times New Roman"/>
          <w:sz w:val="20"/>
          <w:szCs w:val="20"/>
          <w:color w:val="auto"/>
        </w:rPr>
        <w:t>Non -controlling interests in the accompanying consolidated financial statements represent minority interest ownership in Viper and Rattler through the Effective Date of the Rattler Merger and are presented as a component of equity. When the Company’s relative ownership interests in Viper and Rattler, through the Effective Date of the Rattler Merger, change, adjustments to non-controlling interest and additional paid-in-capital, tax effected, will occur.</w:t>
      </w:r>
    </w:p>
    <w:p>
      <w:pPr>
        <w:spacing w:after="0" w:line="196" w:lineRule="exact"/>
        <w:rPr>
          <w:sz w:val="20"/>
          <w:szCs w:val="20"/>
          <w:color w:val="auto"/>
        </w:rPr>
      </w:pPr>
    </w:p>
    <w:p>
      <w:pPr>
        <w:ind w:left="100" w:right="200"/>
        <w:spacing w:after="0" w:line="286" w:lineRule="auto"/>
        <w:rPr>
          <w:sz w:val="20"/>
          <w:szCs w:val="20"/>
          <w:color w:val="auto"/>
        </w:rPr>
      </w:pPr>
      <w:r>
        <w:rPr>
          <w:rFonts w:ascii="Times New Roman" w:cs="Times New Roman" w:eastAsia="Times New Roman" w:hAnsi="Times New Roman"/>
          <w:sz w:val="20"/>
          <w:szCs w:val="20"/>
          <w:color w:val="auto"/>
        </w:rPr>
        <w:t>The following table summarizes changes in the ownership interest in consolidated subsidiaries during the respective periods presented: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8"/>
          </w:tcPr>
          <w:p>
            <w:pPr>
              <w:jc w:val="center"/>
              <w:ind w:left="544"/>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income (loss) attributable to the Company </w:t>
            </w:r>
            <w:r>
              <w:rPr>
                <w:rFonts w:ascii="Times New Roman" w:cs="Times New Roman" w:eastAsia="Times New Roman" w:hAnsi="Times New Roman"/>
                <w:sz w:val="20"/>
                <w:szCs w:val="20"/>
                <w:color w:val="B3B3B3"/>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3,143</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Change in ownership of consolidated subsidiaries </w:t>
            </w:r>
            <w:r>
              <w:rPr>
                <w:rFonts w:ascii="Times New Roman" w:cs="Times New Roman" w:eastAsia="Times New Roman" w:hAnsi="Times New Roman"/>
                <w:sz w:val="20"/>
                <w:szCs w:val="20"/>
                <w:color w:val="B3B3B3"/>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194"/>
        </w:trPr>
        <w:tc>
          <w:tcPr>
            <w:tcW w:w="588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Change from net income (loss) attributable to the Company's</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3,276</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3,220</w:t>
            </w:r>
          </w:p>
        </w:tc>
        <w:tc>
          <w:tcPr>
            <w:tcW w:w="4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stockholders and transfers with non-controlling interest</w:t>
            </w:r>
            <w:r>
              <w:rPr>
                <w:rFonts w:ascii="Times New Roman" w:cs="Times New Roman" w:eastAsia="Times New Roman" w:hAnsi="Times New Roman"/>
                <w:sz w:val="20"/>
                <w:szCs w:val="20"/>
                <w:color w:val="B3B3B3"/>
              </w:rPr>
              <w:t>............................</w:t>
            </w:r>
          </w:p>
        </w:tc>
        <w:tc>
          <w:tcPr>
            <w:tcW w:w="3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460" w:type="dxa"/>
            <w:vAlign w:val="bottom"/>
            <w:gridSpan w:val="4"/>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20"/>
          </w:cols>
          <w:pgMar w:left="980" w:top="214" w:right="1040" w:bottom="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3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6" w:lineRule="exact"/>
        <w:rPr>
          <w:sz w:val="20"/>
          <w:szCs w:val="20"/>
          <w:color w:val="auto"/>
        </w:rPr>
      </w:pPr>
    </w:p>
    <w:p>
      <w:pPr>
        <w:jc w:val="both"/>
        <w:ind w:left="100" w:right="6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dividends and distribution equivalent rights paid on the Company’s common stock during the respective periods:</w:t>
      </w:r>
    </w:p>
    <w:p>
      <w:pPr>
        <w:spacing w:after="0" w:line="267" w:lineRule="exact"/>
        <w:rPr>
          <w:sz w:val="20"/>
          <w:szCs w:val="20"/>
          <w:color w:val="auto"/>
        </w:rPr>
      </w:pPr>
    </w:p>
    <w:tbl>
      <w:tblPr>
        <w:tblLayout w:type="fixed"/>
        <w:tblInd w:w="170" w:type="dxa"/>
        <w:tblCellMar>
          <w:top w:w="0" w:type="dxa"/>
          <w:left w:w="0" w:type="dxa"/>
          <w:bottom w:w="0" w:type="dxa"/>
          <w:right w:w="0" w:type="dxa"/>
        </w:tblCellMar>
      </w:tblPr>
      <w:tr>
        <w:trPr>
          <w:trHeight w:val="227"/>
        </w:trPr>
        <w:tc>
          <w:tcPr>
            <w:tcW w:w="3780" w:type="dxa"/>
            <w:vAlign w:val="bottom"/>
            <w:tcBorders>
              <w:top w:val="single" w:sz="8" w:color="auto"/>
              <w:lef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Base</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Variable</w:t>
            </w:r>
          </w:p>
        </w:tc>
        <w:tc>
          <w:tcPr>
            <w:tcW w:w="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 Per Share</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w w:val="98"/>
              </w:rPr>
              <w:t>(In per share)</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378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2 024</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8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rPr>
              <w:t xml:space="preserve">First quarter </w:t>
            </w:r>
            <w:r>
              <w:rPr>
                <w:rFonts w:ascii="Times New Roman" w:cs="Times New Roman" w:eastAsia="Times New Roman" w:hAnsi="Times New Roman"/>
                <w:sz w:val="20"/>
                <w:szCs w:val="20"/>
                <w:color w:val="B3B3B3"/>
              </w:rPr>
              <w:t>....................................................</w:t>
            </w:r>
          </w:p>
        </w:tc>
        <w:tc>
          <w:tcPr>
            <w:tcW w:w="1000" w:type="dxa"/>
            <w:vAlign w:val="bottom"/>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Second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0.90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w w:val="99"/>
              </w:rPr>
              <w:t>Third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0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color w:val="auto"/>
                <w:w w:val="98"/>
              </w:rPr>
              <w:t xml:space="preserve">Fourth quarter </w:t>
            </w:r>
            <w:r>
              <w:rPr>
                <w:rFonts w:ascii="Times New Roman" w:cs="Times New Roman" w:eastAsia="Times New Roman" w:hAnsi="Times New Roman"/>
                <w:sz w:val="20"/>
                <w:szCs w:val="20"/>
                <w:color w:val="B3B3B3"/>
                <w:w w:val="98"/>
              </w:rPr>
              <w:t>.................................................</w:t>
            </w: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0.90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xml:space="preserve">Total year-to-date </w:t>
            </w:r>
            <w:r>
              <w:rPr>
                <w:rFonts w:ascii="Times New Roman" w:cs="Times New Roman" w:eastAsia="Times New Roman" w:hAnsi="Times New Roman"/>
                <w:sz w:val="20"/>
                <w:szCs w:val="20"/>
                <w:color w:val="B3B3B3"/>
              </w:rPr>
              <w:t>.........................................</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4.69</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52"/>
        </w:trPr>
        <w:tc>
          <w:tcPr>
            <w:tcW w:w="3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 xml:space="preserve">First quarter </w:t>
            </w:r>
            <w:r>
              <w:rPr>
                <w:rFonts w:ascii="Times New Roman" w:cs="Times New Roman" w:eastAsia="Times New Roman" w:hAnsi="Times New Roman"/>
                <w:sz w:val="20"/>
                <w:szCs w:val="20"/>
                <w:color w:val="B3B3B3"/>
                <w:w w:val="99"/>
              </w:rPr>
              <w:t>....................................................</w:t>
            </w:r>
          </w:p>
        </w:tc>
        <w:tc>
          <w:tcPr>
            <w:tcW w:w="1000" w:type="dxa"/>
            <w:vAlign w:val="bottom"/>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0.80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700" w:type="dxa"/>
            <w:vAlign w:val="bottom"/>
            <w:gridSpan w:val="2"/>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Second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Third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0.84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7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 xml:space="preserve">Fourth quarter </w:t>
            </w:r>
            <w:r>
              <w:rPr>
                <w:rFonts w:ascii="Times New Roman" w:cs="Times New Roman" w:eastAsia="Times New Roman" w:hAnsi="Times New Roman"/>
                <w:sz w:val="20"/>
                <w:szCs w:val="20"/>
                <w:color w:val="B3B3B3"/>
                <w:w w:val="98"/>
              </w:rPr>
              <w:t>.................................................</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0.84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xml:space="preserve">Total year-to-date </w:t>
            </w:r>
            <w:r>
              <w:rPr>
                <w:rFonts w:ascii="Times New Roman" w:cs="Times New Roman" w:eastAsia="Times New Roman" w:hAnsi="Times New Roman"/>
                <w:sz w:val="20"/>
                <w:szCs w:val="20"/>
                <w:color w:val="B3B3B3"/>
              </w:rPr>
              <w:t>.........................................</w:t>
            </w:r>
          </w:p>
        </w:tc>
        <w:tc>
          <w:tcPr>
            <w:tcW w:w="1000" w:type="dxa"/>
            <w:vAlign w:val="bottom"/>
          </w:tcPr>
          <w:p>
            <w:pPr>
              <w:jc w:val="right"/>
              <w:ind w:right="76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4.71</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52"/>
        </w:trPr>
        <w:tc>
          <w:tcPr>
            <w:tcW w:w="3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 xml:space="preserve">First quarter </w:t>
            </w:r>
            <w:r>
              <w:rPr>
                <w:rFonts w:ascii="Times New Roman" w:cs="Times New Roman" w:eastAsia="Times New Roman" w:hAnsi="Times New Roman"/>
                <w:sz w:val="20"/>
                <w:szCs w:val="20"/>
                <w:color w:val="B3B3B3"/>
                <w:w w:val="99"/>
              </w:rPr>
              <w:t>....................................................</w:t>
            </w:r>
          </w:p>
        </w:tc>
        <w:tc>
          <w:tcPr>
            <w:tcW w:w="1000" w:type="dxa"/>
            <w:vAlign w:val="bottom"/>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0.60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Second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Third quarter</w:t>
            </w:r>
            <w:r>
              <w:rPr>
                <w:rFonts w:ascii="Times New Roman" w:cs="Times New Roman" w:eastAsia="Times New Roman" w:hAnsi="Times New Roman"/>
                <w:sz w:val="20"/>
                <w:szCs w:val="20"/>
                <w:color w:val="B3B3B3"/>
                <w:w w:val="99"/>
              </w:rPr>
              <w:t>...................................................</w:t>
            </w:r>
          </w:p>
        </w:tc>
        <w:tc>
          <w:tcPr>
            <w:tcW w:w="10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0.75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 xml:space="preserve">Fourth quarter </w:t>
            </w:r>
            <w:r>
              <w:rPr>
                <w:rFonts w:ascii="Times New Roman" w:cs="Times New Roman" w:eastAsia="Times New Roman" w:hAnsi="Times New Roman"/>
                <w:sz w:val="20"/>
                <w:szCs w:val="20"/>
                <w:color w:val="B3B3B3"/>
                <w:w w:val="98"/>
              </w:rPr>
              <w:t>.................................................</w:t>
            </w: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0.75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w w:val="99"/>
              </w:rPr>
              <w:t xml:space="preserve">Total year-to-date </w:t>
            </w:r>
            <w:r>
              <w:rPr>
                <w:rFonts w:ascii="Times New Roman" w:cs="Times New Roman" w:eastAsia="Times New Roman" w:hAnsi="Times New Roman"/>
                <w:sz w:val="20"/>
                <w:szCs w:val="20"/>
                <w:color w:val="B3B3B3"/>
                <w:w w:val="99"/>
              </w:rPr>
              <w:t>.........................................</w:t>
            </w:r>
          </w:p>
        </w:tc>
        <w:tc>
          <w:tcPr>
            <w:tcW w:w="10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2.80</w:t>
            </w: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7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Viper’s Common Stock Repurchase Program</w:t>
      </w:r>
    </w:p>
    <w:p>
      <w:pPr>
        <w:spacing w:after="0" w:line="275" w:lineRule="exact"/>
        <w:rPr>
          <w:sz w:val="20"/>
          <w:szCs w:val="20"/>
          <w:color w:val="auto"/>
        </w:rPr>
      </w:pPr>
    </w:p>
    <w:p>
      <w:pPr>
        <w:jc w:val="both"/>
        <w:ind w:left="100" w:right="60" w:firstLine="720"/>
        <w:spacing w:after="0" w:line="258" w:lineRule="auto"/>
        <w:rPr>
          <w:sz w:val="20"/>
          <w:szCs w:val="20"/>
          <w:color w:val="auto"/>
        </w:rPr>
      </w:pPr>
      <w:r>
        <w:rPr>
          <w:rFonts w:ascii="Times New Roman" w:cs="Times New Roman" w:eastAsia="Times New Roman" w:hAnsi="Times New Roman"/>
          <w:sz w:val="20"/>
          <w:szCs w:val="20"/>
          <w:color w:val="auto"/>
        </w:rPr>
        <w:t>Viper’s board of directors has currently approved a common stock repurchase program to acquire up to $ 750 million of Viper’s outstanding Class A common stock, excluding excise tax, over an indefinite period of time. During the year ended December 31, 2024 Viper had no repurchases under its repurchase program. During the years ended December 31, 2023 and 2022, Viper repurchased approximately $95 million, and $151 million under its repurchase program. As of December 31, 2024, $434 million remains available Viper’s common stock repurchase program, excluding excise tax.</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Dividends to Non-Controlling Interest</w:t>
      </w:r>
    </w:p>
    <w:p>
      <w:pPr>
        <w:spacing w:after="0" w:line="256" w:lineRule="exact"/>
        <w:rPr>
          <w:sz w:val="20"/>
          <w:szCs w:val="20"/>
          <w:color w:val="auto"/>
        </w:rPr>
      </w:pPr>
    </w:p>
    <w:p>
      <w:pPr>
        <w:jc w:val="both"/>
        <w:ind w:left="100" w:right="60" w:firstLine="721"/>
        <w:spacing w:after="0" w:line="257" w:lineRule="auto"/>
        <w:rPr>
          <w:sz w:val="20"/>
          <w:szCs w:val="20"/>
          <w:color w:val="auto"/>
        </w:rPr>
      </w:pPr>
      <w:r>
        <w:rPr>
          <w:rFonts w:ascii="Times New Roman" w:cs="Times New Roman" w:eastAsia="Times New Roman" w:hAnsi="Times New Roman"/>
          <w:sz w:val="20"/>
          <w:szCs w:val="20"/>
          <w:color w:val="auto"/>
        </w:rPr>
        <w:t>During the years ended December 31, 2024, 2023 and 2022, Viper paid $227 million, $129 million, and $182 million of distributions and dividends to its public shareholders, excluding Diamondback, in accordance with the dividend policy approved by its board of directors. Prior to the Rattler Merger, Rattler made $35 million of distributions to its common unitholders during the year ended December 31, 2022 in accordance with the distribution policy approved by its board of directors. These dividends are reflected under the caption “Dividends/distributions to non-controlling interest” on the Company’s consolidated statement of stockholders’ equity and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40"/>
          </w:cols>
          <w:pgMar w:left="980" w:top="214" w:right="1020" w:bottom="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256" w:lineRule="exact"/>
        <w:rPr>
          <w:sz w:val="20"/>
          <w:szCs w:val="20"/>
          <w:color w:val="auto"/>
        </w:rPr>
      </w:pPr>
    </w:p>
    <w:p>
      <w:pPr>
        <w:jc w:val="both"/>
        <w:ind w:left="100"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Company’s basic earnings (loss) per share amounts have been computed using the two -class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prior to the Effective Date of the Rattler Merger are included in the consolidated earnings per share computation based on the consolidated group’s holdings of the subsidiaries.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 reconciliation of the components of basic and diluted earnings (loss) per common share is presented below:</w:t>
      </w:r>
    </w:p>
    <w:p>
      <w:pPr>
        <w:spacing w:after="0" w:line="343"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64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4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62"/>
        </w:trPr>
        <w:tc>
          <w:tcPr>
            <w:tcW w:w="6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00" w:type="dxa"/>
            <w:vAlign w:val="bottom"/>
            <w:gridSpan w:val="7"/>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amounts)</w:t>
            </w:r>
          </w:p>
        </w:tc>
        <w:tc>
          <w:tcPr>
            <w:tcW w:w="0" w:type="dxa"/>
            <w:vAlign w:val="bottom"/>
          </w:tcPr>
          <w:p>
            <w:pPr>
              <w:spacing w:after="0"/>
              <w:rPr>
                <w:sz w:val="1"/>
                <w:szCs w:val="1"/>
                <w:color w:val="auto"/>
              </w:rPr>
            </w:pPr>
          </w:p>
        </w:tc>
      </w:tr>
      <w:tr>
        <w:trPr>
          <w:trHeight w:val="300"/>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 attributable to common shares</w:t>
            </w: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4,386</w:t>
            </w:r>
          </w:p>
        </w:tc>
        <w:tc>
          <w:tcPr>
            <w:tcW w:w="0" w:type="dxa"/>
            <w:vAlign w:val="bottom"/>
          </w:tcPr>
          <w:p>
            <w:pPr>
              <w:spacing w:after="0"/>
              <w:rPr>
                <w:sz w:val="1"/>
                <w:szCs w:val="1"/>
                <w:color w:val="auto"/>
              </w:rPr>
            </w:pPr>
          </w:p>
        </w:tc>
      </w:tr>
      <w:tr>
        <w:trPr>
          <w:trHeight w:val="233"/>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distributed and undistributed earnings allocated to participating</w:t>
            </w:r>
          </w:p>
        </w:tc>
        <w:tc>
          <w:tcPr>
            <w:tcW w:w="2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64"/>
        </w:trPr>
        <w:tc>
          <w:tcPr>
            <w:tcW w:w="6500" w:type="dxa"/>
            <w:vAlign w:val="bottom"/>
            <w:gridSpan w:val="2"/>
          </w:tcPr>
          <w:p>
            <w:pPr>
              <w:spacing w:after="0" w:line="264" w:lineRule="exact"/>
              <w:rPr>
                <w:sz w:val="20"/>
                <w:szCs w:val="20"/>
                <w:color w:val="auto"/>
              </w:rPr>
            </w:pPr>
            <w:r>
              <w:rPr>
                <w:rFonts w:ascii="Times New Roman" w:cs="Times New Roman" w:eastAsia="Times New Roman" w:hAnsi="Times New Roman"/>
                <w:sz w:val="20"/>
                <w:szCs w:val="20"/>
                <w:color w:val="auto"/>
                <w:w w:val="99"/>
              </w:rPr>
              <w:t>securities</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3B3B3"/>
                <w:w w:val="99"/>
              </w:rPr>
              <w: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Netincome(loss)attributabletocommonstockholders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3,317</w:t>
            </w:r>
          </w:p>
        </w:tc>
        <w:tc>
          <w:tcPr>
            <w:tcW w:w="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3,121</w:t>
            </w:r>
          </w:p>
        </w:tc>
        <w:tc>
          <w:tcPr>
            <w:tcW w:w="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Basic weighted average common shares outstanding </w:t>
            </w:r>
            <w:r>
              <w:rPr>
                <w:rFonts w:ascii="Times New Roman" w:cs="Times New Roman" w:eastAsia="Times New Roman" w:hAnsi="Times New Roman"/>
                <w:sz w:val="20"/>
                <w:szCs w:val="20"/>
                <w:color w:val="B3B3B3"/>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213,545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179,999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176,539</w:t>
            </w:r>
          </w:p>
        </w:tc>
        <w:tc>
          <w:tcPr>
            <w:tcW w:w="0" w:type="dxa"/>
            <w:vAlign w:val="bottom"/>
          </w:tcPr>
          <w:p>
            <w:pPr>
              <w:spacing w:after="0"/>
              <w:rPr>
                <w:sz w:val="1"/>
                <w:szCs w:val="1"/>
                <w:color w:val="auto"/>
              </w:rPr>
            </w:pPr>
          </w:p>
        </w:tc>
      </w:tr>
      <w:tr>
        <w:trPr>
          <w:trHeight w:val="298"/>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Weighted-average potential common shares issuable</w:t>
            </w:r>
            <w:r>
              <w:rPr>
                <w:rFonts w:ascii="Times New Roman" w:cs="Times New Roman" w:eastAsia="Times New Roman" w:hAnsi="Times New Roman"/>
                <w:sz w:val="20"/>
                <w:szCs w:val="20"/>
                <w:color w:val="B3B3B3"/>
              </w:rPr>
              <w:t>..............................</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6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Dilutedweightedaveragecommonsharesoutstanding</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213,545</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179,999</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176,539</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Basic net income (loss) attributable to common shares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00" w:type="dxa"/>
            <w:vAlign w:val="bottom"/>
            <w:gridSpan w:val="2"/>
            <w:vMerge w:val="continue"/>
          </w:tcPr>
          <w:p>
            <w:pPr>
              <w:ind w:left="4300"/>
              <w:spacing w:after="0" w:line="197" w:lineRule="exact"/>
              <w:rPr>
                <w:sz w:val="20"/>
                <w:szCs w:val="20"/>
                <w:color w:val="auto"/>
              </w:rPr>
            </w:pP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w:t>
            </w:r>
          </w:p>
        </w:tc>
        <w:tc>
          <w:tcPr>
            <w:tcW w:w="0" w:type="dxa"/>
            <w:vAlign w:val="bottom"/>
          </w:tcPr>
          <w:p>
            <w:pPr>
              <w:spacing w:after="0"/>
              <w:rPr>
                <w:sz w:val="1"/>
                <w:szCs w:val="1"/>
                <w:color w:val="auto"/>
              </w:rPr>
            </w:pPr>
          </w:p>
        </w:tc>
      </w:tr>
      <w:tr>
        <w:trPr>
          <w:trHeight w:val="273"/>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Diluted net income (loss) attributable to common shares </w:t>
            </w: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460" w:right="20" w:hanging="360"/>
        <w:spacing w:after="0" w:line="267" w:lineRule="auto"/>
        <w:tabs>
          <w:tab w:leader="none" w:pos="42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restricted stock awards and performance stock awards that contain nonforfeitable distribution equivalent rights are considered participating securities and therefore are included in the earnings per share calculation pursuant to the two-class method.</w:t>
      </w:r>
    </w:p>
    <w:p>
      <w:pPr>
        <w:spacing w:after="0" w:line="182" w:lineRule="exact"/>
        <w:rPr>
          <w:sz w:val="20"/>
          <w:szCs w:val="20"/>
          <w:color w:val="auto"/>
        </w:rPr>
      </w:pPr>
    </w:p>
    <w:p>
      <w:pPr>
        <w:ind w:left="820" w:hanging="720"/>
        <w:spacing w:after="0"/>
        <w:tabs>
          <w:tab w:leader="none" w:pos="8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EQUITY-BASED COMPENSATION</w:t>
      </w:r>
    </w:p>
    <w:p>
      <w:pPr>
        <w:spacing w:after="0" w:line="258"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Under the equity incentive plan (the “Equity Plan”), approved by the board of directors, the Company is authorized to issue up to 11.80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December 31, 2024, approximately 4.65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spacing w:after="0" w:line="208" w:lineRule="exact"/>
        <w:rPr>
          <w:sz w:val="20"/>
          <w:szCs w:val="20"/>
          <w:color w:val="auto"/>
        </w:rPr>
      </w:pPr>
    </w:p>
    <w:p>
      <w:pPr>
        <w:jc w:val="both"/>
        <w:ind w:left="100" w:right="20" w:firstLine="720"/>
        <w:spacing w:after="0" w:line="286" w:lineRule="auto"/>
        <w:rPr>
          <w:sz w:val="20"/>
          <w:szCs w:val="20"/>
          <w:color w:val="auto"/>
        </w:rPr>
      </w:pPr>
      <w:r>
        <w:rPr>
          <w:rFonts w:ascii="Times New Roman" w:cs="Times New Roman" w:eastAsia="Times New Roman" w:hAnsi="Times New Roman"/>
          <w:sz w:val="20"/>
          <w:szCs w:val="20"/>
          <w:color w:val="auto"/>
        </w:rPr>
        <w:t>In addition to the Equity Plan, Viper maintains its own long-term incentive plan, which is not significant to the Company.</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presents the financial statement impacts of equity compensation plans and related costs on the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Company’s financial statements:</w:t>
      </w:r>
    </w:p>
    <w:p>
      <w:pPr>
        <w:spacing w:after="0" w:line="398"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58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58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238"/>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6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General and administrative expenses </w:t>
            </w:r>
            <w:r>
              <w:rPr>
                <w:rFonts w:ascii="Times New Roman" w:cs="Times New Roman" w:eastAsia="Times New Roman" w:hAnsi="Times New Roman"/>
                <w:sz w:val="20"/>
                <w:szCs w:val="20"/>
                <w:color w:val="B3B3B3"/>
              </w:rPr>
              <w:t>.........................................................</w:t>
            </w:r>
          </w:p>
        </w:tc>
        <w:tc>
          <w:tcPr>
            <w:tcW w:w="96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54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23"/>
                <w:szCs w:val="23"/>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Equity-based compensation capitalized pursuant to full cost method of</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accounting for oil and natural gas properties </w:t>
            </w:r>
            <w:r>
              <w:rPr>
                <w:rFonts w:ascii="Times New Roman" w:cs="Times New Roman" w:eastAsia="Times New Roman" w:hAnsi="Times New Roman"/>
                <w:sz w:val="20"/>
                <w:szCs w:val="20"/>
                <w:color w:val="B3B3B3"/>
              </w:rPr>
              <w:t>.............................................</w:t>
            </w:r>
          </w:p>
        </w:tc>
        <w:tc>
          <w:tcPr>
            <w:tcW w:w="96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26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3"/>
                <w:szCs w:val="23"/>
                <w:color w:val="auto"/>
              </w:rPr>
            </w:pPr>
          </w:p>
        </w:tc>
      </w:tr>
      <w:tr>
        <w:trPr>
          <w:trHeight w:val="602"/>
        </w:trPr>
        <w:tc>
          <w:tcPr>
            <w:tcW w:w="586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103</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2240" w:h="15840" w:orient="portrait"/>
          <w:cols w:equalWidth="0" w:num="1">
            <w:col w:w="10200"/>
          </w:cols>
          <w:pgMar w:left="980" w:top="214" w:right="1060" w:bottom="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56"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the Company’s restricted stock unit activity during the year ended December 31, 2024 under the Equity Plan:</w:t>
      </w:r>
    </w:p>
    <w:p>
      <w:pPr>
        <w:spacing w:after="0" w:line="28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60" w:type="dxa"/>
            <w:vAlign w:val="bottom"/>
          </w:tcPr>
          <w:p>
            <w:pPr>
              <w:spacing w:after="0"/>
              <w:rPr>
                <w:sz w:val="17"/>
                <w:szCs w:val="17"/>
                <w:color w:val="auto"/>
              </w:rPr>
            </w:pPr>
          </w:p>
        </w:tc>
        <w:tc>
          <w:tcPr>
            <w:tcW w:w="1700" w:type="dxa"/>
            <w:vAlign w:val="bottom"/>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80"/>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ind w:left="320"/>
              <w:spacing w:after="0" w:line="180" w:lineRule="exact"/>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65"/>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UnvestedatDecember31,2023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751,196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132.29</w:t>
            </w:r>
          </w:p>
        </w:tc>
        <w:tc>
          <w:tcPr>
            <w:tcW w:w="0" w:type="dxa"/>
            <w:vAlign w:val="bottom"/>
          </w:tcPr>
          <w:p>
            <w:pPr>
              <w:spacing w:after="0"/>
              <w:rPr>
                <w:sz w:val="1"/>
                <w:szCs w:val="1"/>
                <w:color w:val="auto"/>
              </w:rPr>
            </w:pPr>
          </w:p>
        </w:tc>
      </w:tr>
      <w:tr>
        <w:trPr>
          <w:trHeight w:val="282"/>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Granted </w:t>
            </w:r>
            <w:r>
              <w:rPr>
                <w:rFonts w:ascii="Times New Roman" w:cs="Times New Roman" w:eastAsia="Times New Roman" w:hAnsi="Times New Roman"/>
                <w:sz w:val="20"/>
                <w:szCs w:val="20"/>
                <w:color w:val="B3B3B3"/>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368,390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179.64</w:t>
            </w:r>
          </w:p>
        </w:tc>
        <w:tc>
          <w:tcPr>
            <w:tcW w:w="0" w:type="dxa"/>
            <w:vAlign w:val="bottom"/>
          </w:tcPr>
          <w:p>
            <w:pPr>
              <w:spacing w:after="0"/>
              <w:rPr>
                <w:sz w:val="1"/>
                <w:szCs w:val="1"/>
                <w:color w:val="auto"/>
              </w:rPr>
            </w:pPr>
          </w:p>
        </w:tc>
      </w:tr>
      <w:tr>
        <w:trPr>
          <w:trHeight w:val="283"/>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3B3B3"/>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(436,343)</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129.85</w:t>
            </w:r>
          </w:p>
        </w:tc>
        <w:tc>
          <w:tcPr>
            <w:tcW w:w="0" w:type="dxa"/>
            <w:vAlign w:val="bottom"/>
          </w:tcPr>
          <w:p>
            <w:pPr>
              <w:spacing w:after="0"/>
              <w:rPr>
                <w:sz w:val="1"/>
                <w:szCs w:val="1"/>
                <w:color w:val="auto"/>
              </w:rPr>
            </w:pPr>
          </w:p>
        </w:tc>
      </w:tr>
      <w:tr>
        <w:trPr>
          <w:trHeight w:val="290"/>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Forfeited</w:t>
            </w:r>
            <w:r>
              <w:rPr>
                <w:rFonts w:ascii="Times New Roman" w:cs="Times New Roman" w:eastAsia="Times New Roman" w:hAnsi="Times New Roman"/>
                <w:sz w:val="20"/>
                <w:szCs w:val="20"/>
                <w:color w:val="B3B3B3"/>
              </w:rPr>
              <w:t>.....................................................................................................</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(37,835)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151.39</w:t>
            </w:r>
          </w:p>
        </w:tc>
        <w:tc>
          <w:tcPr>
            <w:tcW w:w="0" w:type="dxa"/>
            <w:vAlign w:val="bottom"/>
          </w:tcPr>
          <w:p>
            <w:pPr>
              <w:spacing w:after="0"/>
              <w:rPr>
                <w:sz w:val="1"/>
                <w:szCs w:val="1"/>
                <w:color w:val="auto"/>
              </w:rPr>
            </w:pPr>
          </w:p>
        </w:tc>
      </w:tr>
      <w:tr>
        <w:trPr>
          <w:trHeight w:val="197"/>
        </w:trPr>
        <w:tc>
          <w:tcPr>
            <w:tcW w:w="604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UnvestedatDecember31,2024</w:t>
            </w:r>
          </w:p>
        </w:tc>
        <w:tc>
          <w:tcPr>
            <w:tcW w:w="18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20"/>
                <w:szCs w:val="20"/>
                <w:color w:val="auto"/>
              </w:rPr>
              <w:t>645,408</w:t>
            </w:r>
          </w:p>
        </w:tc>
        <w:tc>
          <w:tcPr>
            <w:tcW w:w="26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4"/>
              <w:spacing w:after="0" w:line="197" w:lineRule="exact"/>
              <w:rPr>
                <w:sz w:val="20"/>
                <w:szCs w:val="20"/>
                <w:color w:val="auto"/>
              </w:rPr>
            </w:pPr>
            <w:r>
              <w:rPr>
                <w:rFonts w:ascii="Times New Roman" w:cs="Times New Roman" w:eastAsia="Times New Roman" w:hAnsi="Times New Roman"/>
                <w:sz w:val="20"/>
                <w:szCs w:val="20"/>
                <w:color w:val="auto"/>
              </w:rPr>
              <w:t>159.84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The aggregate grant date fair value of restricted stock units that vested during the years ended December 31, 2024, 2023 and 2022 was $57 million, $48 million and $41 million, respectively. As of December 31, 2024, the Company’s unrecognized compensation cost related to unvested restricted stock units was $78 million, which is expected to be recognized over a weighted-average period of 2.0 years.</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Units</w:t>
      </w:r>
    </w:p>
    <w:p>
      <w:pPr>
        <w:spacing w:after="0" w:line="256"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94"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In March 2024, eligible employees received performance restricted stock unit awards totaling 110,989 units from which a minimum of 0% and a maximum of 200% of the units could be awarded based upon the measurement of total stockholder return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 Additionally, in September 2024 the Company granted 6,750 units under substantially the same terms as the March 2024 performance restricted stock unit awards.</w:t>
      </w:r>
    </w:p>
    <w:p>
      <w:pPr>
        <w:spacing w:after="0" w:line="20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three-year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 Additionally, in July 2023 the Company granted 1,858 units under substantially the same terms as the March 2023 performance restricted stock unit awards.</w:t>
      </w:r>
    </w:p>
    <w:p>
      <w:pPr>
        <w:spacing w:after="0" w:line="205"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In March 2022, eligible employees received performance restricted stock unit awards totaling 126,905 units from which a minimum of 0% and a maximum of 200% units could be awarded based upon the TSR during the three-year performance period of January 1, 2022 to December 31, 2024. These awards cliff vested at 250% on December 31, 2024 based upon the results of the TSR during the performance period, which was further adjusted by a TSR modifier.</w:t>
      </w:r>
    </w:p>
    <w:p>
      <w:pPr>
        <w:spacing w:after="0" w:line="197"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180"/>
          </w:cols>
          <w:pgMar w:left="980" w:top="214" w:right="1080" w:bottom="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260" w:firstLine="720"/>
        <w:spacing w:after="0" w:line="286" w:lineRule="auto"/>
        <w:rPr>
          <w:sz w:val="20"/>
          <w:szCs w:val="20"/>
          <w:color w:val="auto"/>
        </w:rPr>
      </w:pPr>
      <w:r>
        <w:rPr>
          <w:rFonts w:ascii="Times New Roman" w:cs="Times New Roman" w:eastAsia="Times New Roman" w:hAnsi="Times New Roman"/>
          <w:sz w:val="20"/>
          <w:szCs w:val="20"/>
          <w:color w:val="auto"/>
        </w:rPr>
        <w:t>The following table presents a summary of the grant-date fair values of performance restricted stock units granted and the related assumptions for the awards granted during the periods presented:</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3340" w:type="dxa"/>
            <w:vAlign w:val="bottom"/>
          </w:tcPr>
          <w:p>
            <w:pPr>
              <w:spacing w:after="0"/>
              <w:rPr>
                <w:sz w:val="21"/>
                <w:szCs w:val="21"/>
                <w:color w:val="auto"/>
              </w:rPr>
            </w:pPr>
          </w:p>
        </w:tc>
        <w:tc>
          <w:tcPr>
            <w:tcW w:w="1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March 2024</w:t>
            </w: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2024</w:t>
            </w:r>
          </w:p>
        </w:tc>
        <w:tc>
          <w:tcPr>
            <w:tcW w:w="1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March 2023</w:t>
            </w:r>
          </w:p>
        </w:tc>
        <w:tc>
          <w:tcPr>
            <w:tcW w:w="13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July 2023</w:t>
            </w:r>
          </w:p>
        </w:tc>
        <w:tc>
          <w:tcPr>
            <w:tcW w:w="12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6"/>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Grant-date fair value</w:t>
            </w:r>
            <w:r>
              <w:rPr>
                <w:rFonts w:ascii="Times New Roman" w:cs="Times New Roman" w:eastAsia="Times New Roman" w:hAnsi="Times New Roman"/>
                <w:sz w:val="20"/>
                <w:szCs w:val="20"/>
                <w:color w:val="B3B3B3"/>
              </w:rPr>
              <w:t>.................................</w:t>
            </w:r>
          </w:p>
        </w:tc>
        <w:tc>
          <w:tcPr>
            <w:tcW w:w="1320" w:type="dxa"/>
            <w:vAlign w:val="bottom"/>
          </w:tcPr>
          <w:p>
            <w:pPr>
              <w:jc w:val="right"/>
              <w:ind w:right="243"/>
              <w:spacing w:after="0"/>
              <w:rPr>
                <w:sz w:val="20"/>
                <w:szCs w:val="20"/>
                <w:color w:val="auto"/>
              </w:rPr>
            </w:pPr>
            <w:r>
              <w:rPr>
                <w:rFonts w:ascii="Times New Roman" w:cs="Times New Roman" w:eastAsia="Times New Roman" w:hAnsi="Times New Roman"/>
                <w:sz w:val="20"/>
                <w:szCs w:val="20"/>
                <w:color w:val="auto"/>
              </w:rPr>
              <w:t>$   341.38</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337.23</w:t>
            </w:r>
          </w:p>
        </w:tc>
        <w:tc>
          <w:tcPr>
            <w:tcW w:w="1320" w:type="dxa"/>
            <w:vAlign w:val="bottom"/>
          </w:tcPr>
          <w:p>
            <w:pPr>
              <w:jc w:val="right"/>
              <w:ind w:right="243"/>
              <w:spacing w:after="0"/>
              <w:rPr>
                <w:sz w:val="20"/>
                <w:szCs w:val="20"/>
                <w:color w:val="auto"/>
              </w:rPr>
            </w:pPr>
            <w:r>
              <w:rPr>
                <w:rFonts w:ascii="Times New Roman" w:cs="Times New Roman" w:eastAsia="Times New Roman" w:hAnsi="Times New Roman"/>
                <w:sz w:val="20"/>
                <w:szCs w:val="20"/>
                <w:color w:val="auto"/>
              </w:rPr>
              <w:t>$   259.52</w:t>
            </w:r>
          </w:p>
        </w:tc>
        <w:tc>
          <w:tcPr>
            <w:tcW w:w="1320" w:type="dxa"/>
            <w:vAlign w:val="bottom"/>
          </w:tcPr>
          <w:p>
            <w:pPr>
              <w:jc w:val="right"/>
              <w:ind w:right="243"/>
              <w:spacing w:after="0"/>
              <w:rPr>
                <w:sz w:val="20"/>
                <w:szCs w:val="20"/>
                <w:color w:val="auto"/>
              </w:rPr>
            </w:pPr>
            <w:r>
              <w:rPr>
                <w:rFonts w:ascii="Times New Roman" w:cs="Times New Roman" w:eastAsia="Times New Roman" w:hAnsi="Times New Roman"/>
                <w:sz w:val="20"/>
                <w:szCs w:val="20"/>
                <w:color w:val="auto"/>
              </w:rPr>
              <w:t>$   222.09</w:t>
            </w:r>
          </w:p>
        </w:tc>
        <w:tc>
          <w:tcPr>
            <w:tcW w:w="124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237.13</w:t>
            </w:r>
          </w:p>
        </w:tc>
      </w:tr>
      <w:tr>
        <w:trPr>
          <w:trHeight w:val="30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Risk-free rate </w:t>
            </w:r>
            <w:r>
              <w:rPr>
                <w:rFonts w:ascii="Times New Roman" w:cs="Times New Roman" w:eastAsia="Times New Roman" w:hAnsi="Times New Roman"/>
                <w:sz w:val="20"/>
                <w:szCs w:val="20"/>
                <w:color w:val="B3B3B3"/>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4.38 %</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1.44 %</w:t>
            </w:r>
          </w:p>
        </w:tc>
      </w:tr>
      <w:tr>
        <w:trPr>
          <w:trHeight w:val="283"/>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Company volatility </w:t>
            </w:r>
            <w:r>
              <w:rPr>
                <w:rFonts w:ascii="Times New Roman" w:cs="Times New Roman" w:eastAsia="Times New Roman" w:hAnsi="Times New Roman"/>
                <w:sz w:val="20"/>
                <w:szCs w:val="20"/>
                <w:color w:val="B3B3B3"/>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41.40 %</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47.20 %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72.10 %</w:t>
            </w:r>
          </w:p>
        </w:tc>
      </w:tr>
    </w:tbl>
    <w:p>
      <w:pPr>
        <w:spacing w:after="0" w:line="200" w:lineRule="exact"/>
        <w:rPr>
          <w:sz w:val="20"/>
          <w:szCs w:val="20"/>
          <w:color w:val="auto"/>
        </w:rPr>
      </w:pPr>
    </w:p>
    <w:p>
      <w:pPr>
        <w:spacing w:after="0" w:line="203" w:lineRule="exact"/>
        <w:rPr>
          <w:sz w:val="20"/>
          <w:szCs w:val="20"/>
          <w:color w:val="auto"/>
        </w:rPr>
      </w:pPr>
    </w:p>
    <w:p>
      <w:pPr>
        <w:ind w:left="100" w:right="100" w:firstLine="720"/>
        <w:spacing w:after="0" w:line="289" w:lineRule="auto"/>
        <w:rPr>
          <w:sz w:val="20"/>
          <w:szCs w:val="20"/>
          <w:color w:val="auto"/>
        </w:rPr>
      </w:pPr>
      <w:r>
        <w:rPr>
          <w:rFonts w:ascii="Times New Roman" w:cs="Times New Roman" w:eastAsia="Times New Roman" w:hAnsi="Times New Roman"/>
          <w:sz w:val="20"/>
          <w:szCs w:val="20"/>
          <w:color w:val="auto"/>
        </w:rPr>
        <w:t>The following table presents the Company’s performance restricted stock unit activity under the Equity Plan for the year ended December 31, 2024:</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8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180"/>
        </w:trPr>
        <w:tc>
          <w:tcPr>
            <w:tcW w:w="6660" w:type="dxa"/>
            <w:vAlign w:val="bottom"/>
          </w:tcPr>
          <w:p>
            <w:pPr>
              <w:spacing w:after="0"/>
              <w:rPr>
                <w:sz w:val="15"/>
                <w:szCs w:val="15"/>
                <w:color w:val="auto"/>
              </w:rPr>
            </w:pP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84"/>
              <w:spacing w:after="0" w:line="180" w:lineRule="exact"/>
              <w:rPr>
                <w:sz w:val="20"/>
                <w:szCs w:val="20"/>
                <w:color w:val="auto"/>
              </w:rPr>
            </w:pPr>
            <w:r>
              <w:rPr>
                <w:rFonts w:ascii="Times New Roman" w:cs="Times New Roman" w:eastAsia="Times New Roman" w:hAnsi="Times New Roman"/>
                <w:sz w:val="18"/>
                <w:szCs w:val="18"/>
                <w:b w:val="1"/>
                <w:bCs w:val="1"/>
                <w:color w:val="auto"/>
              </w:rPr>
              <w:t>Grant-Date Fair</w:t>
            </w:r>
          </w:p>
        </w:tc>
      </w:tr>
      <w:tr>
        <w:trPr>
          <w:trHeight w:val="238"/>
        </w:trPr>
        <w:tc>
          <w:tcPr>
            <w:tcW w:w="66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5"/>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Unvested at December 31, 2023 </w:t>
            </w:r>
            <w:r>
              <w:rPr>
                <w:rFonts w:ascii="Times New Roman" w:cs="Times New Roman" w:eastAsia="Times New Roman" w:hAnsi="Times New Roman"/>
                <w:sz w:val="20"/>
                <w:szCs w:val="20"/>
                <w:color w:val="B3B3B3"/>
              </w:rPr>
              <w:t>................................................................................</w:t>
            </w:r>
          </w:p>
        </w:tc>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278,056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234.80</w:t>
            </w:r>
          </w:p>
        </w:tc>
      </w:tr>
      <w:tr>
        <w:trPr>
          <w:trHeight w:val="302"/>
        </w:trPr>
        <w:tc>
          <w:tcPr>
            <w:tcW w:w="6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Granted </w:t>
            </w:r>
            <w:r>
              <w:rPr>
                <w:rFonts w:ascii="Times New Roman" w:cs="Times New Roman" w:eastAsia="Times New Roman" w:hAnsi="Times New Roman"/>
                <w:sz w:val="20"/>
                <w:szCs w:val="20"/>
                <w:color w:val="B3B3B3"/>
                <w:w w:val="96"/>
              </w:rPr>
              <w:t>..................................................................................................................</w:t>
            </w:r>
          </w:p>
        </w:tc>
        <w:tc>
          <w:tcPr>
            <w:tcW w:w="15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293,081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341.14</w:t>
            </w:r>
          </w:p>
        </w:tc>
      </w:tr>
      <w:tr>
        <w:trPr>
          <w:trHeight w:val="301"/>
        </w:trPr>
        <w:tc>
          <w:tcPr>
            <w:tcW w:w="6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xml:space="preserve">Vested </w:t>
            </w:r>
            <w:r>
              <w:rPr>
                <w:rFonts w:ascii="Times New Roman" w:cs="Times New Roman" w:eastAsia="Times New Roman" w:hAnsi="Times New Roman"/>
                <w:sz w:val="20"/>
                <w:szCs w:val="20"/>
                <w:color w:val="B3B3B3"/>
                <w:w w:val="96"/>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(292,235)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114.12</w:t>
            </w:r>
          </w:p>
        </w:tc>
      </w:tr>
      <w:tr>
        <w:trPr>
          <w:trHeight w:val="231"/>
        </w:trPr>
        <w:tc>
          <w:tcPr>
            <w:tcW w:w="6660" w:type="dxa"/>
            <w:vAlign w:val="bottom"/>
          </w:tcPr>
          <w:p>
            <w:pPr>
              <w:jc w:val="center"/>
              <w:spacing w:after="0" w:line="230" w:lineRule="exact"/>
              <w:rPr>
                <w:sz w:val="20"/>
                <w:szCs w:val="20"/>
                <w:color w:val="auto"/>
              </w:rPr>
            </w:pPr>
            <w:r>
              <w:rPr>
                <w:rFonts w:ascii="Times New Roman" w:cs="Times New Roman" w:eastAsia="Times New Roman" w:hAnsi="Times New Roman"/>
                <w:sz w:val="20"/>
                <w:szCs w:val="20"/>
                <w:color w:val="auto"/>
                <w:w w:val="99"/>
              </w:rPr>
              <w:t>Unvested at December 31, 2024</w:t>
            </w:r>
            <w:r>
              <w:rPr>
                <w:rFonts w:ascii="Times New Roman" w:cs="Times New Roman" w:eastAsia="Times New Roman" w:hAnsi="Times New Roman"/>
                <w:sz w:val="25"/>
                <w:szCs w:val="25"/>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3B3B3"/>
                <w:w w:val="99"/>
              </w:rPr>
              <w:t>.............................................................................</w:t>
            </w:r>
          </w:p>
        </w:tc>
        <w:tc>
          <w:tcPr>
            <w:tcW w:w="15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278,902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278.72</w:t>
            </w:r>
          </w:p>
        </w:tc>
      </w:tr>
      <w:tr>
        <w:trPr>
          <w:trHeight w:val="20"/>
        </w:trPr>
        <w:tc>
          <w:tcPr>
            <w:tcW w:w="6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(1) A maximum of 647,818 units could be awarded based upon the Company’s final TSR ranking.</w:t>
      </w:r>
    </w:p>
    <w:p>
      <w:pPr>
        <w:spacing w:after="0" w:line="250"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As of December 31, 2024, the Company’s unrecognized compensation cost related to unvested performance based restricted stock awards and units was $41 million, which is expected to be recognized over a weighted-average period of 1.8 years.</w:t>
      </w:r>
    </w:p>
    <w:p>
      <w:pPr>
        <w:spacing w:after="0" w:line="182" w:lineRule="exact"/>
        <w:rPr>
          <w:sz w:val="20"/>
          <w:szCs w:val="20"/>
          <w:color w:val="auto"/>
        </w:rPr>
      </w:pPr>
    </w:p>
    <w:p>
      <w:pPr>
        <w:ind w:left="820" w:hanging="720"/>
        <w:spacing w:after="0"/>
        <w:tabs>
          <w:tab w:leader="none" w:pos="8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and other certain subsidiaries classified as partnerships for U.S. federal income tax purposes, file a U.S. federal corporate income tax return on a consolidated basis. Viper’s provision for income taxes is included in the Company’s consolidated income tax provision and, to the extent applicable, in net income attributable to the non-controlling interest.</w:t>
      </w:r>
    </w:p>
    <w:p>
      <w:pPr>
        <w:spacing w:after="0" w:line="204"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Subsequent to the Effective Date of the Rattler Merger, Rattler is a member of the group filing consolidated income tax returns with Diamondback Energy, Inc. and its subsidiaries. As such, Rattler’s current and deferred income taxes continue to be included in the Company’s consolidated income tax expense from continuing operations.</w:t>
      </w:r>
    </w:p>
    <w:p>
      <w:pPr>
        <w:spacing w:after="0" w:line="187"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The Company’s effective income tax rates were 17.8%, 21.5% and 20.5% for the years ended December 31, 2024, 2023 and 2022, respectively. Total income tax expense for the year ended December 31, 2024 differed from amounts computed by applying the U.S. federal statutory tax rate to pre-tax income primarily due to (i) the impact of removing the valuation allowance against Viper, (ii) state income taxes, net of federal benefit, and (iii) other permanent differences between book and taxable income for the year ended December 31, 2024. Total income tax expense for the year ended December 31, 2023 differed from amounts computed by applying the U.S. federal statutory tax rate to pre-tax income for the period primarily due to state income taxes, net of federal benefit, partially offset by the impact of permanent differences between book and taxable income and tax benefit resulting from a reduction in the valuation allowance on Viper’s deferred tax assets for the year ended December 31, 2023. Total income tax expense for the year ended December 31, 2022 differed from amounts computed by applying the U.S. federal statutory tax rate to pre-tax income for the period primarily due to (i) state income taxes, net of federal benefit, partially offset by (ii) the impact of permanent differences between book and taxable income and (iii) tax benefit resulting from a reduction in the valuation allowance on Viper’s and QEP’s deferred tax assets for the year ended December 31, 2022.</w:t>
      </w:r>
    </w:p>
    <w:p>
      <w:pPr>
        <w:spacing w:after="0" w:line="214"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In connection with the closing of the Endeavor Acquisition, the Company assumed approximately $261 million of taxes payable and recognized a $7.2 billion deferred tax liability.</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180"/>
          </w:cols>
          <w:pgMar w:left="980" w:top="214" w:right="1080" w:bottom="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40" w:firstLine="720"/>
        <w:spacing w:after="0" w:line="261" w:lineRule="auto"/>
        <w:rPr>
          <w:sz w:val="20"/>
          <w:szCs w:val="20"/>
          <w:color w:val="auto"/>
        </w:rPr>
      </w:pPr>
      <w:r>
        <w:rPr>
          <w:rFonts w:ascii="Times New Roman" w:cs="Times New Roman" w:eastAsia="Times New Roman" w:hAnsi="Times New Roman"/>
          <w:sz w:val="20"/>
          <w:szCs w:val="20"/>
          <w:color w:val="auto"/>
        </w:rPr>
        <w:t>In connection with the Company’s public offering of Viper’s Class A common stock and resulting decrease in its ownership of Viper in March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spacing w:after="0" w:line="245" w:lineRule="exact"/>
        <w:rPr>
          <w:sz w:val="20"/>
          <w:szCs w:val="20"/>
          <w:color w:val="auto"/>
        </w:rPr>
      </w:pPr>
    </w:p>
    <w:p>
      <w:pPr>
        <w:jc w:val="both"/>
        <w:ind w:left="100" w:right="40" w:firstLine="720"/>
        <w:spacing w:after="0" w:line="286" w:lineRule="auto"/>
        <w:rPr>
          <w:sz w:val="20"/>
          <w:szCs w:val="20"/>
          <w:color w:val="auto"/>
        </w:rPr>
      </w:pPr>
      <w:r>
        <w:rPr>
          <w:rFonts w:ascii="Times New Roman" w:cs="Times New Roman" w:eastAsia="Times New Roman" w:hAnsi="Times New Roman"/>
          <w:sz w:val="20"/>
          <w:szCs w:val="20"/>
          <w:color w:val="auto"/>
        </w:rPr>
        <w:t>The components of the Company’s consolidated provision for income taxes from continuing operations for the years ended December 31, 2024, 2023 and 2022 are as follows: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 income tax provision (benefit):</w:t>
            </w:r>
          </w:p>
        </w:tc>
        <w:tc>
          <w:tcPr>
            <w:tcW w:w="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36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Federal </w:t>
            </w:r>
            <w:r>
              <w:rPr>
                <w:rFonts w:ascii="Times New Roman" w:cs="Times New Roman" w:eastAsia="Times New Roman" w:hAnsi="Times New Roman"/>
                <w:sz w:val="20"/>
                <w:szCs w:val="20"/>
                <w:color w:val="B3B3B3"/>
              </w:rPr>
              <w:t>.........................................................................................</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State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Totalcurrentincometaxprovision(benefit)</w:t>
            </w: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534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income tax provision (benefit):</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 xml:space="preserve">Federal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State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Totaldeferredincometaxprovision(benefit)</w:t>
            </w: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378</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Totalprovisionfor(benefitfrom)incometaxes</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912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A reconciliation of the statutory federal income tax amount from continuing operations to the recorded expense is as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follows:</w:t>
      </w: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4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2"/>
        </w:trPr>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Income tax expense (benefit) at the federal statutory rate (21%)</w:t>
            </w:r>
            <w:r>
              <w:rPr>
                <w:rFonts w:ascii="Times New Roman" w:cs="Times New Roman" w:eastAsia="Times New Roman" w:hAnsi="Times New Roman"/>
                <w:sz w:val="20"/>
                <w:szCs w:val="20"/>
                <w:color w:val="B3B3B3"/>
                <w:w w:val="98"/>
              </w:rPr>
              <w:t>.....</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8"/>
        </w:trPr>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State income tax expense, net of federal tax effect</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 xml:space="preserve">Non-deductible compensation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Change in valuation allowance</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 xml:space="preserve">Other, net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534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Provisionfor(benefitfrom)incometaxes</w:t>
            </w:r>
          </w:p>
        </w:tc>
        <w:tc>
          <w:tcPr>
            <w:tcW w:w="20" w:type="dxa"/>
            <w:vAlign w:val="bottom"/>
          </w:tcPr>
          <w:p>
            <w:pPr>
              <w:spacing w:after="0"/>
              <w:rPr>
                <w:sz w:val="19"/>
                <w:szCs w:val="19"/>
                <w:color w:val="auto"/>
              </w:rPr>
            </w:pPr>
          </w:p>
        </w:tc>
        <w:tc>
          <w:tcPr>
            <w:tcW w:w="980" w:type="dxa"/>
            <w:vAlign w:val="bottom"/>
          </w:tcPr>
          <w:p>
            <w:pPr>
              <w:jc w:val="right"/>
              <w:ind w:right="760"/>
              <w:spacing w:after="0" w:line="228" w:lineRule="exact"/>
              <w:rPr>
                <w:sz w:val="20"/>
                <w:szCs w:val="20"/>
                <w:color w:val="auto"/>
              </w:rPr>
            </w:pPr>
            <w:r>
              <w:rPr>
                <w:rFonts w:ascii="Times New Roman" w:cs="Times New Roman" w:eastAsia="Times New Roman" w:hAnsi="Times New Roman"/>
                <w:sz w:val="20"/>
                <w:szCs w:val="20"/>
                <w:color w:val="auto"/>
                <w:w w:val="99"/>
              </w:rPr>
              <w:t>$</w:t>
            </w:r>
          </w:p>
        </w:tc>
        <w:tc>
          <w:tcPr>
            <w:tcW w:w="500" w:type="dxa"/>
            <w:vAlign w:val="bottom"/>
          </w:tcPr>
          <w:p>
            <w:pPr>
              <w:jc w:val="right"/>
              <w:ind w:right="2"/>
              <w:spacing w:after="0" w:line="228" w:lineRule="exact"/>
              <w:rPr>
                <w:sz w:val="20"/>
                <w:szCs w:val="20"/>
                <w:color w:val="auto"/>
              </w:rPr>
            </w:pPr>
            <w:r>
              <w:rPr>
                <w:rFonts w:ascii="Times New Roman" w:cs="Times New Roman" w:eastAsia="Times New Roman" w:hAnsi="Times New Roman"/>
                <w:sz w:val="20"/>
                <w:szCs w:val="20"/>
                <w:color w:val="auto"/>
              </w:rPr>
              <w:t>800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
        </w:trPr>
        <w:tc>
          <w:tcPr>
            <w:tcW w:w="53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00" w:lineRule="exact"/>
        <w:rPr>
          <w:sz w:val="20"/>
          <w:szCs w:val="20"/>
          <w:color w:val="auto"/>
        </w:rPr>
      </w:pPr>
    </w:p>
    <w:p>
      <w:pPr>
        <w:sectPr>
          <w:pgSz w:w="12240" w:h="15840" w:orient="portrait"/>
          <w:cols w:equalWidth="0" w:num="1">
            <w:col w:w="10220"/>
          </w:cols>
          <w:pgMar w:left="980" w:top="21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10220"/>
          </w:cols>
          <w:pgMar w:left="980" w:top="214" w:right="104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3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components of the Company’s deferred tax assets and liabilities as of December 31, 2024 and 2023 are as</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follows: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5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operating loss and other carryforwards </w:t>
            </w:r>
            <w:r>
              <w:rPr>
                <w:rFonts w:ascii="Times New Roman" w:cs="Times New Roman" w:eastAsia="Times New Roman" w:hAnsi="Times New Roman"/>
                <w:sz w:val="20"/>
                <w:szCs w:val="20"/>
                <w:color w:val="B3B3B3"/>
              </w:rPr>
              <w:t>.........................................................</w:t>
            </w:r>
          </w:p>
        </w:tc>
        <w:tc>
          <w:tcPr>
            <w:tcW w:w="1060" w:type="dxa"/>
            <w:vAlign w:val="bottom"/>
            <w:gridSpan w:val="2"/>
          </w:tcPr>
          <w:p>
            <w:pPr>
              <w:jc w:val="right"/>
              <w:ind w:right="805"/>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225</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Derivative instruments </w:t>
            </w:r>
            <w:r>
              <w:rPr>
                <w:rFonts w:ascii="Times New Roman" w:cs="Times New Roman" w:eastAsia="Times New Roman" w:hAnsi="Times New Roman"/>
                <w:sz w:val="20"/>
                <w:szCs w:val="20"/>
                <w:color w:val="B3B3B3"/>
              </w:rPr>
              <w:t>.........................................................................................</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Viper's investment in Viper LLC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Borders>
              <w:bottom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Deferredtaxassets</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allowance</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Deferredtaxassets,netofvaluationallowance</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eferred tax liabilities: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 w:type="dxa"/>
            <w:vAlign w:val="bottom"/>
          </w:tcPr>
          <w:p>
            <w:pPr>
              <w:spacing w:after="0"/>
              <w:rPr>
                <w:sz w:val="24"/>
                <w:szCs w:val="24"/>
                <w:color w:val="auto"/>
              </w:rPr>
            </w:pPr>
          </w:p>
        </w:tc>
        <w:tc>
          <w:tcPr>
            <w:tcW w:w="64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Oil and natural gas properties and equipment</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w:t>
            </w:r>
          </w:p>
        </w:tc>
        <w:tc>
          <w:tcPr>
            <w:tcW w:w="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Midstream investments </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Totaldeferredtaxliabilities</w:t>
            </w:r>
          </w:p>
        </w:tc>
        <w:tc>
          <w:tcPr>
            <w:tcW w:w="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10,019</w:t>
            </w: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2,627</w:t>
            </w:r>
          </w:p>
        </w:tc>
        <w:tc>
          <w:tcPr>
            <w:tcW w:w="20" w:type="dxa"/>
            <w:vAlign w:val="bottom"/>
            <w:tcBorders>
              <w:bottom w:val="single" w:sz="8" w:color="auto"/>
            </w:tcBorders>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Netdeferredtaxliabilities</w:t>
            </w: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9,653</w:t>
            </w:r>
          </w:p>
        </w:tc>
        <w:tc>
          <w:tcPr>
            <w:tcW w:w="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2,404</w:t>
            </w:r>
          </w:p>
        </w:tc>
        <w:tc>
          <w:tcPr>
            <w:tcW w:w="20" w:type="dxa"/>
            <w:vAlign w:val="bottom"/>
            <w:tcBorders>
              <w:bottom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140335</wp:posOffset>
                </wp:positionH>
                <wp:positionV relativeFrom="paragraph">
                  <wp:posOffset>-2356485</wp:posOffset>
                </wp:positionV>
                <wp:extent cx="0" cy="235648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6485"/>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5pt,-185.5499pt" to="11.05pt,0pt" o:allowincell="f" strokecolor="#000000" strokeweight="0.75pt"/>
            </w:pict>
          </mc:Fallback>
        </mc:AlternateContent>
      </w:r>
    </w:p>
    <w:p>
      <w:pPr>
        <w:spacing w:after="0" w:line="220" w:lineRule="exact"/>
        <w:rPr>
          <w:sz w:val="20"/>
          <w:szCs w:val="20"/>
          <w:color w:val="auto"/>
        </w:rPr>
      </w:pPr>
    </w:p>
    <w:p>
      <w:pPr>
        <w:jc w:val="both"/>
        <w:ind w:left="100" w:right="60" w:firstLine="720"/>
        <w:spacing w:after="0" w:line="286" w:lineRule="auto"/>
        <w:rPr>
          <w:sz w:val="20"/>
          <w:szCs w:val="20"/>
          <w:color w:val="auto"/>
        </w:rPr>
      </w:pPr>
      <w:r>
        <w:rPr>
          <w:rFonts w:ascii="Times New Roman" w:cs="Times New Roman" w:eastAsia="Times New Roman" w:hAnsi="Times New Roman"/>
          <w:sz w:val="20"/>
          <w:szCs w:val="20"/>
          <w:color w:val="auto"/>
        </w:rPr>
        <w:t>The Company had net deferred tax liabilities of approximately $9.7 billion and $2.4 billion at December 31, 2024 and 2023, respectively.</w:t>
      </w:r>
    </w:p>
    <w:p>
      <w:pPr>
        <w:spacing w:after="0" w:line="170" w:lineRule="exact"/>
        <w:rPr>
          <w:sz w:val="20"/>
          <w:szCs w:val="20"/>
          <w:color w:val="auto"/>
        </w:rPr>
      </w:pPr>
    </w:p>
    <w:p>
      <w:pPr>
        <w:jc w:val="both"/>
        <w:ind w:left="100" w:right="60" w:firstLine="720"/>
        <w:spacing w:after="0" w:line="254" w:lineRule="auto"/>
        <w:rPr>
          <w:sz w:val="20"/>
          <w:szCs w:val="20"/>
          <w:color w:val="auto"/>
        </w:rPr>
      </w:pPr>
      <w:r>
        <w:rPr>
          <w:rFonts w:ascii="Times New Roman" w:cs="Times New Roman" w:eastAsia="Times New Roman" w:hAnsi="Times New Roman"/>
          <w:sz w:val="20"/>
          <w:szCs w:val="20"/>
          <w:color w:val="auto"/>
        </w:rPr>
        <w:t>At December 31, 2024, the Company had approximately $332 million of federal NOLs and $4 million of federal tax credits expiring in 2037 and $206 million of federal NOLs with an indefinite carryforward life, including NOLs acquired from QEP. The Company principally operates in the state of Texas and is subject to Texas Margin Tax, which currently does not include an NOL carryover provision. The Company’s federal tax attributes, including those acquired from QEP and Rattler, are subject to an annual limitation under Section 382 of the Internal Revenue Code of 1986, as amended (the “Code”), which relates to tax attribute limitations upon the 50% or greater change of ownership of an entity during any three-year look back period. Other than as described below regarding realization of tax attributes acquired from QEP, the Company believes that the application of Section 382 of the Code will not have an adverse effect on future usage of the Company’s NOLs and credits.</w:t>
      </w:r>
    </w:p>
    <w:p>
      <w:pPr>
        <w:spacing w:after="0" w:line="205" w:lineRule="exact"/>
        <w:rPr>
          <w:sz w:val="20"/>
          <w:szCs w:val="20"/>
          <w:color w:val="auto"/>
        </w:rPr>
      </w:pPr>
    </w:p>
    <w:p>
      <w:pPr>
        <w:jc w:val="both"/>
        <w:ind w:left="100" w:right="60" w:firstLine="720"/>
        <w:spacing w:after="0" w:line="256" w:lineRule="auto"/>
        <w:rPr>
          <w:sz w:val="20"/>
          <w:szCs w:val="20"/>
          <w:color w:val="auto"/>
        </w:rPr>
      </w:pPr>
      <w:r>
        <w:rPr>
          <w:rFonts w:ascii="Times New Roman" w:cs="Times New Roman" w:eastAsia="Times New Roman" w:hAnsi="Times New Roman"/>
          <w:sz w:val="20"/>
          <w:szCs w:val="20"/>
          <w:color w:val="auto"/>
        </w:rPr>
        <w:t>On August 24, 2022, the Company completed the Rattler Merger. Management assessed the likelihood that the federal net operating losses and other tax attributes acquired from Rattler will be utilized, taking into consideration Rattler’s inclusion in consolidated income tax returns with Diamondback, and the annual limitation on utilization of tax attributes following Rattler’s ownership change pursuant to Section 382 of the Code. As a result of the assessment, including consideration of all available positive and negative evidence, management determined that it continues to be more likely than not that Rattler will realize its deferred tax assets as of December 31, 2024.</w:t>
      </w:r>
    </w:p>
    <w:p>
      <w:pPr>
        <w:spacing w:after="0" w:line="206" w:lineRule="exact"/>
        <w:rPr>
          <w:sz w:val="20"/>
          <w:szCs w:val="20"/>
          <w:color w:val="auto"/>
        </w:rPr>
      </w:pPr>
    </w:p>
    <w:p>
      <w:pPr>
        <w:jc w:val="both"/>
        <w:ind w:left="100" w:right="60" w:firstLine="721"/>
        <w:spacing w:after="0" w:line="259" w:lineRule="auto"/>
        <w:rPr>
          <w:sz w:val="20"/>
          <w:szCs w:val="20"/>
          <w:color w:val="auto"/>
        </w:rPr>
      </w:pPr>
      <w:r>
        <w:rPr>
          <w:rFonts w:ascii="Times New Roman" w:cs="Times New Roman" w:eastAsia="Times New Roman" w:hAnsi="Times New Roman"/>
          <w:sz w:val="20"/>
          <w:szCs w:val="20"/>
          <w:color w:val="auto"/>
        </w:rPr>
        <w:t>As of December 31, 2024, the Company had a valuation allowance of $11 million related to federal NOL and credit carryforwards acquired from QEP which are estimated not more likely than not to be realized prior to expiration. In addition, the Company had a valuation allowance of $108 million primarily related to certain state NOL carryforwards which the Company does not believe are realizable as it does not anticipate significant future operations in those states and fully released Viper’s remaining valuation allowance, as discussed further below. Management’s assessment at each balance sheet date included consideration of all available positive and negative evidence including the anticipated timing of reversal of deferred tax liabilities and the limitations imposed by Section 382 of the Code on certain of the Company’s NOLs and other carryforwards. Management believes that the balance of the Company’s NOLs is realizable to the extent of future taxable income primarily related to the excess of book carrying value of properties over their respective tax bases. As of December 31, 2024, management determined that it is more likely than not that the Company will realize its remaining deferred tax assets.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40"/>
          </w:cols>
          <w:pgMar w:left="980" w:top="214" w:right="1020" w:bottom="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40" w:firstLine="720"/>
        <w:spacing w:after="0" w:line="268" w:lineRule="auto"/>
        <w:rPr>
          <w:sz w:val="20"/>
          <w:szCs w:val="20"/>
          <w:color w:val="auto"/>
        </w:rPr>
      </w:pPr>
      <w:r>
        <w:rPr>
          <w:rFonts w:ascii="Times New Roman" w:cs="Times New Roman" w:eastAsia="Times New Roman" w:hAnsi="Times New Roman"/>
          <w:sz w:val="20"/>
          <w:szCs w:val="20"/>
          <w:color w:val="auto"/>
        </w:rPr>
        <w:t>At December 31, 2024, the Company’s net deferred tax liabilities include deferred tax assets of approximately $185 million related to Viper’s investment in Viper LLC. Deferred taxes are provided on the difference between Viper’s basis for financial accounting purposes and basis for federal income tax purposes in its investment in Viper LLC.</w:t>
      </w:r>
    </w:p>
    <w:p>
      <w:pPr>
        <w:spacing w:after="0" w:line="187" w:lineRule="exact"/>
        <w:rPr>
          <w:sz w:val="20"/>
          <w:szCs w:val="20"/>
          <w:color w:val="auto"/>
        </w:rPr>
      </w:pPr>
    </w:p>
    <w:p>
      <w:pPr>
        <w:jc w:val="both"/>
        <w:ind w:left="100" w:right="40" w:firstLine="720"/>
        <w:spacing w:after="0" w:line="253" w:lineRule="auto"/>
        <w:rPr>
          <w:sz w:val="20"/>
          <w:szCs w:val="20"/>
          <w:color w:val="auto"/>
        </w:rPr>
      </w:pPr>
      <w:r>
        <w:rPr>
          <w:rFonts w:ascii="Times New Roman" w:cs="Times New Roman" w:eastAsia="Times New Roman" w:hAnsi="Times New Roman"/>
          <w:sz w:val="20"/>
          <w:szCs w:val="20"/>
          <w:color w:val="auto"/>
        </w:rPr>
        <w:t>As of December 31, 2024, Viper released its remaining valuation allowance of approximately $156 million as a result of management’s assessment of the realizability of future taxable income. During the years ended December 31, 2023 and 2022, Viper recognized deferred income tax benefits of $7 million and $50 million, respectively, related to a partial release in its beginning-of -the year valuation allowance, based on a change in judgment about the realizability of its deferred tax assets. Management’s assessment of all available evidence, both positive and negative, supporting realizability of Viper’s deferred tax assets as required by applicable accounting standards, resulted in recognition of tax benefit for the portion of Viper’s deferred tax assets considered more likely than not to be realized. The positive evidence assessed included recent cumulative income due in part to higher commodity prices remaining consistently high, acquisitions of additional oil and natural gas properties and an expectation of future taxable income based upon recent actual and forecasted production volumes and prices.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changes in the Company’s unrecognized tax benefits:</w:t>
      </w:r>
    </w:p>
    <w:p>
      <w:pPr>
        <w:spacing w:after="0" w:line="200" w:lineRule="exact"/>
        <w:rPr>
          <w:sz w:val="20"/>
          <w:szCs w:val="20"/>
          <w:color w:val="auto"/>
        </w:rPr>
      </w:pP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7"/>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beginning of year</w:t>
            </w:r>
            <w:r>
              <w:rPr>
                <w:rFonts w:ascii="Times New Roman" w:cs="Times New Roman" w:eastAsia="Times New Roman" w:hAnsi="Times New Roman"/>
                <w:sz w:val="20"/>
                <w:szCs w:val="20"/>
                <w:color w:val="B3B3B3"/>
              </w:rPr>
              <w:t>........................................................................</w:t>
            </w:r>
          </w:p>
        </w:tc>
        <w:tc>
          <w:tcPr>
            <w:tcW w:w="86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4"/>
          </w:tcPr>
          <w:p>
            <w:pPr>
              <w:jc w:val="right"/>
              <w:ind w:right="21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8"/>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Decrease resulting from expiration of statute</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7"/>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Balanceatendofyear</w:t>
            </w: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1"/>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Less: Effects of temporary items</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596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auto"/>
              </w:rPr>
              <w:t>Total that, if recognized, would impact the effective income tax rate as of</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59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the end of the year</w:t>
            </w:r>
            <w:r>
              <w:rPr>
                <w:rFonts w:ascii="Times New Roman" w:cs="Times New Roman" w:eastAsia="Times New Roman" w:hAnsi="Times New Roman"/>
                <w:sz w:val="20"/>
                <w:szCs w:val="20"/>
                <w:color w:val="B3B3B3"/>
              </w:rPr>
              <w:t>........................................................................................</w:t>
            </w:r>
          </w:p>
        </w:tc>
        <w:tc>
          <w:tcPr>
            <w:tcW w:w="860" w:type="dxa"/>
            <w:vAlign w:val="bottom"/>
            <w:gridSpan w:val="2"/>
          </w:tcPr>
          <w:p>
            <w:pPr>
              <w:jc w:val="right"/>
              <w:ind w:right="630"/>
              <w:spacing w:after="0" w:line="229"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4"/>
          </w:tcPr>
          <w:p>
            <w:pPr>
              <w:jc w:val="right"/>
              <w:ind w:right="23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4"/>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
        </w:trPr>
        <w:tc>
          <w:tcPr>
            <w:tcW w:w="59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233" w:lineRule="exact"/>
        <w:rPr>
          <w:sz w:val="20"/>
          <w:szCs w:val="20"/>
          <w:color w:val="auto"/>
        </w:rPr>
      </w:pPr>
    </w:p>
    <w:p>
      <w:pPr>
        <w:jc w:val="both"/>
        <w:ind w:left="100" w:right="40" w:firstLine="720"/>
        <w:spacing w:after="0" w:line="254" w:lineRule="auto"/>
        <w:rPr>
          <w:sz w:val="20"/>
          <w:szCs w:val="20"/>
          <w:color w:val="auto"/>
        </w:rPr>
      </w:pPr>
      <w:r>
        <w:rPr>
          <w:rFonts w:ascii="Times New Roman" w:cs="Times New Roman" w:eastAsia="Times New Roman" w:hAnsi="Times New Roman"/>
          <w:sz w:val="20"/>
          <w:szCs w:val="20"/>
          <w:color w:val="auto"/>
        </w:rPr>
        <w:t>The Company recognizes the tax benefit from a tax position only if it is more likely than not that it will be sustained upon examination by the taxing authorities, based upon the technical merits of the position. The Company’s federal and state income tax returns for the years ended December 31, 2021 through December 31, 2023 remain open for all purposes of examination by the IRS and major state taxing jurisdictions. However, certain earlier tax years remain open for adjustment to the extent of their NOL carryforwards available for future utilization.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spacing w:after="0" w:line="208" w:lineRule="exact"/>
        <w:rPr>
          <w:sz w:val="20"/>
          <w:szCs w:val="20"/>
          <w:color w:val="auto"/>
        </w:rPr>
      </w:pPr>
    </w:p>
    <w:p>
      <w:pPr>
        <w:jc w:val="both"/>
        <w:ind w:left="100" w:right="40" w:firstLine="720"/>
        <w:spacing w:after="0" w:line="255"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 matters as interest expense and general and administrative expenses, respectively. During the year ended December 31, 2024, there was no interest associated with uncertain tax positions recognized in the Company’s consolidated financial statements. During the years ended December 31, 2023 and 2022, there was an insignificant amount of interest associated with uncertain tax positions recognized in the Company’s consolidated financial statements. During the years ended December 31, 2024, 2023 and 2022, there were no penalties related to each period associated with uncertain tax positions recognized in the Company’s consolidated financial statements.</w:t>
      </w:r>
    </w:p>
    <w:p>
      <w:pPr>
        <w:spacing w:after="0" w:line="199" w:lineRule="exact"/>
        <w:rPr>
          <w:sz w:val="20"/>
          <w:szCs w:val="20"/>
          <w:color w:val="auto"/>
        </w:rPr>
      </w:pPr>
    </w:p>
    <w:p>
      <w:pPr>
        <w:ind w:left="820" w:hanging="720"/>
        <w:spacing w:after="0"/>
        <w:tabs>
          <w:tab w:leader="none" w:pos="8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DERIVATIVES</w:t>
      </w:r>
    </w:p>
    <w:p>
      <w:pPr>
        <w:spacing w:after="0" w:line="258" w:lineRule="exact"/>
        <w:rPr>
          <w:sz w:val="20"/>
          <w:szCs w:val="20"/>
          <w:color w:val="auto"/>
        </w:rPr>
      </w:pPr>
    </w:p>
    <w:p>
      <w:pPr>
        <w:jc w:val="both"/>
        <w:ind w:left="100" w:right="40" w:firstLine="720"/>
        <w:spacing w:after="0" w:line="286" w:lineRule="auto"/>
        <w:rPr>
          <w:sz w:val="20"/>
          <w:szCs w:val="20"/>
          <w:color w:val="auto"/>
        </w:rPr>
      </w:pPr>
      <w:r>
        <w:rPr>
          <w:rFonts w:ascii="Times New Roman" w:cs="Times New Roman" w:eastAsia="Times New Roman" w:hAnsi="Times New Roman"/>
          <w:sz w:val="20"/>
          <w:szCs w:val="20"/>
          <w:color w:val="auto"/>
        </w:rPr>
        <w:t>At December 31, 2024, the Company has commodity derivative contracts and interest rate swaps outstanding. All derivative financial instruments are recorded at fair value.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Commodity Contracts</w:t>
      </w:r>
    </w:p>
    <w:p>
      <w:pPr>
        <w:spacing w:after="0" w:line="258" w:lineRule="exact"/>
        <w:rPr>
          <w:sz w:val="20"/>
          <w:szCs w:val="20"/>
          <w:color w:val="auto"/>
        </w:rPr>
      </w:pPr>
    </w:p>
    <w:p>
      <w:pPr>
        <w:jc w:val="both"/>
        <w:ind w:left="100" w:right="40" w:firstLine="720"/>
        <w:spacing w:after="0" w:line="275" w:lineRule="auto"/>
        <w:rPr>
          <w:sz w:val="20"/>
          <w:szCs w:val="20"/>
          <w:color w:val="auto"/>
        </w:rPr>
      </w:pPr>
      <w:r>
        <w:rPr>
          <w:rFonts w:ascii="Times New Roman" w:cs="Times New Roman" w:eastAsia="Times New Roman" w:hAnsi="Times New Roman"/>
          <w:sz w:val="19"/>
          <w:szCs w:val="19"/>
          <w:color w:val="auto"/>
        </w:rPr>
        <w:t>The Company has entered into multiple crude oil and natural gas derivatives, indexed to the respective indices as noted in the table below, to reduce price volatility associated with certain of its oil and natural gas sales. As part of the Endeavor Acquisition, the Company acquired a number of derivative financial instruments that were added to its hedging program during the third quarter of 2024. The Company has not designated its commodity derivative instruments as hedges for accounting purposes and, as a result, marks its commodity derivative instruments to fair value and recognizes the cash and</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20"/>
          </w:cols>
          <w:pgMar w:left="980" w:top="214" w:right="1040" w:bottom="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40"/>
        <w:spacing w:after="0" w:line="286" w:lineRule="auto"/>
        <w:rPr>
          <w:sz w:val="20"/>
          <w:szCs w:val="20"/>
          <w:color w:val="auto"/>
        </w:rPr>
      </w:pPr>
      <w:r>
        <w:rPr>
          <w:rFonts w:ascii="Times New Roman" w:cs="Times New Roman" w:eastAsia="Times New Roman" w:hAnsi="Times New Roman"/>
          <w:sz w:val="20"/>
          <w:szCs w:val="20"/>
          <w:color w:val="auto"/>
        </w:rPr>
        <w:t>non-cash changes in fair value in the consolidated statements of operations under the caption “Gain (loss) on derivative instruments, net.”</w:t>
      </w:r>
    </w:p>
    <w:p>
      <w:pPr>
        <w:spacing w:after="0" w:line="170" w:lineRule="exact"/>
        <w:rPr>
          <w:sz w:val="20"/>
          <w:szCs w:val="20"/>
          <w:color w:val="auto"/>
        </w:rPr>
      </w:pPr>
    </w:p>
    <w:p>
      <w:pPr>
        <w:jc w:val="both"/>
        <w:ind w:left="100" w:firstLine="720"/>
        <w:spacing w:after="0" w:line="257" w:lineRule="auto"/>
        <w:rPr>
          <w:sz w:val="20"/>
          <w:szCs w:val="20"/>
          <w:color w:val="auto"/>
        </w:rPr>
      </w:pPr>
      <w:r>
        <w:rPr>
          <w:rFonts w:ascii="Times New Roman" w:cs="Times New Roman" w:eastAsia="Times New Roman" w:hAnsi="Times New Roman"/>
          <w:sz w:val="20"/>
          <w:szCs w:val="20"/>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spacing w:after="0" w:line="20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As of December 31, 2024, the Company had the following outstanding commodity derivative contracts. When aggregating multiple contracts, the weighted average contract price is disclosed:</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1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Collars</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5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Settlement</w:t>
            </w:r>
          </w:p>
        </w:tc>
        <w:tc>
          <w:tcPr>
            <w:tcW w:w="16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Settlement Month</w:t>
            </w:r>
          </w:p>
        </w:tc>
        <w:tc>
          <w:tcPr>
            <w:tcW w:w="1060" w:type="dxa"/>
            <w:vAlign w:val="bottom"/>
            <w:vMerge w:val="continue"/>
          </w:tcPr>
          <w:p>
            <w:pPr>
              <w:spacing w:after="0"/>
              <w:rPr>
                <w:sz w:val="15"/>
                <w:szCs w:val="15"/>
                <w:color w:val="auto"/>
              </w:rPr>
            </w:pP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Contract</w:t>
            </w:r>
          </w:p>
        </w:tc>
        <w:tc>
          <w:tcPr>
            <w:tcW w:w="1200" w:type="dxa"/>
            <w:vAlign w:val="bottom"/>
          </w:tcPr>
          <w:p>
            <w:pPr>
              <w:jc w:val="center"/>
              <w:ind w:right="190"/>
              <w:spacing w:after="0" w:line="180" w:lineRule="exact"/>
              <w:rPr>
                <w:sz w:val="20"/>
                <w:szCs w:val="20"/>
                <w:color w:val="auto"/>
              </w:rPr>
            </w:pPr>
            <w:r>
              <w:rPr>
                <w:rFonts w:ascii="Times New Roman" w:cs="Times New Roman" w:eastAsia="Times New Roman" w:hAnsi="Times New Roman"/>
                <w:sz w:val="18"/>
                <w:szCs w:val="18"/>
                <w:b w:val="1"/>
                <w:bCs w:val="1"/>
                <w:color w:val="auto"/>
                <w:w w:val="96"/>
              </w:rPr>
              <w:t>MMBtu</w:t>
            </w:r>
          </w:p>
        </w:tc>
        <w:tc>
          <w:tcPr>
            <w:tcW w:w="15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4"/>
              </w:rPr>
              <w:t>Ceiling</w:t>
            </w:r>
          </w:p>
        </w:tc>
        <w:tc>
          <w:tcPr>
            <w:tcW w:w="0" w:type="dxa"/>
            <w:vAlign w:val="bottom"/>
          </w:tcPr>
          <w:p>
            <w:pPr>
              <w:spacing w:after="0"/>
              <w:rPr>
                <w:sz w:val="1"/>
                <w:szCs w:val="1"/>
                <w:color w:val="auto"/>
              </w:rPr>
            </w:pPr>
          </w:p>
        </w:tc>
      </w:tr>
      <w:tr>
        <w:trPr>
          <w:trHeight w:val="216"/>
        </w:trPr>
        <w:tc>
          <w:tcPr>
            <w:tcW w:w="16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Per Day</w:t>
            </w:r>
          </w:p>
        </w:tc>
        <w:tc>
          <w:tcPr>
            <w:tcW w:w="15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Differential</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Floor Price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46"/>
        </w:trPr>
        <w:tc>
          <w:tcPr>
            <w:tcW w:w="1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OIL</w:t>
            </w: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tbl>
      <w:tblPr>
        <w:tblLayout w:type="fixed"/>
        <w:tblInd w:w="160" w:type="dxa"/>
        <w:tblCellMar>
          <w:top w:w="0" w:type="dxa"/>
          <w:left w:w="0" w:type="dxa"/>
          <w:bottom w:w="0" w:type="dxa"/>
          <w:right w:w="0" w:type="dxa"/>
        </w:tblCellMar>
      </w:tblPr>
      <w:tr>
        <w:trPr>
          <w:trHeight w:val="298"/>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Mar.</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Basis Swap</w:t>
            </w:r>
            <w:r>
              <w:rPr>
                <w:rFonts w:ascii="Times New Roman" w:cs="Times New Roman" w:eastAsia="Times New Roman" w:hAnsi="Times New Roman"/>
                <w:sz w:val="25"/>
                <w:szCs w:val="25"/>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64,000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Midland</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7"/>
              </w:rPr>
              <w:t>$1.09</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w:t>
            </w:r>
          </w:p>
        </w:tc>
      </w:tr>
      <w:tr>
        <w:trPr>
          <w:trHeight w:val="268"/>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Mar.</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Costless Collar</w:t>
            </w: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13,000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WTI Cushing</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9"/>
                <w:szCs w:val="19"/>
                <w:color w:val="auto"/>
                <w:w w:val="98"/>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$60.00</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19"/>
                <w:szCs w:val="19"/>
                <w:color w:val="auto"/>
                <w:w w:val="95"/>
              </w:rPr>
              <w:t>$89.55</w:t>
            </w:r>
          </w:p>
        </w:tc>
      </w:tr>
      <w:tr>
        <w:trPr>
          <w:trHeight w:val="321"/>
        </w:trPr>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Apr. - Dec.</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Basis Swap</w:t>
            </w:r>
            <w:r>
              <w:rPr>
                <w:rFonts w:ascii="Times New Roman" w:cs="Times New Roman" w:eastAsia="Times New Roman" w:hAnsi="Times New Roman"/>
                <w:sz w:val="25"/>
                <w:szCs w:val="25"/>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51,000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Midland</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7"/>
              </w:rPr>
              <w:t>$1.07</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w:t>
            </w:r>
          </w:p>
        </w:tc>
      </w:tr>
      <w:tr>
        <w:trPr>
          <w:trHeight w:val="24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16"/>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Mar.</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Costless Collar</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750,000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Henry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$2.52</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rPr>
              <w:t>$5.26</w:t>
            </w:r>
          </w:p>
        </w:tc>
      </w:tr>
      <w:tr>
        <w:trPr>
          <w:trHeight w:val="330"/>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Mar.</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Basis Swap</w:t>
            </w:r>
            <w:r>
              <w:rPr>
                <w:rFonts w:ascii="Times New Roman" w:cs="Times New Roman" w:eastAsia="Times New Roman" w:hAnsi="Times New Roman"/>
                <w:sz w:val="25"/>
                <w:szCs w:val="25"/>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670,000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Waha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5"/>
              </w:rPr>
              <w:t>$(0.82)</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w:t>
            </w:r>
          </w:p>
        </w:tc>
      </w:tr>
      <w:tr>
        <w:trPr>
          <w:trHeight w:val="267"/>
        </w:trPr>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Apr. - Dec.</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Costless Collar</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690,000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Henry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$2.49</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rPr>
              <w:t>$5.28</w:t>
            </w:r>
          </w:p>
        </w:tc>
      </w:tr>
      <w:tr>
        <w:trPr>
          <w:trHeight w:val="333"/>
        </w:trPr>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Apr. - Dec.</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Basis Swap</w:t>
            </w:r>
            <w:r>
              <w:rPr>
                <w:rFonts w:ascii="Times New Roman" w:cs="Times New Roman" w:eastAsia="Times New Roman" w:hAnsi="Times New Roman"/>
                <w:sz w:val="25"/>
                <w:szCs w:val="25"/>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610,000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Waha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5"/>
              </w:rPr>
              <w:t>$(0.84)</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w:t>
            </w:r>
          </w:p>
        </w:tc>
      </w:tr>
      <w:tr>
        <w:trPr>
          <w:trHeight w:val="267"/>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Dec.</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Costless Collar</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Henry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$2.50</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rPr>
              <w:t>$6.21</w:t>
            </w:r>
          </w:p>
        </w:tc>
      </w:tr>
      <w:tr>
        <w:trPr>
          <w:trHeight w:val="340"/>
        </w:trPr>
        <w:tc>
          <w:tcPr>
            <w:tcW w:w="15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Jan. - Dec.</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Basis Swap</w:t>
            </w:r>
            <w:r>
              <w:rPr>
                <w:rFonts w:ascii="Times New Roman" w:cs="Times New Roman" w:eastAsia="Times New Roman" w:hAnsi="Times New Roman"/>
                <w:sz w:val="25"/>
                <w:szCs w:val="25"/>
                <w:color w:val="auto"/>
                <w:w w:val="94"/>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30,000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Waha Hub</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5"/>
              </w:rPr>
              <w:t>$(1.29)</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w:t>
            </w:r>
          </w:p>
        </w:tc>
      </w:tr>
    </w:tbl>
    <w:p>
      <w:pPr>
        <w:jc w:val="both"/>
        <w:ind w:left="460" w:hanging="360"/>
        <w:spacing w:after="0" w:line="261" w:lineRule="auto"/>
        <w:tabs>
          <w:tab w:leader="none" w:pos="45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Settlement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Settlement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Bbls Per Day</w:t>
            </w:r>
          </w:p>
        </w:tc>
        <w:tc>
          <w:tcPr>
            <w:tcW w:w="15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7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0" w:type="dxa"/>
            <w:vAlign w:val="bottom"/>
          </w:tcPr>
          <w:p>
            <w:pPr>
              <w:spacing w:after="0"/>
              <w:rPr>
                <w:sz w:val="1"/>
                <w:szCs w:val="1"/>
                <w:color w:val="auto"/>
              </w:rPr>
            </w:pPr>
          </w:p>
        </w:tc>
      </w:tr>
      <w:tr>
        <w:trPr>
          <w:trHeight w:val="248"/>
        </w:trPr>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Month</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7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4"/>
              </w:rPr>
              <w:t>Premium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67945</wp:posOffset>
                </wp:positionH>
                <wp:positionV relativeFrom="paragraph">
                  <wp:posOffset>0</wp:posOffset>
                </wp:positionV>
                <wp:extent cx="639635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63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5pt,0pt" to="509pt,0pt" o:allowincell="f" strokecolor="#000000" strokeweight="0.96pt"/>
            </w:pict>
          </mc:Fallback>
        </mc:AlternateContent>
      </w:r>
    </w:p>
    <w:p>
      <w:pPr>
        <w:ind w:left="160"/>
        <w:spacing w:after="0"/>
        <w:rPr>
          <w:sz w:val="20"/>
          <w:szCs w:val="20"/>
          <w:color w:val="auto"/>
        </w:rPr>
      </w:pPr>
      <w:r>
        <w:rPr>
          <w:rFonts w:ascii="Times New Roman" w:cs="Times New Roman" w:eastAsia="Times New Roman" w:hAnsi="Times New Roman"/>
          <w:sz w:val="18"/>
          <w:szCs w:val="18"/>
          <w:b w:val="1"/>
          <w:bCs w:val="1"/>
          <w:color w:val="auto"/>
        </w:rPr>
        <w:t>OIL</w:t>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267"/>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Jan. - Mar.</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52,000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Brent</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$60.00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98"/>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Jan. - Mar.</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83,000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Houston</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$55.84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300"/>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Jan. - Mar.</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142,000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WTI Cushing</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$56.58</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300"/>
        </w:trPr>
        <w:tc>
          <w:tcPr>
            <w:tcW w:w="12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8"/>
              </w:rPr>
              <w:t>Apr. - Jun.</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43,000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Brent</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$58.84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300"/>
        </w:trPr>
        <w:tc>
          <w:tcPr>
            <w:tcW w:w="12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8"/>
              </w:rPr>
              <w:t>Apr. - Jun.</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81,000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Houston</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$55.12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300"/>
        </w:trPr>
        <w:tc>
          <w:tcPr>
            <w:tcW w:w="1220" w:type="dxa"/>
            <w:vAlign w:val="bottom"/>
          </w:tcPr>
          <w:p>
            <w:pPr>
              <w:jc w:val="center"/>
              <w:ind w:right="280"/>
              <w:spacing w:after="0"/>
              <w:rPr>
                <w:sz w:val="20"/>
                <w:szCs w:val="20"/>
                <w:color w:val="auto"/>
              </w:rPr>
            </w:pPr>
            <w:r>
              <w:rPr>
                <w:rFonts w:ascii="Times New Roman" w:cs="Times New Roman" w:eastAsia="Times New Roman" w:hAnsi="Times New Roman"/>
                <w:sz w:val="20"/>
                <w:szCs w:val="20"/>
                <w:color w:val="auto"/>
                <w:w w:val="98"/>
              </w:rPr>
              <w:t>Apr. - Jun.</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113,000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WTI Cushing</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$55.71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300"/>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7"/>
              </w:rPr>
              <w:t>Jul. - Sep.</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Brent</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$57.50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300"/>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7"/>
              </w:rPr>
              <w:t>Jul. - Sep.</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67,000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Houston</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$55.00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86"/>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7"/>
              </w:rPr>
              <w:t>Jul. - Sep.</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WTI Cushing</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$55.00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83"/>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7"/>
              </w:rPr>
              <w:t>Oct. - Dec.</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Brent</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$55.00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r>
      <w:tr>
        <w:trPr>
          <w:trHeight w:val="269"/>
        </w:trPr>
        <w:tc>
          <w:tcPr>
            <w:tcW w:w="122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7"/>
              </w:rPr>
              <w:t>Oct. - Dec.</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2025</w:t>
            </w:r>
          </w:p>
        </w:tc>
        <w:tc>
          <w:tcPr>
            <w:tcW w:w="1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Put</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Argus WTI Houston</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$55.00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180"/>
          </w:cols>
          <w:pgMar w:left="980" w:top="214" w:right="1080" w:bottom="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Interest Rate Swaps and Treasury Locks</w:t>
      </w:r>
    </w:p>
    <w:p>
      <w:pPr>
        <w:spacing w:after="0" w:line="2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w:t>
      </w:r>
    </w:p>
    <w:p>
      <w:pPr>
        <w:spacing w:after="0" w:line="251" w:lineRule="exact"/>
        <w:rPr>
          <w:sz w:val="20"/>
          <w:szCs w:val="20"/>
          <w:color w:val="auto"/>
        </w:rPr>
      </w:pPr>
    </w:p>
    <w:p>
      <w:pPr>
        <w:jc w:val="both"/>
        <w:ind w:left="100" w:right="40" w:firstLine="721"/>
        <w:spacing w:after="0" w:line="254" w:lineRule="auto"/>
        <w:rPr>
          <w:sz w:val="20"/>
          <w:szCs w:val="20"/>
          <w:color w:val="auto"/>
        </w:rPr>
      </w:pPr>
      <w:r>
        <w:rPr>
          <w:rFonts w:ascii="Times New Roman" w:cs="Times New Roman" w:eastAsia="Times New Roman" w:hAnsi="Times New Roman"/>
          <w:sz w:val="20"/>
          <w:szCs w:val="20"/>
          <w:color w:val="auto"/>
        </w:rPr>
        <w:t>The Company had two receive-fixed, pay variable interest rate swap agreements for notional amounts of $600 million, which were designated as fair value hedges of the Company’s $1.2 billion 3.50% fixed rate senior notes due 2029 (the “2029 Notes”) at inception. During the third quarter of 2024, the Company terminated and settled $300 million of the notional amount of one interest rate swap for a loss of $37 million recognized in the caption “Gain (loss) on derivative instruments, net” on the consolidated statement of operations for the year ended December 31, 2024. As a result of the partial termination, the Company has remaining interest rate swap agreements for a notional amount of $900 million at December 31, 2024. The Company receives a fixed 3.50% rate of interest on these swaps. Effective on May 28, 2023, the variable rate of interest the Company pays on these swaps was reset from three month LIBOR to three month SOFR plus 2.1865%.</w:t>
      </w:r>
    </w:p>
    <w:p>
      <w:pPr>
        <w:spacing w:after="0" w:line="200" w:lineRule="exact"/>
        <w:rPr>
          <w:sz w:val="20"/>
          <w:szCs w:val="20"/>
          <w:color w:val="auto"/>
        </w:rPr>
      </w:pPr>
    </w:p>
    <w:p>
      <w:pPr>
        <w:spacing w:after="0" w:line="248" w:lineRule="exact"/>
        <w:rPr>
          <w:sz w:val="20"/>
          <w:szCs w:val="20"/>
          <w:color w:val="auto"/>
        </w:rPr>
      </w:pPr>
    </w:p>
    <w:p>
      <w:pPr>
        <w:jc w:val="both"/>
        <w:ind w:left="100" w:right="40" w:firstLine="720"/>
        <w:spacing w:after="0" w:line="270" w:lineRule="auto"/>
        <w:rPr>
          <w:sz w:val="20"/>
          <w:szCs w:val="20"/>
          <w:color w:val="auto"/>
        </w:rPr>
      </w:pPr>
      <w:r>
        <w:rPr>
          <w:rFonts w:ascii="Times New Roman" w:cs="Times New Roman" w:eastAsia="Times New Roman" w:hAnsi="Times New Roman"/>
          <w:sz w:val="19"/>
          <w:szCs w:val="19"/>
          <w:color w:val="auto"/>
        </w:rPr>
        <w:t>The interest rate swaps were designated as fair value hedges at inception. 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See Note 9—Debt for further details.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consolidated statements of operations.</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Treasury Locks</w:t>
      </w:r>
    </w:p>
    <w:p>
      <w:pPr>
        <w:spacing w:after="0" w:line="251" w:lineRule="exact"/>
        <w:rPr>
          <w:sz w:val="20"/>
          <w:szCs w:val="20"/>
          <w:color w:val="auto"/>
        </w:rPr>
      </w:pPr>
    </w:p>
    <w:p>
      <w:pPr>
        <w:jc w:val="both"/>
        <w:ind w:left="100" w:right="40" w:firstLine="720"/>
        <w:spacing w:after="0" w:line="261" w:lineRule="auto"/>
        <w:rPr>
          <w:sz w:val="20"/>
          <w:szCs w:val="20"/>
          <w:color w:val="auto"/>
        </w:rPr>
      </w:pPr>
      <w:r>
        <w:rPr>
          <w:rFonts w:ascii="Times New Roman" w:cs="Times New Roman" w:eastAsia="Times New Roman" w:hAnsi="Times New Roman"/>
          <w:sz w:val="20"/>
          <w:szCs w:val="20"/>
          <w:color w:val="auto"/>
        </w:rPr>
        <w:t>During the second quarter of 2024, the Company entered into certain treasury lock contracts to reduce the forecasted interest rate risk associated with the issuance of the April 2024 Notes. The treasury locks were terminated and settled upon issuance of the April 2024 Notes with a loss of $25 million recognized in the caption “Gain (loss) on derivative instruments, net” on the consolidated statement of operations for the year ended December 31, 2024.</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Balance Sheet Offsetting of Derivative Assets and Liabilities</w:t>
      </w:r>
    </w:p>
    <w:p>
      <w:pPr>
        <w:spacing w:after="0" w:line="256" w:lineRule="exact"/>
        <w:rPr>
          <w:sz w:val="20"/>
          <w:szCs w:val="20"/>
          <w:color w:val="auto"/>
        </w:rPr>
      </w:pPr>
    </w:p>
    <w:p>
      <w:pPr>
        <w:jc w:val="both"/>
        <w:ind w:left="100" w:right="40" w:firstLine="720"/>
        <w:spacing w:after="0" w:line="262" w:lineRule="auto"/>
        <w:rPr>
          <w:sz w:val="20"/>
          <w:szCs w:val="20"/>
          <w:color w:val="auto"/>
        </w:rPr>
      </w:pPr>
      <w:r>
        <w:rPr>
          <w:rFonts w:ascii="Times New Roman" w:cs="Times New Roman" w:eastAsia="Times New Roman" w:hAnsi="Times New Roman"/>
          <w:sz w:val="20"/>
          <w:szCs w:val="20"/>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14—Fair Value Measurements for further details.</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Gains and Losses on Derivative Instruments</w:t>
      </w:r>
    </w:p>
    <w:p>
      <w:pPr>
        <w:spacing w:after="0" w:line="256" w:lineRule="exact"/>
        <w:rPr>
          <w:sz w:val="20"/>
          <w:szCs w:val="20"/>
          <w:color w:val="auto"/>
        </w:rPr>
      </w:pPr>
    </w:p>
    <w:p>
      <w:pPr>
        <w:jc w:val="both"/>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The following table summarizes the gains and losses on derivative instruments included in the consolidated statements of operations: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4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Gain (loss) on derivative instruments, net:</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8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84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83"/>
              </w:rPr>
              <w:t xml:space="preserve">Commodity contracts </w:t>
            </w:r>
            <w:r>
              <w:rPr>
                <w:rFonts w:ascii="Times New Roman" w:cs="Times New Roman" w:eastAsia="Times New Roman" w:hAnsi="Times New Roman"/>
                <w:sz w:val="20"/>
                <w:szCs w:val="20"/>
                <w:color w:val="B3B3B3"/>
                <w:w w:val="83"/>
              </w:rPr>
              <w:t>.........................................................................</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8"/>
              </w:rPr>
              <w:t xml:space="preserve">Interest rate swaps </w:t>
            </w:r>
            <w:r>
              <w:rPr>
                <w:rFonts w:ascii="Times New Roman" w:cs="Times New Roman" w:eastAsia="Times New Roman" w:hAnsi="Times New Roman"/>
                <w:sz w:val="20"/>
                <w:szCs w:val="20"/>
                <w:color w:val="B3B3B3"/>
                <w:w w:val="98"/>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9"/>
              </w:rPr>
              <w:t>2026 WTI Contingent Liability</w:t>
            </w:r>
            <w:r>
              <w:rPr>
                <w:rFonts w:ascii="Times New Roman" w:cs="Times New Roman" w:eastAsia="Times New Roman" w:hAnsi="Times New Roman"/>
                <w:sz w:val="20"/>
                <w:szCs w:val="20"/>
                <w:color w:val="B3B3B3"/>
                <w:w w:val="99"/>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56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8"/>
              </w:rPr>
              <w:t xml:space="preserve">Treasury locks </w:t>
            </w:r>
            <w:r>
              <w:rPr>
                <w:rFonts w:ascii="Times New Roman" w:cs="Times New Roman" w:eastAsia="Times New Roman" w:hAnsi="Times New Roman"/>
                <w:sz w:val="20"/>
                <w:szCs w:val="20"/>
                <w:color w:val="B3B3B3"/>
                <w:w w:val="98"/>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4"/>
        </w:trPr>
        <w:tc>
          <w:tcPr>
            <w:tcW w:w="6640" w:type="dxa"/>
            <w:vAlign w:val="bottom"/>
            <w:gridSpan w:val="5"/>
          </w:tcPr>
          <w:p>
            <w:pPr>
              <w:jc w:val="right"/>
              <w:ind w:right="920"/>
              <w:spacing w:after="0" w:line="194"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16"/>
                <w:szCs w:val="16"/>
                <w:color w:val="auto"/>
              </w:rPr>
            </w:pPr>
          </w:p>
        </w:tc>
        <w:tc>
          <w:tcPr>
            <w:tcW w:w="280" w:type="dxa"/>
            <w:vAlign w:val="bottom"/>
            <w:gridSpan w:val="4"/>
          </w:tcPr>
          <w:p>
            <w:pPr>
              <w:jc w:val="right"/>
              <w:ind w:right="40"/>
              <w:spacing w:after="0" w:line="19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auto"/>
              </w:rPr>
              <w:t>(259)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(586)</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received (paid) on settlements:</w:t>
            </w:r>
          </w:p>
        </w:tc>
        <w:tc>
          <w:tcPr>
            <w:tcW w:w="8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0"/>
        </w:trPr>
        <w:tc>
          <w:tcPr>
            <w:tcW w:w="4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840" w:type="dxa"/>
            <w:vAlign w:val="bottom"/>
          </w:tcPr>
          <w:p>
            <w:pPr>
              <w:ind w:left="380"/>
              <w:spacing w:after="0" w:line="266" w:lineRule="exact"/>
              <w:rPr>
                <w:sz w:val="20"/>
                <w:szCs w:val="20"/>
                <w:color w:val="auto"/>
              </w:rPr>
            </w:pPr>
            <w:r>
              <w:rPr>
                <w:rFonts w:ascii="Times New Roman" w:cs="Times New Roman" w:eastAsia="Times New Roman" w:hAnsi="Times New Roman"/>
                <w:sz w:val="20"/>
                <w:szCs w:val="20"/>
                <w:color w:val="auto"/>
                <w:w w:val="81"/>
              </w:rPr>
              <w:t>Commodity contracts</w:t>
            </w:r>
            <w:r>
              <w:rPr>
                <w:rFonts w:ascii="Times New Roman" w:cs="Times New Roman" w:eastAsia="Times New Roman" w:hAnsi="Times New Roman"/>
                <w:sz w:val="25"/>
                <w:szCs w:val="25"/>
                <w:color w:val="auto"/>
                <w:w w:val="81"/>
                <w:vertAlign w:val="superscript"/>
              </w:rPr>
              <w:t>(2)</w:t>
            </w:r>
            <w:r>
              <w:rPr>
                <w:rFonts w:ascii="Times New Roman" w:cs="Times New Roman" w:eastAsia="Times New Roman" w:hAnsi="Times New Roman"/>
                <w:sz w:val="20"/>
                <w:szCs w:val="20"/>
                <w:color w:val="auto"/>
                <w:w w:val="81"/>
              </w:rPr>
              <w:t xml:space="preserve"> </w:t>
            </w:r>
            <w:r>
              <w:rPr>
                <w:rFonts w:ascii="Times New Roman" w:cs="Times New Roman" w:eastAsia="Times New Roman" w:hAnsi="Times New Roman"/>
                <w:sz w:val="20"/>
                <w:szCs w:val="20"/>
                <w:color w:val="B3B3B3"/>
                <w:w w:val="81"/>
              </w:rPr>
              <w:t>......................................................................</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3"/>
                <w:szCs w:val="23"/>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80" w:type="dxa"/>
            <w:vAlign w:val="bottom"/>
            <w:gridSpan w:val="2"/>
          </w:tcPr>
          <w:p>
            <w:pPr>
              <w:jc w:val="right"/>
              <w:spacing w:after="0" w:line="257" w:lineRule="exact"/>
              <w:rPr>
                <w:sz w:val="20"/>
                <w:szCs w:val="20"/>
                <w:color w:val="auto"/>
              </w:rPr>
            </w:pPr>
            <w:r>
              <w:rPr>
                <w:rFonts w:ascii="Times New Roman" w:cs="Times New Roman" w:eastAsia="Times New Roman" w:hAnsi="Times New Roman"/>
                <w:sz w:val="20"/>
                <w:szCs w:val="20"/>
                <w:color w:val="auto"/>
              </w:rPr>
              <w:t>Interest rate swaps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Treasury locks </w:t>
            </w:r>
            <w:r>
              <w:rPr>
                <w:rFonts w:ascii="Times New Roman" w:cs="Times New Roman" w:eastAsia="Times New Roman" w:hAnsi="Times New Roman"/>
                <w:sz w:val="20"/>
                <w:szCs w:val="20"/>
                <w:color w:val="B3B3B3"/>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2"/>
        </w:trPr>
        <w:tc>
          <w:tcPr>
            <w:tcW w:w="56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40" w:type="dxa"/>
            <w:vAlign w:val="bottom"/>
            <w:gridSpan w:val="2"/>
          </w:tcPr>
          <w:p>
            <w:pPr>
              <w:spacing w:after="0"/>
              <w:rPr>
                <w:sz w:val="16"/>
                <w:szCs w:val="16"/>
                <w:color w:val="auto"/>
              </w:rPr>
            </w:pPr>
          </w:p>
        </w:tc>
        <w:tc>
          <w:tcPr>
            <w:tcW w:w="920" w:type="dxa"/>
            <w:vAlign w:val="bottom"/>
            <w:tcBorders>
              <w:top w:val="single" w:sz="8" w:color="auto"/>
            </w:tcBorders>
          </w:tcPr>
          <w:p>
            <w:pPr>
              <w:jc w:val="right"/>
              <w:ind w:right="700"/>
              <w:spacing w:after="0" w:line="192" w:lineRule="exact"/>
              <w:rPr>
                <w:sz w:val="20"/>
                <w:szCs w:val="20"/>
                <w:color w:val="auto"/>
              </w:rPr>
            </w:pPr>
            <w:r>
              <w:rPr>
                <w:rFonts w:ascii="Times New Roman" w:cs="Times New Roman" w:eastAsia="Times New Roman" w:hAnsi="Times New Roman"/>
                <w:sz w:val="20"/>
                <w:szCs w:val="20"/>
                <w:color w:val="auto"/>
                <w:w w:val="99"/>
              </w:rPr>
              <w:t>$</w:t>
            </w:r>
          </w:p>
        </w:tc>
        <w:tc>
          <w:tcPr>
            <w:tcW w:w="440" w:type="dxa"/>
            <w:vAlign w:val="bottom"/>
            <w:tcBorders>
              <w:top w:val="single" w:sz="8" w:color="auto"/>
            </w:tcBorders>
            <w:gridSpan w:val="2"/>
          </w:tcPr>
          <w:p>
            <w:pPr>
              <w:jc w:val="right"/>
              <w:ind w:right="20"/>
              <w:spacing w:after="0" w:line="192" w:lineRule="exact"/>
              <w:rPr>
                <w:sz w:val="20"/>
                <w:szCs w:val="20"/>
                <w:color w:val="auto"/>
              </w:rPr>
            </w:pPr>
            <w:r>
              <w:rPr>
                <w:rFonts w:ascii="Times New Roman" w:cs="Times New Roman" w:eastAsia="Times New Roman" w:hAnsi="Times New Roman"/>
                <w:sz w:val="20"/>
                <w:szCs w:val="20"/>
                <w:color w:val="auto"/>
              </w:rPr>
              <w:t>(51)</w:t>
            </w:r>
          </w:p>
        </w:tc>
        <w:tc>
          <w:tcPr>
            <w:tcW w:w="280" w:type="dxa"/>
            <w:vAlign w:val="bottom"/>
            <w:tcBorders>
              <w:top w:val="single" w:sz="8" w:color="auto"/>
            </w:tcBorders>
            <w:gridSpan w:val="4"/>
          </w:tcPr>
          <w:p>
            <w:pPr>
              <w:jc w:val="right"/>
              <w:ind w:right="40"/>
              <w:spacing w:after="0" w:line="192"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top w:val="single" w:sz="8" w:color="auto"/>
            </w:tcBorders>
            <w:gridSpan w:val="2"/>
          </w:tcPr>
          <w:p>
            <w:pPr>
              <w:jc w:val="right"/>
              <w:ind w:right="40"/>
              <w:spacing w:after="0" w:line="192" w:lineRule="exact"/>
              <w:rPr>
                <w:sz w:val="20"/>
                <w:szCs w:val="20"/>
                <w:color w:val="auto"/>
              </w:rPr>
            </w:pPr>
            <w:r>
              <w:rPr>
                <w:rFonts w:ascii="Times New Roman" w:cs="Times New Roman" w:eastAsia="Times New Roman" w:hAnsi="Times New Roman"/>
                <w:sz w:val="20"/>
                <w:szCs w:val="20"/>
                <w:color w:val="auto"/>
              </w:rPr>
              <w:t>(110)</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2"/>
          </w:tcPr>
          <w:p>
            <w:pPr>
              <w:jc w:val="right"/>
              <w:ind w:right="200"/>
              <w:spacing w:after="0" w:line="19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(850)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840" w:type="dxa"/>
            <w:vAlign w:val="bottom"/>
          </w:tcPr>
          <w:p>
            <w:pPr>
              <w:spacing w:after="0"/>
              <w:rPr>
                <w:sz w:val="3"/>
                <w:szCs w:val="3"/>
                <w:color w:val="auto"/>
              </w:rPr>
            </w:pPr>
          </w:p>
        </w:tc>
        <w:tc>
          <w:tcPr>
            <w:tcW w:w="84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color w:val="auto"/>
                <w:w w:val="86"/>
              </w:rPr>
              <w:t>110</w:t>
            </w: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0"/>
        </w:trPr>
        <w:tc>
          <w:tcPr>
            <w:tcW w:w="48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20"/>
          </w:cols>
          <w:pgMar w:left="980" w:top="214" w:right="1040" w:bottom="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460" w:right="60" w:hanging="360"/>
        <w:spacing w:after="0" w:line="250" w:lineRule="auto"/>
        <w:tabs>
          <w:tab w:leader="none" w:pos="45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ended December 31, 2024 includes cash paid on interest rate swaps terminated prior to their contractual maturity of $37 million.</w:t>
      </w:r>
    </w:p>
    <w:p>
      <w:pPr>
        <w:ind w:left="460" w:right="40" w:hanging="359"/>
        <w:spacing w:after="0" w:line="286" w:lineRule="auto"/>
        <w:tabs>
          <w:tab w:leader="none" w:pos="45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 ended December 31, 2022 includes cash paid on commodity contracts terminated prior to their contractual maturity of $138 million.</w:t>
      </w:r>
    </w:p>
    <w:p>
      <w:pPr>
        <w:spacing w:after="0" w:line="164" w:lineRule="exact"/>
        <w:rPr>
          <w:rFonts w:ascii="Times New Roman" w:cs="Times New Roman" w:eastAsia="Times New Roman" w:hAnsi="Times New Roman"/>
          <w:sz w:val="20"/>
          <w:szCs w:val="20"/>
          <w:color w:val="auto"/>
        </w:rPr>
      </w:pPr>
    </w:p>
    <w:p>
      <w:pPr>
        <w:ind w:left="820" w:hanging="718"/>
        <w:spacing w:after="0"/>
        <w:tabs>
          <w:tab w:leader="none" w:pos="820" w:val="left"/>
        </w:tabs>
        <w:numPr>
          <w:ilvl w:val="1"/>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202" w:lineRule="exact"/>
        <w:rPr>
          <w:sz w:val="20"/>
          <w:szCs w:val="20"/>
          <w:color w:val="auto"/>
        </w:rPr>
      </w:pPr>
    </w:p>
    <w:p>
      <w:pPr>
        <w:jc w:val="both"/>
        <w:ind w:left="820"/>
        <w:spacing w:after="0" w:line="289" w:lineRule="auto"/>
        <w:rPr>
          <w:sz w:val="20"/>
          <w:szCs w:val="20"/>
          <w:color w:val="auto"/>
        </w:rPr>
      </w:pPr>
      <w:r>
        <w:rPr>
          <w:rFonts w:ascii="Times New Roman" w:cs="Times New Roman" w:eastAsia="Times New Roman" w:hAnsi="Times New Roman"/>
          <w:sz w:val="20"/>
          <w:szCs w:val="20"/>
          <w:color w:val="auto"/>
        </w:rPr>
        <w:t>Level 1 - Observable inputs that reflect unadjusted quoted prices for identical assets or liabilities in active markets as of the reporting date.</w:t>
      </w:r>
    </w:p>
    <w:p>
      <w:pPr>
        <w:spacing w:after="0" w:line="164" w:lineRule="exact"/>
        <w:rPr>
          <w:sz w:val="20"/>
          <w:szCs w:val="20"/>
          <w:color w:val="auto"/>
        </w:rPr>
      </w:pPr>
    </w:p>
    <w:p>
      <w:pPr>
        <w:jc w:val="both"/>
        <w:ind w:left="820"/>
        <w:spacing w:after="0" w:line="269" w:lineRule="auto"/>
        <w:rPr>
          <w:sz w:val="20"/>
          <w:szCs w:val="20"/>
          <w:color w:val="auto"/>
        </w:rPr>
      </w:pPr>
      <w:r>
        <w:rPr>
          <w:rFonts w:ascii="Times New Roman" w:cs="Times New Roman" w:eastAsia="Times New Roman" w:hAnsi="Times New Roman"/>
          <w:sz w:val="20"/>
          <w:szCs w:val="20"/>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87"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20"/>
          <w:szCs w:val="20"/>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Financial assets and liabilities are classified based on the lowest level of input that is significant to the fair value measurement.</w:t>
      </w:r>
    </w:p>
    <w:p>
      <w:pPr>
        <w:spacing w:after="0" w:line="166"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See Note 4—Acquisitions and Divestitures and Note 5—Endeavor Energy Resources, LP Acquisition for discussion of the fair values of proved oil and natural gas properties assumed in business combinations.</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Assets and Liabilities Measured at Fair Value on a Recurring Basis</w:t>
      </w:r>
    </w:p>
    <w:p>
      <w:pPr>
        <w:spacing w:after="0" w:line="258"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Certain assets and liabilities are reported at fair value on a recurring basis, including the Company’s commodity derivative instruments, interest rate swaps, and investments in the common stock of other entities.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are determined based on inputs that are readily available in public markets, are determined based on inputs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consolidated balance sheets. The net amounts of derivative instruments are classified as current or noncurrent based on their anticipated settlement dates. The Company has an immaterial investment in the Class A common stock of Verde Clean Fuels, Inc. The Company elected the fair value option for measuring the fair value of this equity investment. The investment is reported at fair value using observable, quoted stock prices and is included in “Other assets” on the Company’s consolidated balance sheet at December 31, 2024.</w:t>
      </w:r>
    </w:p>
    <w:p>
      <w:pPr>
        <w:spacing w:after="0" w:line="216"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Viper LLC has an immaterial contingent liability that is reported at fair value using observable market data inputs and a Monte Carlo pricing model, which are considered Level 2 inputs within the fair value hierarchy. The 2026 WTI Contingent Liability is recorded in “Other long-term liabilities” on the Company’s consolidated balance sheets at December 31, 2024, with the change in fair value being recognized in “Gain (loss) on derivative instruments, net” on the Company’s consolidated statements of operations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180"/>
          </w:cols>
          <w:pgMar w:left="980" w:top="214" w:right="1080"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3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60" w:firstLine="720"/>
        <w:spacing w:after="0" w:line="261" w:lineRule="auto"/>
        <w:rPr>
          <w:sz w:val="20"/>
          <w:szCs w:val="20"/>
          <w:color w:val="auto"/>
        </w:rPr>
      </w:pPr>
      <w:r>
        <w:rPr>
          <w:rFonts w:ascii="Times New Roman" w:cs="Times New Roman" w:eastAsia="Times New Roman" w:hAnsi="Times New Roman"/>
          <w:sz w:val="20"/>
          <w:szCs w:val="20"/>
          <w:color w:val="auto"/>
        </w:rPr>
        <w:t>The following table provides (i) fair value measurement information for financial assets and liabilities measured at fair value on a recurring basis, (ii) the gross amounts of recognized derivative assets and liabilities, (iii) the amounts offset under master netting arrangements with counterparties, and (iv) the resulting net amounts presented under the captions “Derivative instruments” in the Company’s consolidated balance sheets as of December 31, 2024 and December 31, 2023:</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69"/>
        </w:trPr>
        <w:tc>
          <w:tcPr>
            <w:tcW w:w="33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5"/>
          </w:tcPr>
          <w:p>
            <w:pPr>
              <w:jc w:val="center"/>
              <w:ind w:right="562"/>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3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Gross</w:t>
            </w:r>
          </w:p>
        </w:tc>
        <w:tc>
          <w:tcPr>
            <w:tcW w:w="14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3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Net Fair Value</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3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00" w:type="dxa"/>
            <w:vAlign w:val="bottom"/>
          </w:tcPr>
          <w:p>
            <w:pPr>
              <w:spacing w:after="0"/>
              <w:rPr>
                <w:sz w:val="15"/>
                <w:szCs w:val="15"/>
                <w:color w:val="auto"/>
              </w:rPr>
            </w:pPr>
          </w:p>
        </w:tc>
        <w:tc>
          <w:tcPr>
            <w:tcW w:w="720" w:type="dxa"/>
            <w:vAlign w:val="bottom"/>
            <w:vMerge w:val="restart"/>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0" w:type="dxa"/>
            <w:vAlign w:val="bottom"/>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Offset in</w:t>
            </w:r>
          </w:p>
        </w:tc>
        <w:tc>
          <w:tcPr>
            <w:tcW w:w="14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Presented in</w:t>
            </w:r>
          </w:p>
        </w:tc>
        <w:tc>
          <w:tcPr>
            <w:tcW w:w="0" w:type="dxa"/>
            <w:vAlign w:val="bottom"/>
          </w:tcPr>
          <w:p>
            <w:pPr>
              <w:spacing w:after="0"/>
              <w:rPr>
                <w:sz w:val="1"/>
                <w:szCs w:val="1"/>
                <w:color w:val="auto"/>
              </w:rPr>
            </w:pPr>
          </w:p>
        </w:tc>
      </w:tr>
      <w:tr>
        <w:trPr>
          <w:trHeight w:val="238"/>
        </w:trPr>
        <w:tc>
          <w:tcPr>
            <w:tcW w:w="33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20"/>
                <w:szCs w:val="20"/>
                <w:color w:val="auto"/>
              </w:rPr>
            </w:pPr>
          </w:p>
        </w:tc>
        <w:tc>
          <w:tcPr>
            <w:tcW w:w="12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0" w:type="dxa"/>
            <w:vAlign w:val="bottom"/>
          </w:tcPr>
          <w:p>
            <w:pPr>
              <w:spacing w:after="0"/>
              <w:rPr>
                <w:sz w:val="1"/>
                <w:szCs w:val="1"/>
                <w:color w:val="auto"/>
              </w:rPr>
            </w:pPr>
          </w:p>
        </w:tc>
      </w:tr>
      <w:tr>
        <w:trPr>
          <w:trHeight w:val="266"/>
        </w:trPr>
        <w:tc>
          <w:tcPr>
            <w:tcW w:w="3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16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40" w:type="dxa"/>
            <w:vAlign w:val="bottom"/>
            <w:tcBorders>
              <w:right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4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20"/>
                <w:szCs w:val="20"/>
                <w:color w:val="auto"/>
              </w:rPr>
              <w:t>Current assets- Derivative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3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3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w w:val="98"/>
              </w:rPr>
              <w:t xml:space="preserve">Commodity derivative instruments </w:t>
            </w:r>
            <w:r>
              <w:rPr>
                <w:rFonts w:ascii="Times New Roman" w:cs="Times New Roman" w:eastAsia="Times New Roman" w:hAnsi="Times New Roman"/>
                <w:sz w:val="20"/>
                <w:szCs w:val="20"/>
                <w:color w:val="B3B3B3"/>
                <w:w w:val="98"/>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34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20"/>
                <w:szCs w:val="20"/>
                <w:color w:val="auto"/>
              </w:rPr>
              <w:t>Non-current assets- Derivative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3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33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w w:val="98"/>
              </w:rPr>
              <w:t xml:space="preserve">Commodity derivative instruments </w:t>
            </w:r>
            <w:r>
              <w:rPr>
                <w:rFonts w:ascii="Times New Roman" w:cs="Times New Roman" w:eastAsia="Times New Roman" w:hAnsi="Times New Roman"/>
                <w:sz w:val="20"/>
                <w:szCs w:val="20"/>
                <w:color w:val="B3B3B3"/>
                <w:w w:val="98"/>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Non-current assets- Other assets: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w w:val="98"/>
              </w:rPr>
              <w:t xml:space="preserve">Investment </w:t>
            </w:r>
            <w:r>
              <w:rPr>
                <w:rFonts w:ascii="Times New Roman" w:cs="Times New Roman" w:eastAsia="Times New Roman" w:hAnsi="Times New Roman"/>
                <w:sz w:val="20"/>
                <w:szCs w:val="20"/>
                <w:color w:val="B3B3B3"/>
                <w:w w:val="98"/>
              </w:rPr>
              <w:t>.......................................</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340" w:type="dxa"/>
            <w:vAlign w:val="bottom"/>
          </w:tcPr>
          <w:p>
            <w:pPr>
              <w:ind w:left="220"/>
              <w:spacing w:after="0" w:line="207" w:lineRule="exact"/>
              <w:rPr>
                <w:sz w:val="20"/>
                <w:szCs w:val="20"/>
                <w:color w:val="auto"/>
              </w:rPr>
            </w:pPr>
            <w:r>
              <w:rPr>
                <w:rFonts w:ascii="Times New Roman" w:cs="Times New Roman" w:eastAsia="Times New Roman" w:hAnsi="Times New Roman"/>
                <w:sz w:val="20"/>
                <w:szCs w:val="20"/>
                <w:color w:val="auto"/>
              </w:rPr>
              <w:t>Current liabilities- Derivative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358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 xml:space="preserve">Commodity derivative instruments </w:t>
            </w: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34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7"/>
              </w:rPr>
              <w:t xml:space="preserve">Interest rate swaps </w:t>
            </w:r>
            <w:r>
              <w:rPr>
                <w:rFonts w:ascii="Times New Roman" w:cs="Times New Roman" w:eastAsia="Times New Roman" w:hAnsi="Times New Roman"/>
                <w:sz w:val="20"/>
                <w:szCs w:val="20"/>
                <w:color w:val="B3B3B3"/>
                <w:w w:val="97"/>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Non-current liabilities- Derivative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58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 xml:space="preserve">Commodity derivative instruments </w:t>
            </w: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3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 xml:space="preserve">Interest rate swaps </w:t>
            </w:r>
            <w:r>
              <w:rPr>
                <w:rFonts w:ascii="Times New Roman" w:cs="Times New Roman" w:eastAsia="Times New Roman" w:hAnsi="Times New Roman"/>
                <w:sz w:val="20"/>
                <w:szCs w:val="20"/>
                <w:color w:val="B3B3B3"/>
                <w:w w:val="98"/>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 current liabilities- Other long-</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term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3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7"/>
              </w:rPr>
              <w:t xml:space="preserve">2026 WTI Contingent Liability </w:t>
            </w:r>
            <w:r>
              <w:rPr>
                <w:rFonts w:ascii="Times New Roman" w:cs="Times New Roman" w:eastAsia="Times New Roman" w:hAnsi="Times New Roman"/>
                <w:sz w:val="20"/>
                <w:szCs w:val="20"/>
                <w:color w:val="B3B3B3"/>
                <w:w w:val="97"/>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980" w:top="214" w:right="1020" w:bottom="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77"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3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5"/>
          </w:tcPr>
          <w:p>
            <w:pPr>
              <w:jc w:val="center"/>
              <w:ind w:right="563"/>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Gross</w:t>
            </w:r>
          </w:p>
        </w:tc>
        <w:tc>
          <w:tcPr>
            <w:tcW w:w="14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Gross Amounts</w:t>
            </w:r>
          </w:p>
        </w:tc>
        <w:tc>
          <w:tcPr>
            <w:tcW w:w="13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Net Fair Value</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6"/>
                <w:szCs w:val="16"/>
                <w:color w:val="auto"/>
              </w:rPr>
            </w:pPr>
          </w:p>
        </w:tc>
        <w:tc>
          <w:tcPr>
            <w:tcW w:w="740" w:type="dxa"/>
            <w:vAlign w:val="bottom"/>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6"/>
                <w:szCs w:val="16"/>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63"/>
              <w:spacing w:after="0" w:line="190" w:lineRule="exact"/>
              <w:rPr>
                <w:sz w:val="20"/>
                <w:szCs w:val="20"/>
                <w:color w:val="auto"/>
              </w:rPr>
            </w:pPr>
            <w:r>
              <w:rPr>
                <w:rFonts w:ascii="Times New Roman" w:cs="Times New Roman" w:eastAsia="Times New Roman" w:hAnsi="Times New Roman"/>
                <w:sz w:val="18"/>
                <w:szCs w:val="18"/>
                <w:b w:val="1"/>
                <w:bCs w:val="1"/>
                <w:color w:val="auto"/>
                <w:w w:val="99"/>
              </w:rPr>
              <w:t>Offset in</w:t>
            </w:r>
          </w:p>
        </w:tc>
        <w:tc>
          <w:tcPr>
            <w:tcW w:w="140" w:type="dxa"/>
            <w:vAlign w:val="bottom"/>
          </w:tcPr>
          <w:p>
            <w:pPr>
              <w:spacing w:after="0"/>
              <w:rPr>
                <w:sz w:val="16"/>
                <w:szCs w:val="16"/>
                <w:color w:val="auto"/>
              </w:rPr>
            </w:pPr>
          </w:p>
        </w:tc>
        <w:tc>
          <w:tcPr>
            <w:tcW w:w="1220" w:type="dxa"/>
            <w:vAlign w:val="bottom"/>
          </w:tcPr>
          <w:p>
            <w:pPr>
              <w:jc w:val="center"/>
              <w:ind w:right="63"/>
              <w:spacing w:after="0" w:line="190" w:lineRule="exact"/>
              <w:rPr>
                <w:sz w:val="20"/>
                <w:szCs w:val="20"/>
                <w:color w:val="auto"/>
              </w:rPr>
            </w:pPr>
            <w:r>
              <w:rPr>
                <w:rFonts w:ascii="Times New Roman" w:cs="Times New Roman" w:eastAsia="Times New Roman" w:hAnsi="Times New Roman"/>
                <w:sz w:val="18"/>
                <w:szCs w:val="18"/>
                <w:b w:val="1"/>
                <w:bCs w:val="1"/>
                <w:color w:val="auto"/>
                <w:w w:val="98"/>
              </w:rPr>
              <w:t>Presented in</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0" w:type="dxa"/>
            <w:vAlign w:val="bottom"/>
          </w:tcPr>
          <w:p>
            <w:pPr>
              <w:spacing w:after="0"/>
              <w:rPr>
                <w:sz w:val="1"/>
                <w:szCs w:val="1"/>
                <w:color w:val="auto"/>
              </w:rPr>
            </w:pPr>
          </w:p>
        </w:tc>
      </w:tr>
      <w:tr>
        <w:trPr>
          <w:trHeight w:val="248"/>
        </w:trPr>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4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assets- Derivative instruments: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Commodity derivative instruments</w:t>
            </w: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auto"/>
              </w:rPr>
              <w:t xml:space="preserve">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7"/>
        </w:trPr>
        <w:tc>
          <w:tcPr>
            <w:tcW w:w="3400" w:type="dxa"/>
            <w:vAlign w:val="bottom"/>
          </w:tcPr>
          <w:p>
            <w:pPr>
              <w:ind w:left="220"/>
              <w:spacing w:after="0" w:line="207" w:lineRule="exact"/>
              <w:rPr>
                <w:sz w:val="20"/>
                <w:szCs w:val="20"/>
                <w:color w:val="auto"/>
              </w:rPr>
            </w:pPr>
            <w:r>
              <w:rPr>
                <w:rFonts w:ascii="Times New Roman" w:cs="Times New Roman" w:eastAsia="Times New Roman" w:hAnsi="Times New Roman"/>
                <w:sz w:val="20"/>
                <w:szCs w:val="20"/>
                <w:color w:val="auto"/>
              </w:rPr>
              <w:t>Non-current assets- Derivative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56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Commodity derivative instruments</w:t>
            </w: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auto"/>
              </w:rPr>
              <w:t xml:space="preserve">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34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Non-current assets- Other assets: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Investment</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400" w:type="dxa"/>
            <w:vAlign w:val="bottom"/>
          </w:tcPr>
          <w:p>
            <w:pPr>
              <w:ind w:left="220"/>
              <w:spacing w:after="0" w:line="207" w:lineRule="exact"/>
              <w:rPr>
                <w:sz w:val="20"/>
                <w:szCs w:val="20"/>
                <w:color w:val="auto"/>
              </w:rPr>
            </w:pPr>
            <w:r>
              <w:rPr>
                <w:rFonts w:ascii="Times New Roman" w:cs="Times New Roman" w:eastAsia="Times New Roman" w:hAnsi="Times New Roman"/>
                <w:sz w:val="20"/>
                <w:szCs w:val="20"/>
                <w:color w:val="auto"/>
              </w:rPr>
              <w:t>Current liabilities- Derivative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Commodity derivative instruments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97"/>
        </w:trPr>
        <w:tc>
          <w:tcPr>
            <w:tcW w:w="3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rate swaps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7"/>
        </w:trPr>
        <w:tc>
          <w:tcPr>
            <w:tcW w:w="3400" w:type="dxa"/>
            <w:vAlign w:val="bottom"/>
          </w:tcPr>
          <w:p>
            <w:pPr>
              <w:ind w:left="220"/>
              <w:spacing w:after="0" w:line="207" w:lineRule="exact"/>
              <w:rPr>
                <w:sz w:val="20"/>
                <w:szCs w:val="20"/>
                <w:color w:val="auto"/>
              </w:rPr>
            </w:pPr>
            <w:r>
              <w:rPr>
                <w:rFonts w:ascii="Times New Roman" w:cs="Times New Roman" w:eastAsia="Times New Roman" w:hAnsi="Times New Roman"/>
                <w:sz w:val="20"/>
                <w:szCs w:val="20"/>
                <w:color w:val="auto"/>
              </w:rPr>
              <w:t>Non-current liabilities- Derivative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instruments: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Commodity derivative instruments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0"/>
        </w:trPr>
        <w:tc>
          <w:tcPr>
            <w:tcW w:w="3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rate swaps</w:t>
            </w:r>
            <w:r>
              <w:rPr>
                <w:rFonts w:ascii="Times New Roman" w:cs="Times New Roman" w:eastAsia="Times New Roman" w:hAnsi="Times New Roman"/>
                <w:sz w:val="20"/>
                <w:szCs w:val="20"/>
                <w:color w:val="B3B3B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Assets and Liabilities Not Recorded at Fair Value</w:t>
      </w:r>
    </w:p>
    <w:p>
      <w:pPr>
        <w:spacing w:after="0" w:line="256" w:lineRule="exact"/>
        <w:rPr>
          <w:sz w:val="20"/>
          <w:szCs w:val="20"/>
          <w:color w:val="auto"/>
        </w:rPr>
      </w:pPr>
    </w:p>
    <w:p>
      <w:pPr>
        <w:jc w:val="both"/>
        <w:ind w:left="100" w:right="60" w:firstLine="719"/>
        <w:spacing w:after="0" w:line="289" w:lineRule="auto"/>
        <w:rPr>
          <w:sz w:val="20"/>
          <w:szCs w:val="20"/>
          <w:color w:val="auto"/>
        </w:rPr>
      </w:pPr>
      <w:r>
        <w:rPr>
          <w:rFonts w:ascii="Times New Roman" w:cs="Times New Roman" w:eastAsia="Times New Roman" w:hAnsi="Times New Roman"/>
          <w:sz w:val="20"/>
          <w:szCs w:val="20"/>
          <w:color w:val="auto"/>
        </w:rPr>
        <w:t>The following table provides the fair value of financial instruments that are not recorded at fair value in the consolidated balance sheets:</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4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47"/>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25"/>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1"/>
        </w:trPr>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45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7"/>
        </w:trPr>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7"/>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Debt </w:t>
            </w:r>
            <w:r>
              <w:rPr>
                <w:rFonts w:ascii="Times New Roman" w:cs="Times New Roman" w:eastAsia="Times New Roman" w:hAnsi="Times New Roman"/>
                <w:sz w:val="20"/>
                <w:szCs w:val="20"/>
                <w:color w:val="B3B3B3"/>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12,975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12,564</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6,641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6,507</w:t>
            </w:r>
          </w:p>
        </w:tc>
      </w:tr>
    </w:tbl>
    <w:p>
      <w:pPr>
        <w:spacing w:after="0" w:line="282" w:lineRule="exact"/>
        <w:rPr>
          <w:sz w:val="20"/>
          <w:szCs w:val="20"/>
          <w:color w:val="auto"/>
        </w:rPr>
      </w:pPr>
    </w:p>
    <w:p>
      <w:pPr>
        <w:jc w:val="both"/>
        <w:ind w:left="100" w:firstLine="720"/>
        <w:spacing w:after="0" w:line="262" w:lineRule="auto"/>
        <w:rPr>
          <w:sz w:val="20"/>
          <w:szCs w:val="20"/>
          <w:color w:val="auto"/>
        </w:rPr>
      </w:pPr>
      <w:r>
        <w:rPr>
          <w:rFonts w:ascii="Times New Roman" w:cs="Times New Roman" w:eastAsia="Times New Roman" w:hAnsi="Times New Roman"/>
          <w:sz w:val="20"/>
          <w:szCs w:val="20"/>
          <w:color w:val="auto"/>
        </w:rPr>
        <w:t>The fair values of the Company’s credit agreement and Viper LLC’s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prices at each period end, a Level 1 classification in the fair value hierarchy.</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Assets and Liabilities Measured at Fair Value on a Nonrecurring Basis</w:t>
      </w:r>
    </w:p>
    <w:p>
      <w:pPr>
        <w:spacing w:after="0" w:line="258"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 lived assets that are written down to fair value when they are impaired or held for sale. Refer to Note 4—Acquisitions and Divestitures, Note 5—Endeavor Energy Resources, LP Acquisition and Note 6—Property and Equipment for additional discussion of nonrecurring fair value adjustments.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Fair Value of Financial Assets</w:t>
      </w:r>
    </w:p>
    <w:p>
      <w:pPr>
        <w:spacing w:after="0" w:line="25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carrying amount of cash and cash equivalents, receivables, prepaid expenses, other current assets, payables, other accrued liabilities and funds held in escrow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180"/>
          </w:cols>
          <w:pgMar w:left="980" w:top="214" w:right="1080" w:bottom="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820" w:hanging="720"/>
        <w:spacing w:after="0"/>
        <w:tabs>
          <w:tab w:leader="none" w:pos="8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INFORMATION TO STATEMENTS OF CASH FLOWS</w:t>
      </w:r>
    </w:p>
    <w:p>
      <w:pPr>
        <w:spacing w:after="0" w:line="34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41" w:lineRule="exact"/>
        <w:rPr>
          <w:sz w:val="20"/>
          <w:szCs w:val="20"/>
          <w:color w:val="auto"/>
        </w:rPr>
      </w:pPr>
    </w:p>
    <w:tbl>
      <w:tblPr>
        <w:tblLayout w:type="fixed"/>
        <w:tblInd w:w="180" w:type="dxa"/>
        <w:tblCellMar>
          <w:top w:w="0" w:type="dxa"/>
          <w:left w:w="0" w:type="dxa"/>
          <w:bottom w:w="0" w:type="dxa"/>
          <w:right w:w="0" w:type="dxa"/>
        </w:tblCellMar>
      </w:tblPr>
      <w:tr>
        <w:trPr>
          <w:trHeight w:val="244"/>
        </w:trPr>
        <w:tc>
          <w:tcPr>
            <w:tcW w:w="5960" w:type="dxa"/>
            <w:vAlign w:val="bottom"/>
          </w:tcPr>
          <w:p>
            <w:pPr>
              <w:spacing w:after="0"/>
              <w:rPr>
                <w:sz w:val="21"/>
                <w:szCs w:val="21"/>
                <w:color w:val="auto"/>
              </w:rPr>
            </w:pPr>
          </w:p>
        </w:tc>
        <w:tc>
          <w:tcPr>
            <w:tcW w:w="13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8"/>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6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69"/>
        </w:trPr>
        <w:tc>
          <w:tcPr>
            <w:tcW w:w="7280" w:type="dxa"/>
            <w:vAlign w:val="bottom"/>
            <w:gridSpan w:val="3"/>
          </w:tcPr>
          <w:p>
            <w:pPr>
              <w:jc w:val="right"/>
              <w:ind w:right="3460"/>
              <w:spacing w:after="0"/>
              <w:rPr>
                <w:sz w:val="20"/>
                <w:szCs w:val="20"/>
                <w:color w:val="auto"/>
              </w:rPr>
            </w:pPr>
            <w:r>
              <w:rPr>
                <w:rFonts w:ascii="Times New Roman" w:cs="Times New Roman" w:eastAsia="Times New Roman" w:hAnsi="Times New Roman"/>
                <w:sz w:val="18"/>
                <w:szCs w:val="18"/>
                <w:b w:val="1"/>
                <w:bCs w:val="1"/>
                <w:color w:val="auto"/>
                <w:w w:val="98"/>
              </w:rPr>
              <w:t>Supplemental disclosure of cash flow information:</w:t>
            </w: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66"/>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Interest paid, net of capitalized interest</w:t>
            </w:r>
            <w:r>
              <w:rPr>
                <w:rFonts w:ascii="Times New Roman" w:cs="Times New Roman" w:eastAsia="Times New Roman" w:hAnsi="Times New Roman"/>
                <w:sz w:val="20"/>
                <w:szCs w:val="20"/>
                <w:color w:val="B3B3B3"/>
                <w:w w:val="97"/>
              </w:rPr>
              <w:t>.................................................</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5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81"/>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Cash (paid) received for income taxes, net</w:t>
            </w:r>
            <w:r>
              <w:rPr>
                <w:rFonts w:ascii="Times New Roman" w:cs="Times New Roman" w:eastAsia="Times New Roman" w:hAnsi="Times New Roman"/>
                <w:sz w:val="20"/>
                <w:szCs w:val="20"/>
                <w:color w:val="B3B3B3"/>
                <w:w w:val="97"/>
              </w:rPr>
              <w:t>............................................</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5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0" w:type="dxa"/>
            <w:vAlign w:val="bottom"/>
          </w:tcPr>
          <w:p>
            <w:pPr>
              <w:spacing w:after="0"/>
              <w:rPr>
                <w:sz w:val="1"/>
                <w:szCs w:val="1"/>
                <w:color w:val="auto"/>
              </w:rPr>
            </w:pPr>
          </w:p>
        </w:tc>
      </w:tr>
      <w:tr>
        <w:trPr>
          <w:trHeight w:val="32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capital expenditures included in accounts payable and</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787</w:t>
            </w:r>
          </w:p>
        </w:tc>
        <w:tc>
          <w:tcPr>
            <w:tcW w:w="52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618</w:t>
            </w:r>
          </w:p>
        </w:tc>
        <w:tc>
          <w:tcPr>
            <w:tcW w:w="4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267"/>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6"/>
              </w:rPr>
              <w:t xml:space="preserve">accrued expenses </w:t>
            </w:r>
            <w:r>
              <w:rPr>
                <w:rFonts w:ascii="Times New Roman" w:cs="Times New Roman" w:eastAsia="Times New Roman" w:hAnsi="Times New Roman"/>
                <w:sz w:val="20"/>
                <w:szCs w:val="20"/>
                <w:color w:val="B3B3B3"/>
                <w:w w:val="96"/>
              </w:rPr>
              <w:t>...................................................................................</w:t>
            </w:r>
          </w:p>
        </w:tc>
        <w:tc>
          <w:tcPr>
            <w:tcW w:w="42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Capitalized stock-based compensation</w:t>
            </w:r>
            <w:r>
              <w:rPr>
                <w:rFonts w:ascii="Times New Roman" w:cs="Times New Roman" w:eastAsia="Times New Roman" w:hAnsi="Times New Roman"/>
                <w:sz w:val="20"/>
                <w:szCs w:val="20"/>
                <w:color w:val="B3B3B3"/>
                <w:w w:val="97"/>
              </w:rPr>
              <w: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30</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26</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00"/>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 xml:space="preserve">Common shares issued for acquisitions </w:t>
            </w:r>
            <w:r>
              <w:rPr>
                <w:rFonts w:ascii="Times New Roman" w:cs="Times New Roman" w:eastAsia="Times New Roman" w:hAnsi="Times New Roman"/>
                <w:sz w:val="20"/>
                <w:szCs w:val="20"/>
                <w:color w:val="B3B3B3"/>
                <w:w w:val="97"/>
              </w:rPr>
              <w: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20,110</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633</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0" w:type="dxa"/>
            <w:vAlign w:val="bottom"/>
          </w:tcPr>
          <w:p>
            <w:pPr>
              <w:spacing w:after="0"/>
              <w:rPr>
                <w:sz w:val="1"/>
                <w:szCs w:val="1"/>
                <w:color w:val="auto"/>
              </w:rPr>
            </w:pPr>
          </w:p>
        </w:tc>
      </w:tr>
      <w:tr>
        <w:trPr>
          <w:trHeight w:val="300"/>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 xml:space="preserve">Viper LLC's units issued for acquisition </w:t>
            </w:r>
            <w:r>
              <w:rPr>
                <w:rFonts w:ascii="Times New Roman" w:cs="Times New Roman" w:eastAsia="Times New Roman" w:hAnsi="Times New Roman"/>
                <w:sz w:val="20"/>
                <w:szCs w:val="20"/>
                <w:color w:val="B3B3B3"/>
                <w:w w:val="97"/>
              </w:rPr>
              <w: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468</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3"/>
        </w:trPr>
        <w:tc>
          <w:tcPr>
            <w:tcW w:w="5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 contributed in exchange for ownership interest in an equity</w:t>
            </w:r>
          </w:p>
        </w:tc>
        <w:tc>
          <w:tcPr>
            <w:tcW w:w="4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4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598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9"/>
              </w:rPr>
              <w:t xml:space="preserve">method investment </w:t>
            </w:r>
            <w:r>
              <w:rPr>
                <w:rFonts w:ascii="Times New Roman" w:cs="Times New Roman" w:eastAsia="Times New Roman" w:hAnsi="Times New Roman"/>
                <w:sz w:val="20"/>
                <w:szCs w:val="20"/>
                <w:color w:val="B3B3B3"/>
                <w:w w:val="99"/>
              </w:rPr>
              <w:t>................................................................................</w:t>
            </w:r>
          </w:p>
        </w:tc>
        <w:tc>
          <w:tcPr>
            <w:tcW w:w="42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980" w:type="dxa"/>
            <w:vAlign w:val="bottom"/>
          </w:tcPr>
          <w:p>
            <w:pPr>
              <w:jc w:val="center"/>
              <w:ind w:left="221"/>
              <w:spacing w:after="0"/>
              <w:rPr>
                <w:sz w:val="20"/>
                <w:szCs w:val="20"/>
                <w:color w:val="auto"/>
              </w:rPr>
            </w:pPr>
            <w:r>
              <w:rPr>
                <w:rFonts w:ascii="Times New Roman" w:cs="Times New Roman" w:eastAsia="Times New Roman" w:hAnsi="Times New Roman"/>
                <w:sz w:val="20"/>
                <w:szCs w:val="20"/>
                <w:color w:val="auto"/>
                <w:w w:val="97"/>
              </w:rPr>
              <w:t xml:space="preserve">Asset retirement obligations acquired </w:t>
            </w:r>
            <w:r>
              <w:rPr>
                <w:rFonts w:ascii="Times New Roman" w:cs="Times New Roman" w:eastAsia="Times New Roman" w:hAnsi="Times New Roman"/>
                <w:sz w:val="20"/>
                <w:szCs w:val="20"/>
                <w:color w:val="B3B3B3"/>
                <w:w w:val="97"/>
              </w:rPr>
              <w: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278</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Non-cash investing activities for the year ended December 31, 2024 include additions of $1.0 billion as a result of the TRP Exchange. See Note 4—Acquisitions and Divestitures for further discussion of the TRP Exchange.</w:t>
      </w:r>
    </w:p>
    <w:p>
      <w:pPr>
        <w:spacing w:after="0" w:line="158" w:lineRule="exact"/>
        <w:rPr>
          <w:sz w:val="20"/>
          <w:szCs w:val="20"/>
          <w:color w:val="auto"/>
        </w:rPr>
      </w:pPr>
    </w:p>
    <w:p>
      <w:pPr>
        <w:ind w:left="820" w:hanging="720"/>
        <w:spacing w:after="0"/>
        <w:tabs>
          <w:tab w:leader="none" w:pos="8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56" w:lineRule="exact"/>
        <w:rPr>
          <w:sz w:val="20"/>
          <w:szCs w:val="20"/>
          <w:color w:val="auto"/>
        </w:rPr>
      </w:pPr>
    </w:p>
    <w:p>
      <w:pPr>
        <w:jc w:val="both"/>
        <w:ind w:left="100" w:right="40" w:firstLine="720"/>
        <w:spacing w:after="0" w:line="252" w:lineRule="auto"/>
        <w:rPr>
          <w:sz w:val="20"/>
          <w:szCs w:val="20"/>
          <w:color w:val="auto"/>
        </w:rPr>
      </w:pPr>
      <w:r>
        <w:rPr>
          <w:rFonts w:ascii="Times New Roman" w:cs="Times New Roman" w:eastAsia="Times New Roman" w:hAnsi="Times New Roman"/>
          <w:sz w:val="20"/>
          <w:szCs w:val="20"/>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58" w:lineRule="exact"/>
        <w:rPr>
          <w:sz w:val="20"/>
          <w:szCs w:val="20"/>
          <w:color w:val="auto"/>
        </w:rPr>
      </w:pPr>
    </w:p>
    <w:p>
      <w:pPr>
        <w:jc w:val="both"/>
        <w:ind w:left="100" w:right="40" w:firstLine="720"/>
        <w:spacing w:after="0" w:line="286" w:lineRule="auto"/>
        <w:rPr>
          <w:sz w:val="20"/>
          <w:szCs w:val="20"/>
          <w:color w:val="auto"/>
        </w:rPr>
      </w:pPr>
      <w:r>
        <w:rPr>
          <w:rFonts w:ascii="Times New Roman" w:cs="Times New Roman" w:eastAsia="Times New Roman" w:hAnsi="Times New Roman"/>
          <w:sz w:val="20"/>
          <w:szCs w:val="20"/>
          <w:color w:val="auto"/>
        </w:rPr>
        <w:t>The following is a schedule of minimum future payments with commitments that have initial or remaining noncancellable terms in excess of one year as of December 31, 2024:</w:t>
      </w:r>
    </w:p>
    <w:p>
      <w:pPr>
        <w:spacing w:after="0" w:line="34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6"/>
              </w:rPr>
              <w:t>Transportation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restart"/>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restart"/>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Sand Supply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Produced Water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Electrical Power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5"/>
              </w:rPr>
              <w:t>Disposal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40" w:type="dxa"/>
            <w:vAlign w:val="bottom"/>
            <w:gridSpan w:val="3"/>
            <w:vMerge w:val="continue"/>
          </w:tcPr>
          <w:p>
            <w:pPr>
              <w:spacing w:after="0"/>
              <w:rPr>
                <w:sz w:val="20"/>
                <w:szCs w:val="20"/>
                <w:color w:val="auto"/>
              </w:rPr>
            </w:pPr>
          </w:p>
        </w:tc>
        <w:tc>
          <w:tcPr>
            <w:tcW w:w="1480" w:type="dxa"/>
            <w:vAlign w:val="bottom"/>
            <w:gridSpan w:val="2"/>
          </w:tcPr>
          <w:p>
            <w:pPr>
              <w:ind w:left="40"/>
              <w:spacing w:after="0" w:line="233" w:lineRule="exact"/>
              <w:rPr>
                <w:sz w:val="20"/>
                <w:szCs w:val="20"/>
                <w:color w:val="auto"/>
              </w:rPr>
            </w:pPr>
            <w:r>
              <w:rPr>
                <w:rFonts w:ascii="Times New Roman" w:cs="Times New Roman" w:eastAsia="Times New Roman" w:hAnsi="Times New Roman"/>
                <w:sz w:val="18"/>
                <w:szCs w:val="18"/>
                <w:b w:val="1"/>
                <w:bCs w:val="1"/>
                <w:color w:val="auto"/>
                <w:w w:val="97"/>
              </w:rPr>
              <w:t>Commitments</w:t>
            </w:r>
            <w:r>
              <w:rPr>
                <w:rFonts w:ascii="Times New Roman" w:cs="Times New Roman" w:eastAsia="Times New Roman" w:hAnsi="Times New Roman"/>
                <w:sz w:val="24"/>
                <w:szCs w:val="24"/>
                <w:b w:val="1"/>
                <w:bCs w:val="1"/>
                <w:color w:val="auto"/>
                <w:w w:val="97"/>
                <w:vertAlign w:val="superscript"/>
              </w:rPr>
              <w:t>(1)(2)</w:t>
            </w:r>
          </w:p>
        </w:tc>
        <w:tc>
          <w:tcPr>
            <w:tcW w:w="60" w:type="dxa"/>
            <w:vAlign w:val="bottom"/>
          </w:tcPr>
          <w:p>
            <w:pPr>
              <w:spacing w:after="0"/>
              <w:rPr>
                <w:sz w:val="20"/>
                <w:szCs w:val="20"/>
                <w:color w:val="auto"/>
              </w:rPr>
            </w:pPr>
          </w:p>
        </w:tc>
        <w:tc>
          <w:tcPr>
            <w:tcW w:w="1560" w:type="dxa"/>
            <w:vAlign w:val="bottom"/>
            <w:gridSpan w:val="2"/>
          </w:tcPr>
          <w:p>
            <w:pPr>
              <w:ind w:left="60"/>
              <w:spacing w:after="0" w:line="233" w:lineRule="exact"/>
              <w:rPr>
                <w:sz w:val="20"/>
                <w:szCs w:val="20"/>
                <w:color w:val="auto"/>
              </w:rPr>
            </w:pPr>
            <w:r>
              <w:rPr>
                <w:rFonts w:ascii="Times New Roman" w:cs="Times New Roman" w:eastAsia="Times New Roman" w:hAnsi="Times New Roman"/>
                <w:sz w:val="18"/>
                <w:szCs w:val="18"/>
                <w:b w:val="1"/>
                <w:bCs w:val="1"/>
                <w:color w:val="auto"/>
              </w:rPr>
              <w:t>Fracturing Fleet</w:t>
            </w:r>
            <w:r>
              <w:rPr>
                <w:rFonts w:ascii="Times New Roman" w:cs="Times New Roman" w:eastAsia="Times New Roman" w:hAnsi="Times New Roman"/>
                <w:sz w:val="24"/>
                <w:szCs w:val="24"/>
                <w:b w:val="1"/>
                <w:bCs w:val="1"/>
                <w:color w:val="auto"/>
                <w:vertAlign w:val="superscript"/>
              </w:rPr>
              <w:t>(3)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23"/>
              <w:spacing w:after="0" w:line="233" w:lineRule="exact"/>
              <w:rPr>
                <w:sz w:val="20"/>
                <w:szCs w:val="20"/>
                <w:color w:val="auto"/>
              </w:rPr>
            </w:pPr>
            <w:r>
              <w:rPr>
                <w:rFonts w:ascii="Times New Roman" w:cs="Times New Roman" w:eastAsia="Times New Roman" w:hAnsi="Times New Roman"/>
                <w:sz w:val="18"/>
                <w:szCs w:val="18"/>
                <w:b w:val="1"/>
                <w:bCs w:val="1"/>
                <w:color w:val="auto"/>
                <w:w w:val="98"/>
              </w:rPr>
              <w:t>Agreement</w:t>
            </w:r>
            <w:r>
              <w:rPr>
                <w:rFonts w:ascii="Times New Roman" w:cs="Times New Roman" w:eastAsia="Times New Roman" w:hAnsi="Times New Roman"/>
                <w:sz w:val="24"/>
                <w:szCs w:val="24"/>
                <w:b w:val="1"/>
                <w:bCs w:val="1"/>
                <w:color w:val="auto"/>
                <w:w w:val="98"/>
                <w:vertAlign w:val="superscript"/>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83"/>
              <w:spacing w:after="0" w:line="233" w:lineRule="exact"/>
              <w:rPr>
                <w:sz w:val="20"/>
                <w:szCs w:val="20"/>
                <w:color w:val="auto"/>
              </w:rPr>
            </w:pPr>
            <w:r>
              <w:rPr>
                <w:rFonts w:ascii="Times New Roman" w:cs="Times New Roman" w:eastAsia="Times New Roman" w:hAnsi="Times New Roman"/>
                <w:sz w:val="18"/>
                <w:szCs w:val="18"/>
                <w:b w:val="1"/>
                <w:bCs w:val="1"/>
                <w:color w:val="auto"/>
                <w:w w:val="95"/>
              </w:rPr>
              <w:t>Commitments</w:t>
            </w:r>
            <w:r>
              <w:rPr>
                <w:rFonts w:ascii="Times New Roman" w:cs="Times New Roman" w:eastAsia="Times New Roman" w:hAnsi="Times New Roman"/>
                <w:sz w:val="24"/>
                <w:szCs w:val="24"/>
                <w:b w:val="1"/>
                <w:bCs w:val="1"/>
                <w:color w:val="auto"/>
                <w:w w:val="95"/>
                <w:vertAlign w:val="superscript"/>
              </w:rPr>
              <w:t>(5)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02"/>
              <w:spacing w:after="0" w:line="233" w:lineRule="exact"/>
              <w:rPr>
                <w:sz w:val="20"/>
                <w:szCs w:val="20"/>
                <w:color w:val="auto"/>
              </w:rPr>
            </w:pPr>
            <w:r>
              <w:rPr>
                <w:rFonts w:ascii="Times New Roman" w:cs="Times New Roman" w:eastAsia="Times New Roman" w:hAnsi="Times New Roman"/>
                <w:sz w:val="18"/>
                <w:szCs w:val="18"/>
                <w:b w:val="1"/>
                <w:bCs w:val="1"/>
                <w:color w:val="auto"/>
                <w:w w:val="92"/>
              </w:rPr>
              <w:t>Agreements</w:t>
            </w:r>
            <w:r>
              <w:rPr>
                <w:rFonts w:ascii="Times New Roman" w:cs="Times New Roman" w:eastAsia="Times New Roman" w:hAnsi="Times New Roman"/>
                <w:sz w:val="24"/>
                <w:szCs w:val="24"/>
                <w:b w:val="1"/>
                <w:bCs w:val="1"/>
                <w:color w:val="auto"/>
                <w:w w:val="92"/>
                <w:vertAlign w:val="superscript"/>
              </w:rPr>
              <w:t>(6)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1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r>
              <w:rPr>
                <w:rFonts w:ascii="Times New Roman" w:cs="Times New Roman" w:eastAsia="Times New Roman" w:hAnsi="Times New Roman"/>
                <w:sz w:val="20"/>
                <w:szCs w:val="20"/>
                <w:color w:val="B3B3B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r>
              <w:rPr>
                <w:rFonts w:ascii="Times New Roman" w:cs="Times New Roman" w:eastAsia="Times New Roman" w:hAnsi="Times New Roman"/>
                <w:sz w:val="20"/>
                <w:szCs w:val="20"/>
                <w:color w:val="B3B3B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r>
              <w:rPr>
                <w:rFonts w:ascii="Times New Roman" w:cs="Times New Roman" w:eastAsia="Times New Roman" w:hAnsi="Times New Roman"/>
                <w:sz w:val="20"/>
                <w:szCs w:val="20"/>
                <w:color w:val="B3B3B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r>
              <w:rPr>
                <w:rFonts w:ascii="Times New Roman" w:cs="Times New Roman" w:eastAsia="Times New Roman" w:hAnsi="Times New Roman"/>
                <w:sz w:val="20"/>
                <w:szCs w:val="20"/>
                <w:color w:val="B3B3B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2029</w:t>
            </w:r>
            <w:r>
              <w:rPr>
                <w:rFonts w:ascii="Times New Roman" w:cs="Times New Roman" w:eastAsia="Times New Roman" w:hAnsi="Times New Roman"/>
                <w:sz w:val="20"/>
                <w:szCs w:val="20"/>
                <w:color w:val="B3B3B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Thereafter</w:t>
            </w:r>
            <w:r>
              <w:rPr>
                <w:rFonts w:ascii="Times New Roman" w:cs="Times New Roman" w:eastAsia="Times New Roman" w:hAnsi="Times New Roman"/>
                <w:sz w:val="20"/>
                <w:szCs w:val="20"/>
                <w:color w:val="B3B3B3"/>
              </w:rPr>
              <w:t>........................</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40" w:type="dxa"/>
            <w:vAlign w:val="bottom"/>
            <w:gridSpan w:val="3"/>
          </w:tcPr>
          <w:p>
            <w:pPr>
              <w:ind w:left="420"/>
              <w:spacing w:after="0" w:line="225"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140" w:type="dxa"/>
            <w:vAlign w:val="bottom"/>
          </w:tcPr>
          <w:p>
            <w:pPr>
              <w:ind w:left="2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2,839</w:t>
            </w:r>
          </w:p>
        </w:tc>
        <w:tc>
          <w:tcPr>
            <w:tcW w:w="60" w:type="dxa"/>
            <w:vAlign w:val="bottom"/>
          </w:tcPr>
          <w:p>
            <w:pPr>
              <w:spacing w:after="0"/>
              <w:rPr>
                <w:sz w:val="19"/>
                <w:szCs w:val="19"/>
                <w:color w:val="auto"/>
              </w:rPr>
            </w:pPr>
          </w:p>
        </w:tc>
        <w:tc>
          <w:tcPr>
            <w:tcW w:w="280" w:type="dxa"/>
            <w:vAlign w:val="bottom"/>
          </w:tcPr>
          <w:p>
            <w:pPr>
              <w:ind w:lef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199</w:t>
            </w:r>
          </w:p>
        </w:tc>
        <w:tc>
          <w:tcPr>
            <w:tcW w:w="100" w:type="dxa"/>
            <w:vAlign w:val="bottom"/>
            <w:gridSpan w:val="2"/>
          </w:tcPr>
          <w:p>
            <w:pPr>
              <w:spacing w:after="0"/>
              <w:rPr>
                <w:sz w:val="19"/>
                <w:szCs w:val="19"/>
                <w:color w:val="auto"/>
              </w:rPr>
            </w:pPr>
          </w:p>
        </w:tc>
        <w:tc>
          <w:tcPr>
            <w:tcW w:w="1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66</w:t>
            </w:r>
          </w:p>
        </w:tc>
        <w:tc>
          <w:tcPr>
            <w:tcW w:w="80" w:type="dxa"/>
            <w:vAlign w:val="bottom"/>
            <w:gridSpan w:val="2"/>
          </w:tcPr>
          <w:p>
            <w:pPr>
              <w:spacing w:after="0"/>
              <w:rPr>
                <w:sz w:val="19"/>
                <w:szCs w:val="19"/>
                <w:color w:val="auto"/>
              </w:rPr>
            </w:pPr>
          </w:p>
        </w:tc>
        <w:tc>
          <w:tcPr>
            <w:tcW w:w="1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37</w:t>
            </w:r>
          </w:p>
        </w:tc>
        <w:tc>
          <w:tcPr>
            <w:tcW w:w="60" w:type="dxa"/>
            <w:vAlign w:val="bottom"/>
            <w:gridSpan w:val="2"/>
          </w:tcPr>
          <w:p>
            <w:pPr>
              <w:spacing w:after="0"/>
              <w:rPr>
                <w:sz w:val="19"/>
                <w:szCs w:val="19"/>
                <w:color w:val="auto"/>
              </w:rPr>
            </w:pPr>
          </w:p>
        </w:tc>
        <w:tc>
          <w:tcPr>
            <w:tcW w:w="1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365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3"/>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220"/>
          </w:cols>
          <w:pgMar w:left="980" w:top="214" w:right="1040" w:bottom="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460" w:right="60" w:hanging="360"/>
        <w:spacing w:after="0" w:line="250" w:lineRule="auto"/>
        <w:tabs>
          <w:tab w:leader="none" w:pos="45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costs incurred under take-or-pay and throughput obligations were approximately $337 million, $266 million and $249 million in 2024, 2023 and 2022, respectively.</w:t>
      </w:r>
    </w:p>
    <w:p>
      <w:pPr>
        <w:jc w:val="both"/>
        <w:ind w:left="460" w:hanging="361"/>
        <w:spacing w:after="0" w:line="249" w:lineRule="auto"/>
        <w:tabs>
          <w:tab w:leader="none" w:pos="4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w:t>
      </w:r>
    </w:p>
    <w:p>
      <w:pPr>
        <w:spacing w:after="0" w:line="3" w:lineRule="exact"/>
        <w:rPr>
          <w:rFonts w:ascii="Times New Roman" w:cs="Times New Roman" w:eastAsia="Times New Roman" w:hAnsi="Times New Roman"/>
          <w:sz w:val="20"/>
          <w:szCs w:val="20"/>
          <w:color w:val="auto"/>
        </w:rPr>
      </w:pPr>
    </w:p>
    <w:p>
      <w:pPr>
        <w:ind w:left="460" w:hanging="361"/>
        <w:spacing w:after="0" w:line="250" w:lineRule="auto"/>
        <w:tabs>
          <w:tab w:leader="none" w:pos="4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the Company entered into commitments for three years for the Company’s electric fracturing fleet and related power generating services. Subsequently, certain commitments have been extended.</w:t>
      </w:r>
    </w:p>
    <w:p>
      <w:pPr>
        <w:jc w:val="both"/>
        <w:ind w:left="460" w:hanging="361"/>
        <w:spacing w:after="0" w:line="249" w:lineRule="auto"/>
        <w:tabs>
          <w:tab w:leader="none" w:pos="4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committed to purchase minimum quantities of sand for use in its drilling operations. Our failure to purchase the minimum level of quantities would require us to pay shortfall fees up to the commitment amounts included in the table above.</w:t>
      </w:r>
    </w:p>
    <w:p>
      <w:pPr>
        <w:spacing w:after="0" w:line="1" w:lineRule="exact"/>
        <w:rPr>
          <w:rFonts w:ascii="Times New Roman" w:cs="Times New Roman" w:eastAsia="Times New Roman" w:hAnsi="Times New Roman"/>
          <w:sz w:val="20"/>
          <w:szCs w:val="20"/>
          <w:color w:val="auto"/>
        </w:rPr>
      </w:pPr>
    </w:p>
    <w:p>
      <w:pPr>
        <w:ind w:left="460" w:hanging="361"/>
        <w:spacing w:after="0" w:line="249" w:lineRule="auto"/>
        <w:tabs>
          <w:tab w:leader="none" w:pos="4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 minimum volume commitment to purchase produced water disposal services under a 14 year agreement which began in 2021.</w:t>
      </w:r>
    </w:p>
    <w:p>
      <w:pPr>
        <w:ind w:left="460" w:hanging="361"/>
        <w:spacing w:after="0"/>
        <w:tabs>
          <w:tab w:leader="none" w:pos="4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fixed price contracts with various suppliers for the purchase of electrical power through 2032.</w:t>
      </w: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At December 31, 2024, the Company’s delivery commitments covered the following gross volumes of oil:</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220" w:type="dxa"/>
            <w:vAlign w:val="bottom"/>
            <w:vMerge w:val="restart"/>
          </w:tcPr>
          <w:p>
            <w:pPr>
              <w:jc w:val="right"/>
              <w:ind w:right="2982"/>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Oil Volume</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auto"/>
            </w:tcBorders>
            <w:vMerge w:val="continue"/>
          </w:tcPr>
          <w:p>
            <w:pPr>
              <w:spacing w:after="0"/>
              <w:rPr>
                <w:sz w:val="20"/>
                <w:szCs w:val="20"/>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 (Bbl/d)</w:t>
            </w:r>
          </w:p>
        </w:tc>
        <w:tc>
          <w:tcPr>
            <w:tcW w:w="0" w:type="dxa"/>
            <w:vAlign w:val="bottom"/>
          </w:tcPr>
          <w:p>
            <w:pPr>
              <w:spacing w:after="0"/>
              <w:rPr>
                <w:sz w:val="1"/>
                <w:szCs w:val="1"/>
                <w:color w:val="auto"/>
              </w:rPr>
            </w:pPr>
          </w:p>
        </w:tc>
      </w:tr>
      <w:tr>
        <w:trPr>
          <w:trHeight w:val="265"/>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 xml:space="preserve">2025  </w:t>
            </w:r>
            <w:r>
              <w:rPr>
                <w:rFonts w:ascii="Times New Roman" w:cs="Times New Roman" w:eastAsia="Times New Roman" w:hAnsi="Times New Roman"/>
                <w:sz w:val="20"/>
                <w:szCs w:val="20"/>
                <w:color w:val="B3B3B3"/>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 xml:space="preserve">2026  </w:t>
            </w:r>
            <w:r>
              <w:rPr>
                <w:rFonts w:ascii="Times New Roman" w:cs="Times New Roman" w:eastAsia="Times New Roman" w:hAnsi="Times New Roman"/>
                <w:sz w:val="20"/>
                <w:szCs w:val="20"/>
                <w:color w:val="B3B3B3"/>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 xml:space="preserve">2027  </w:t>
            </w:r>
            <w:r>
              <w:rPr>
                <w:rFonts w:ascii="Times New Roman" w:cs="Times New Roman" w:eastAsia="Times New Roman" w:hAnsi="Times New Roman"/>
                <w:sz w:val="20"/>
                <w:szCs w:val="20"/>
                <w:color w:val="B3B3B3"/>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 xml:space="preserve">2028  </w:t>
            </w:r>
            <w:r>
              <w:rPr>
                <w:rFonts w:ascii="Times New Roman" w:cs="Times New Roman" w:eastAsia="Times New Roman" w:hAnsi="Times New Roman"/>
                <w:sz w:val="20"/>
                <w:szCs w:val="20"/>
                <w:color w:val="B3B3B3"/>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99"/>
              </w:rPr>
              <w:t xml:space="preserve">2029  </w:t>
            </w:r>
            <w:r>
              <w:rPr>
                <w:rFonts w:ascii="Times New Roman" w:cs="Times New Roman" w:eastAsia="Times New Roman" w:hAnsi="Times New Roman"/>
                <w:sz w:val="20"/>
                <w:szCs w:val="20"/>
                <w:color w:val="B3B3B3"/>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Thereafter</w:t>
            </w:r>
            <w:r>
              <w:rPr>
                <w:rFonts w:ascii="Times New Roman" w:cs="Times New Roman" w:eastAsia="Times New Roman" w:hAnsi="Times New Roman"/>
                <w:sz w:val="20"/>
                <w:szCs w:val="20"/>
                <w:color w:val="B3B3B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20" w:type="dxa"/>
            <w:vAlign w:val="bottom"/>
          </w:tcPr>
          <w:p>
            <w:pPr>
              <w:jc w:val="right"/>
              <w:ind w:right="22"/>
              <w:spacing w:after="0" w:line="19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18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675,000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100" w:firstLine="720"/>
        <w:spacing w:after="0" w:line="286" w:lineRule="auto"/>
        <w:rPr>
          <w:sz w:val="20"/>
          <w:szCs w:val="20"/>
          <w:color w:val="auto"/>
        </w:rPr>
      </w:pPr>
      <w:r>
        <w:rPr>
          <w:rFonts w:ascii="Times New Roman" w:cs="Times New Roman" w:eastAsia="Times New Roman" w:hAnsi="Times New Roman"/>
          <w:sz w:val="20"/>
          <w:szCs w:val="20"/>
          <w:color w:val="auto"/>
        </w:rPr>
        <w:t>The Company and Five Point currently anticipate collectively contributing $500 million in follow-on capital to fund future growth projects and acquisitions.</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56"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spacing w:after="0" w:line="207"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 Although the Company cannot predict the ultimate outcome of these matters, the Company believes the claims lack merit and intends to continue vigorously defending these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180"/>
          </w:cols>
          <w:pgMar w:left="980" w:top="214" w:right="1080" w:bottom="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820" w:hanging="720"/>
        <w:spacing w:after="0"/>
        <w:tabs>
          <w:tab w:leader="none" w:pos="8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Fourth Quarter 2024 Dividend Declaration</w:t>
      </w:r>
    </w:p>
    <w:p>
      <w:pPr>
        <w:spacing w:after="0" w:line="256"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On February 21, 2025, the board of directors of the Company approved an increase in the Company’s annual base dividend to $4.00 per share of common stock and declared a cash base dividend for the fourth quarter of 2024 of $1.00 per share of common stock, payable on March 13, 2025 to its stockholders of record at the close of business on March 6, 2025. Future base and variable dividends are at the discretion of the board of directors of the Company.</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Pending Double Eagle Acquisition</w:t>
      </w:r>
    </w:p>
    <w:p>
      <w:pPr>
        <w:spacing w:after="0" w:line="256"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On February 14, 2025, the Company entered into a definitive securities purchase agreement with Double Eagle IV Midco, LCC (“Double Eagle”), to acquire all of the issued and outstanding interests of DE Permian, LLC, DE IV Combo, LLC, and DE IV Operating, LLC, each of which are wholly owned subsidiaries of Double Eagle (the “Double Eagle Acquisition”) for consideration of $3.0 billion in cash and approximately 6.9 million shares of the Company’s common stock, subject to customary adjustments. The pending Double Eagle Acquisition consists of approximately 67,700 gross (40,000 net) acres, which are primarily located in the Midland Basin, and approximately 407 gross (342 net) horizontal locations in primary development targets. The Company intends to fund the cash portion of the pending Double Eagle Acquisition through a combination of cash on hand, borrowings under the Company’s credit facility or proceeds from term loans and senior notes offerings. The pending Double Eagle Acquisition is expected to close in the second quarter of 2025, subject to the satisfaction of customary closing conditions and regulatory approval.</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Viper 2025 Equity Offering</w:t>
      </w:r>
    </w:p>
    <w:p>
      <w:pPr>
        <w:spacing w:after="0" w:line="241" w:lineRule="exact"/>
        <w:rPr>
          <w:sz w:val="20"/>
          <w:szCs w:val="20"/>
          <w:color w:val="auto"/>
        </w:rPr>
      </w:pPr>
    </w:p>
    <w:p>
      <w:pPr>
        <w:jc w:val="both"/>
        <w:ind w:left="100" w:firstLine="720"/>
        <w:spacing w:after="0" w:line="256" w:lineRule="auto"/>
        <w:rPr>
          <w:sz w:val="20"/>
          <w:szCs w:val="20"/>
          <w:color w:val="auto"/>
        </w:rPr>
      </w:pPr>
      <w:r>
        <w:rPr>
          <w:rFonts w:ascii="Times New Roman" w:cs="Times New Roman" w:eastAsia="Times New Roman" w:hAnsi="Times New Roman"/>
          <w:sz w:val="20"/>
          <w:szCs w:val="20"/>
          <w:color w:val="auto"/>
        </w:rPr>
        <w:t>On February 3, 2025, Viper completed an underwritten public offering of approximately 28.34 million shares of Viper’s Class A common stock, which included 3.70 million shares issued pursuant to an option to purchase additional shares of Viper’s Class A common stock granted to the underwriters, at a price to the public of $44.50 per share for total net proceeds of approximately $1.2 billion, after the underwriters’ discount and transaction costs (the “Viper 2025 Equity Offering”). The net proceeds will be used to fund a portion of the cash consideration for the pending 2025 Drop Down (defined below), if it closes.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Pending 2025 Drop Down Transaction</w:t>
      </w:r>
    </w:p>
    <w:p>
      <w:pPr>
        <w:spacing w:after="0" w:line="256" w:lineRule="exact"/>
        <w:rPr>
          <w:sz w:val="20"/>
          <w:szCs w:val="20"/>
          <w:color w:val="auto"/>
        </w:rPr>
      </w:pPr>
    </w:p>
    <w:p>
      <w:pPr>
        <w:jc w:val="both"/>
        <w:ind w:left="100" w:firstLine="720"/>
        <w:spacing w:after="0" w:line="252" w:lineRule="auto"/>
        <w:rPr>
          <w:sz w:val="20"/>
          <w:szCs w:val="20"/>
          <w:color w:val="auto"/>
        </w:rPr>
      </w:pPr>
      <w:r>
        <w:rPr>
          <w:rFonts w:ascii="Times New Roman" w:cs="Times New Roman" w:eastAsia="Times New Roman" w:hAnsi="Times New Roman"/>
          <w:sz w:val="20"/>
          <w:szCs w:val="20"/>
          <w:color w:val="auto"/>
        </w:rPr>
        <w:t>On January 30, 2025, Endeavor Energy Resources, LP (“EER LP”) and 1979 Royalties, LP and 1979 Royalties GP, LLC (collectively, the “Endeavor Subsidiaries”), each of which is a subsidiary of the Company, entered into a definitive equity purchase agreement with Viper and Viper LLC to divest the Endeavor Subsidiaries from EER LP to Viper in exchange for consideration consisting of (i) $1.0 billion in cash and (ii) the issuance of 69.63 million Viper LLC units and an equivalent number of shares of Viper’s Class B common stock (collectively, the “Equity Issuance”), in each case subject to customary closing adjustments, including, among other things, for net title benefits (such transaction, the “2025 Drop Down”). The pending 2025 Drop Down is expected to close in the second quarter of 2025, subject to (i) the approval of the pending 2025 Drop Down by Viper’s stockholders at the special meeting of Viper’s stockholders during the second quarter of 2025, excluding the shares beneficially owned by the Company and its subsidiaries, (ii) regulatory clearance under the Hart-Scott-Rodino Antitrust Improvements Act of 1976, and (iii) the satisfaction or waiver of certain customary closing conditions. Additionally, the Equity Issuance is subject to the approval by a majority of the total votes cast at the special meeting on such proposal, as required by the rules of the Nasdaq Stock Market LLC. Viper expects to fund the cash consideration for the pending 2025 Drop Down with the net proceeds from the Viper 2025 Equity Offering. The pending 2025 Drop Down will be accounted for as a transaction between entities under common control.</w:t>
      </w:r>
    </w:p>
    <w:p>
      <w:pPr>
        <w:spacing w:after="0" w:line="213" w:lineRule="exact"/>
        <w:rPr>
          <w:sz w:val="20"/>
          <w:szCs w:val="20"/>
          <w:color w:val="auto"/>
        </w:rPr>
      </w:pPr>
    </w:p>
    <w:p>
      <w:pPr>
        <w:jc w:val="both"/>
        <w:ind w:left="100" w:firstLine="720"/>
        <w:spacing w:after="0" w:line="254" w:lineRule="auto"/>
        <w:rPr>
          <w:sz w:val="20"/>
          <w:szCs w:val="20"/>
          <w:color w:val="auto"/>
        </w:rPr>
      </w:pPr>
      <w:r>
        <w:rPr>
          <w:rFonts w:ascii="Times New Roman" w:cs="Times New Roman" w:eastAsia="Times New Roman" w:hAnsi="Times New Roman"/>
          <w:sz w:val="20"/>
          <w:szCs w:val="20"/>
          <w:color w:val="auto"/>
        </w:rPr>
        <w:t>EER LP can exchange some or all of the Viper LLC units received together with one share of Viper’s Class B common stock for an equal number of shares of Viper’s Class A common stock. The mineral and royalty interests owned by Endeavor Subsidiaries being divested in the pending 2025 Drop Down represent approximately 22,847 net royalty acres in the Permian Basin, 69% of which are operated by the Company, and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the Company), 116 gross completed wells and 394 gross drilled but uncompleted wells, all of which are principally concentrated in the Midland Basin, with the balance located primarily in the Delaware and Williston Basins.</w:t>
      </w: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180"/>
          </w:cols>
          <w:pgMar w:left="980" w:top="214" w:right="1080" w:bottom="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hanging="720"/>
        <w:spacing w:after="0"/>
        <w:tabs>
          <w:tab w:leader="none" w:pos="8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56" w:lineRule="exact"/>
        <w:rPr>
          <w:sz w:val="20"/>
          <w:szCs w:val="20"/>
          <w:color w:val="auto"/>
        </w:rPr>
      </w:pPr>
    </w:p>
    <w:p>
      <w:pPr>
        <w:jc w:val="both"/>
        <w:ind w:left="100" w:right="40"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2024, 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3—Revenue from Contracts with Customers for further discussion of the Company’s sources of revenue.</w:t>
      </w:r>
    </w:p>
    <w:p>
      <w:pPr>
        <w:spacing w:after="0" w:line="205" w:lineRule="exact"/>
        <w:rPr>
          <w:sz w:val="20"/>
          <w:szCs w:val="20"/>
          <w:color w:val="auto"/>
        </w:rPr>
      </w:pPr>
    </w:p>
    <w:p>
      <w:pPr>
        <w:jc w:val="both"/>
        <w:ind w:left="100" w:right="40" w:firstLine="720"/>
        <w:spacing w:after="0" w:line="255" w:lineRule="auto"/>
        <w:rPr>
          <w:sz w:val="20"/>
          <w:szCs w:val="20"/>
          <w:color w:val="auto"/>
        </w:rPr>
      </w:pPr>
      <w:r>
        <w:rPr>
          <w:rFonts w:ascii="Times New Roman" w:cs="Times New Roman" w:eastAsia="Times New Roman" w:hAnsi="Times New Roman"/>
          <w:sz w:val="20"/>
          <w:szCs w:val="20"/>
          <w:color w:val="auto"/>
        </w:rPr>
        <w:t>The Company’s CODM is a senior executive committee that is comprised of the Chief Operating Officer, Chief Financial Officer, and Chief Executive Officer. The CODM uses the Company’s consolidated financial results to make key operating decisions, assess performance and to allocate resources. The measures of segment profit or loss and total assets utilized by the CODM are net income and total assets as reported on the consolidated statements of operations and the consolidated balance sheets, respectively. The significant expense categories, their amounts and other segment items that are regularly provided to the CODM are those that are reported in the Company’s consolidated statements of operations as well as interest income and interest expense in Note 9—Debt.</w:t>
      </w:r>
    </w:p>
    <w:p>
      <w:pPr>
        <w:spacing w:after="0" w:line="205" w:lineRule="exact"/>
        <w:rPr>
          <w:sz w:val="20"/>
          <w:szCs w:val="20"/>
          <w:color w:val="auto"/>
        </w:rPr>
      </w:pPr>
    </w:p>
    <w:p>
      <w:pPr>
        <w:jc w:val="both"/>
        <w:ind w:left="100" w:right="40" w:firstLine="720"/>
        <w:spacing w:after="0" w:line="268" w:lineRule="auto"/>
        <w:rPr>
          <w:sz w:val="20"/>
          <w:szCs w:val="20"/>
          <w:color w:val="auto"/>
        </w:rPr>
      </w:pPr>
      <w:r>
        <w:rPr>
          <w:rFonts w:ascii="Times New Roman" w:cs="Times New Roman" w:eastAsia="Times New Roman" w:hAnsi="Times New Roman"/>
          <w:sz w:val="20"/>
          <w:szCs w:val="20"/>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182" w:lineRule="exact"/>
        <w:rPr>
          <w:sz w:val="20"/>
          <w:szCs w:val="20"/>
          <w:color w:val="auto"/>
        </w:rPr>
      </w:pPr>
    </w:p>
    <w:p>
      <w:pPr>
        <w:ind w:left="820" w:right="780" w:hanging="720"/>
        <w:spacing w:after="0" w:line="506" w:lineRule="auto"/>
        <w:tabs>
          <w:tab w:leader="none" w:pos="817"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SUPPLEMENTAL INFORMATION ON OIL AND NATURAL GAS OPERATIONS (UNAUDITED) </w:t>
      </w:r>
      <w:r>
        <w:rPr>
          <w:rFonts w:ascii="Times New Roman" w:cs="Times New Roman" w:eastAsia="Times New Roman" w:hAnsi="Times New Roman"/>
          <w:sz w:val="19"/>
          <w:szCs w:val="19"/>
          <w:color w:val="auto"/>
        </w:rPr>
        <w:t>The Company’s oil and natural gas reserves are attributable solely to properties within the United States.</w:t>
      </w:r>
    </w:p>
    <w:p>
      <w:pPr>
        <w:ind w:left="100"/>
        <w:spacing w:after="0"/>
        <w:rPr>
          <w:sz w:val="20"/>
          <w:szCs w:val="20"/>
          <w:color w:val="auto"/>
        </w:rPr>
      </w:pPr>
      <w:r>
        <w:rPr>
          <w:rFonts w:ascii="Times New Roman" w:cs="Times New Roman" w:eastAsia="Times New Roman" w:hAnsi="Times New Roman"/>
          <w:sz w:val="20"/>
          <w:szCs w:val="20"/>
          <w:b w:val="1"/>
          <w:bCs w:val="1"/>
          <w:color w:val="auto"/>
        </w:rPr>
        <w:t>Capitalized oil and natural gas costs</w:t>
      </w:r>
    </w:p>
    <w:p>
      <w:pPr>
        <w:spacing w:after="0" w:line="256" w:lineRule="exact"/>
        <w:rPr>
          <w:sz w:val="20"/>
          <w:szCs w:val="20"/>
          <w:color w:val="auto"/>
        </w:rPr>
      </w:pPr>
    </w:p>
    <w:p>
      <w:pPr>
        <w:ind w:left="100" w:right="40" w:firstLine="720"/>
        <w:spacing w:after="0" w:line="289" w:lineRule="auto"/>
        <w:rPr>
          <w:sz w:val="20"/>
          <w:szCs w:val="20"/>
          <w:color w:val="auto"/>
        </w:rPr>
      </w:pPr>
      <w:r>
        <w:rPr>
          <w:rFonts w:ascii="Times New Roman" w:cs="Times New Roman" w:eastAsia="Times New Roman" w:hAnsi="Times New Roman"/>
          <w:sz w:val="20"/>
          <w:szCs w:val="20"/>
          <w:color w:val="auto"/>
        </w:rPr>
        <w:t>Aggregate capitalized costs related to oil and natural gas production activities with applicable accumulated depreciation, depletion, amortization and impairment are as follows:</w:t>
      </w:r>
    </w:p>
    <w:p>
      <w:pPr>
        <w:spacing w:after="0" w:line="314"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7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w w:val="88"/>
              </w:rPr>
              <w:t>2023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Oil and natural gas properties:</w:t>
            </w:r>
          </w:p>
        </w:tc>
        <w:tc>
          <w:tcPr>
            <w:tcW w:w="320" w:type="dxa"/>
            <w:vAlign w:val="bottom"/>
          </w:tcPr>
          <w:p>
            <w:pPr>
              <w:spacing w:after="0"/>
              <w:rPr>
                <w:sz w:val="21"/>
                <w:szCs w:val="21"/>
                <w:color w:val="auto"/>
              </w:rPr>
            </w:pP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(In</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71"/>
              </w:rPr>
              <w:t>millions)</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3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Proved properties </w:t>
            </w:r>
            <w:r>
              <w:rPr>
                <w:rFonts w:ascii="Times New Roman" w:cs="Times New Roman" w:eastAsia="Times New Roman" w:hAnsi="Times New Roman"/>
                <w:sz w:val="20"/>
                <w:szCs w:val="20"/>
                <w:color w:val="B3B3B3"/>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59,574</w:t>
            </w: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33,771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8"/>
              </w:rPr>
              <w:t xml:space="preserve">Unproved properties </w:t>
            </w:r>
            <w:r>
              <w:rPr>
                <w:rFonts w:ascii="Times New Roman" w:cs="Times New Roman" w:eastAsia="Times New Roman" w:hAnsi="Times New Roman"/>
                <w:sz w:val="20"/>
                <w:szCs w:val="20"/>
                <w:color w:val="B3B3B3"/>
                <w:w w:val="98"/>
              </w:rPr>
              <w: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22,666</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300" w:type="dxa"/>
            <w:vAlign w:val="bottom"/>
            <w:gridSpan w:val="3"/>
          </w:tcPr>
          <w:p>
            <w:pPr>
              <w:jc w:val="right"/>
              <w:ind w:right="160"/>
              <w:spacing w:after="0" w:line="21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Totaloilandnaturalgasproperties</w:t>
            </w:r>
          </w:p>
        </w:tc>
        <w:tc>
          <w:tcPr>
            <w:tcW w:w="32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82,240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42,430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8"/>
              </w:rPr>
              <w:t xml:space="preserve">Accumulated depletion </w:t>
            </w:r>
            <w:r>
              <w:rPr>
                <w:rFonts w:ascii="Times New Roman" w:cs="Times New Roman" w:eastAsia="Times New Roman" w:hAnsi="Times New Roman"/>
                <w:sz w:val="20"/>
                <w:szCs w:val="20"/>
                <w:color w:val="B3B3B3"/>
                <w:w w:val="98"/>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8"/>
              </w:rPr>
              <w:t>Accumulated impairment</w:t>
            </w:r>
            <w:r>
              <w:rPr>
                <w:rFonts w:ascii="Times New Roman" w:cs="Times New Roman" w:eastAsia="Times New Roman" w:hAnsi="Times New Roman"/>
                <w:sz w:val="20"/>
                <w:szCs w:val="20"/>
                <w:color w:val="B3B3B3"/>
                <w:w w:val="98"/>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280" w:type="dxa"/>
            <w:vAlign w:val="bottom"/>
            <w:gridSpan w:val="2"/>
          </w:tcPr>
          <w:p>
            <w:pPr>
              <w:ind w:left="360"/>
              <w:spacing w:after="0" w:line="208"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Netoilandnaturalgaspropertiescapitalized</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00"/>
              <w:spacing w:after="0" w:line="208"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top w:val="single" w:sz="8" w:color="auto"/>
            </w:tcBorders>
          </w:tcPr>
          <w:p>
            <w:pPr>
              <w:jc w:val="right"/>
              <w:ind w:right="4"/>
              <w:spacing w:after="0" w:line="208" w:lineRule="exact"/>
              <w:rPr>
                <w:sz w:val="20"/>
                <w:szCs w:val="20"/>
                <w:color w:val="auto"/>
              </w:rPr>
            </w:pPr>
            <w:r>
              <w:rPr>
                <w:rFonts w:ascii="Times New Roman" w:cs="Times New Roman" w:eastAsia="Times New Roman" w:hAnsi="Times New Roman"/>
                <w:sz w:val="20"/>
                <w:szCs w:val="20"/>
                <w:color w:val="auto"/>
              </w:rPr>
              <w:t>63,203</w:t>
            </w:r>
          </w:p>
        </w:tc>
        <w:tc>
          <w:tcPr>
            <w:tcW w:w="560" w:type="dxa"/>
            <w:vAlign w:val="bottom"/>
            <w:tcBorders>
              <w:top w:val="single" w:sz="8" w:color="auto"/>
            </w:tcBorders>
            <w:gridSpan w:val="3"/>
          </w:tcPr>
          <w:p>
            <w:pPr>
              <w:jc w:val="right"/>
              <w:ind w:right="340"/>
              <w:spacing w:after="0" w:line="208"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ind w:right="2"/>
              <w:spacing w:after="0" w:line="208" w:lineRule="exact"/>
              <w:rPr>
                <w:sz w:val="20"/>
                <w:szCs w:val="20"/>
                <w:color w:val="auto"/>
              </w:rPr>
            </w:pPr>
            <w:r>
              <w:rPr>
                <w:rFonts w:ascii="Times New Roman" w:cs="Times New Roman" w:eastAsia="Times New Roman" w:hAnsi="Times New Roman"/>
                <w:sz w:val="20"/>
                <w:szCs w:val="20"/>
                <w:color w:val="auto"/>
              </w:rPr>
              <w:t>26,143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2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220"/>
          </w:cols>
          <w:pgMar w:left="980" w:top="214" w:right="1040" w:bottom="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Costs incurred in oil and natural gas activities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Costs incurred in oil and natural gas property acquisition, exploration and development activities are as follows:</w:t>
      </w:r>
    </w:p>
    <w:p>
      <w:pPr>
        <w:spacing w:after="0" w:line="39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58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11"/>
          </w:tcPr>
          <w:p>
            <w:pPr>
              <w:jc w:val="center"/>
              <w:ind w:left="52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60" w:type="dxa"/>
            <w:vAlign w:val="bottom"/>
            <w:vMerge w:val="restart"/>
          </w:tcPr>
          <w:p>
            <w:pPr>
              <w:jc w:val="right"/>
              <w:ind w:right="4340"/>
              <w:spacing w:after="0"/>
              <w:rPr>
                <w:sz w:val="20"/>
                <w:szCs w:val="20"/>
                <w:color w:val="auto"/>
              </w:rPr>
            </w:pPr>
            <w:r>
              <w:rPr>
                <w:rFonts w:ascii="Times New Roman" w:cs="Times New Roman" w:eastAsia="Times New Roman" w:hAnsi="Times New Roman"/>
                <w:sz w:val="20"/>
                <w:szCs w:val="20"/>
                <w:color w:val="auto"/>
                <w:w w:val="97"/>
              </w:rPr>
              <w:t>Acquisition costs: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8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Proved properties</w:t>
            </w:r>
            <w:r>
              <w:rPr>
                <w:rFonts w:ascii="Times New Roman" w:cs="Times New Roman" w:eastAsia="Times New Roman" w:hAnsi="Times New Roman"/>
                <w:sz w:val="20"/>
                <w:szCs w:val="20"/>
                <w:color w:val="B3B3B3"/>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21,275</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w:t>
            </w:r>
          </w:p>
        </w:tc>
        <w:tc>
          <w:tcPr>
            <w:tcW w:w="20" w:type="dxa"/>
            <w:vAlign w:val="bottom"/>
          </w:tcPr>
          <w:p>
            <w:pPr>
              <w:spacing w:after="0"/>
              <w:rPr>
                <w:sz w:val="24"/>
                <w:szCs w:val="24"/>
                <w:color w:val="auto"/>
              </w:rPr>
            </w:pPr>
          </w:p>
        </w:tc>
        <w:tc>
          <w:tcPr>
            <w:tcW w:w="4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Unproved properties</w:t>
            </w:r>
            <w:r>
              <w:rPr>
                <w:rFonts w:ascii="Times New Roman" w:cs="Times New Roman" w:eastAsia="Times New Roman" w:hAnsi="Times New Roman"/>
                <w:sz w:val="20"/>
                <w:szCs w:val="20"/>
                <w:color w:val="B3B3B3"/>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Development costs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Exploration costs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1,698</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Total</w:t>
            </w:r>
          </w:p>
        </w:tc>
        <w:tc>
          <w:tcPr>
            <w:tcW w:w="20" w:type="dxa"/>
            <w:vAlign w:val="bottom"/>
          </w:tcPr>
          <w:p>
            <w:pPr>
              <w:spacing w:after="0"/>
              <w:rPr>
                <w:sz w:val="19"/>
                <w:szCs w:val="19"/>
                <w:color w:val="auto"/>
              </w:rPr>
            </w:pPr>
          </w:p>
        </w:tc>
        <w:tc>
          <w:tcPr>
            <w:tcW w:w="320" w:type="dxa"/>
            <w:vAlign w:val="bottom"/>
          </w:tcPr>
          <w:p>
            <w:pPr>
              <w:jc w:val="right"/>
              <w:ind w:right="80"/>
              <w:spacing w:after="0" w:line="227"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40,029</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5,745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40" w:type="dxa"/>
            <w:vAlign w:val="bottom"/>
          </w:tcPr>
          <w:p>
            <w:pPr>
              <w:jc w:val="right"/>
              <w:ind w:right="120"/>
              <w:spacing w:after="0" w:line="22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auto"/>
              </w:rPr>
              <w:t>4,578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58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Results of Operations from Oil and Natural Gas Producing Activities</w:t>
      </w:r>
    </w:p>
    <w:p>
      <w:pPr>
        <w:spacing w:after="0" w:line="256" w:lineRule="exact"/>
        <w:rPr>
          <w:sz w:val="20"/>
          <w:szCs w:val="20"/>
          <w:color w:val="auto"/>
        </w:rPr>
      </w:pPr>
    </w:p>
    <w:p>
      <w:pPr>
        <w:jc w:val="both"/>
        <w:ind w:left="100" w:right="40" w:firstLine="720"/>
        <w:spacing w:after="0" w:line="258" w:lineRule="auto"/>
        <w:rPr>
          <w:sz w:val="20"/>
          <w:szCs w:val="20"/>
          <w:color w:val="auto"/>
        </w:rPr>
      </w:pPr>
      <w:r>
        <w:rPr>
          <w:rFonts w:ascii="Times New Roman" w:cs="Times New Roman" w:eastAsia="Times New Roman" w:hAnsi="Times New Roman"/>
          <w:sz w:val="20"/>
          <w:szCs w:val="20"/>
          <w:color w:val="auto"/>
        </w:rPr>
        <w:t>The following schedule sets forth the revenues and expenses related to the production and sale of oil, natural gas and natural gas liquids. It does not include any interest costs or general and administrative costs.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5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11"/>
          </w:tcPr>
          <w:p>
            <w:pPr>
              <w:jc w:val="center"/>
              <w:ind w:left="543"/>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53"/>
        </w:trPr>
        <w:tc>
          <w:tcPr>
            <w:tcW w:w="5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21"/>
                <w:szCs w:val="21"/>
                <w:color w:val="auto"/>
              </w:rPr>
            </w:pPr>
          </w:p>
        </w:tc>
      </w:tr>
      <w:tr>
        <w:trPr>
          <w:trHeight w:val="269"/>
        </w:trPr>
        <w:tc>
          <w:tcPr>
            <w:tcW w:w="5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23"/>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0"/>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 xml:space="preserve">Oil, natural gas and natural gas liquid sales </w:t>
            </w:r>
            <w:r>
              <w:rPr>
                <w:rFonts w:ascii="Times New Roman" w:cs="Times New Roman" w:eastAsia="Times New Roman" w:hAnsi="Times New Roman"/>
                <w:sz w:val="20"/>
                <w:szCs w:val="20"/>
                <w:color w:val="B3B3B3"/>
                <w:w w:val="98"/>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10,100</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8,228</w:t>
            </w:r>
          </w:p>
        </w:tc>
        <w:tc>
          <w:tcPr>
            <w:tcW w:w="4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9,566</w:t>
            </w:r>
          </w:p>
        </w:tc>
        <w:tc>
          <w:tcPr>
            <w:tcW w:w="40" w:type="dxa"/>
            <w:vAlign w:val="bottom"/>
          </w:tcPr>
          <w:p>
            <w:pPr>
              <w:spacing w:after="0"/>
              <w:rPr>
                <w:sz w:val="24"/>
                <w:szCs w:val="24"/>
                <w:color w:val="auto"/>
              </w:rPr>
            </w:pPr>
          </w:p>
        </w:tc>
      </w:tr>
      <w:tr>
        <w:trPr>
          <w:trHeight w:val="286"/>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Production costs</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w:t>
            </w:r>
          </w:p>
        </w:tc>
        <w:tc>
          <w:tcPr>
            <w:tcW w:w="40" w:type="dxa"/>
            <w:vAlign w:val="bottom"/>
          </w:tcPr>
          <w:p>
            <w:pPr>
              <w:spacing w:after="0"/>
              <w:rPr>
                <w:sz w:val="24"/>
                <w:szCs w:val="24"/>
                <w:color w:val="auto"/>
              </w:rPr>
            </w:pPr>
          </w:p>
        </w:tc>
      </w:tr>
      <w:tr>
        <w:trPr>
          <w:trHeight w:val="286"/>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 xml:space="preserve">Depreciation, depletion, amortization and accretion </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40" w:type="dxa"/>
            <w:vAlign w:val="bottom"/>
          </w:tcPr>
          <w:p>
            <w:pPr>
              <w:spacing w:after="0"/>
              <w:rPr>
                <w:sz w:val="24"/>
                <w:szCs w:val="24"/>
                <w:color w:val="auto"/>
              </w:rPr>
            </w:pPr>
          </w:p>
        </w:tc>
      </w:tr>
      <w:tr>
        <w:trPr>
          <w:trHeight w:val="284"/>
        </w:trPr>
        <w:tc>
          <w:tcPr>
            <w:tcW w:w="5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Income tax benefit (expense)</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40" w:type="dxa"/>
            <w:vAlign w:val="bottom"/>
            <w:tcBorders>
              <w:bottom w:val="single" w:sz="8" w:color="auto"/>
            </w:tcBorders>
          </w:tcPr>
          <w:p>
            <w:pPr>
              <w:spacing w:after="0"/>
              <w:rPr>
                <w:sz w:val="24"/>
                <w:szCs w:val="24"/>
                <w:color w:val="auto"/>
              </w:rPr>
            </w:pPr>
          </w:p>
        </w:tc>
      </w:tr>
      <w:tr>
        <w:trPr>
          <w:trHeight w:val="229"/>
        </w:trPr>
        <w:tc>
          <w:tcPr>
            <w:tcW w:w="5800" w:type="dxa"/>
            <w:vAlign w:val="bottom"/>
            <w:gridSpan w:val="2"/>
          </w:tcPr>
          <w:p>
            <w:pPr>
              <w:ind w:left="320"/>
              <w:spacing w:after="0" w:line="229" w:lineRule="exact"/>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Resultsofoperations</w:t>
            </w:r>
          </w:p>
        </w:tc>
        <w:tc>
          <w:tcPr>
            <w:tcW w:w="20" w:type="dxa"/>
            <w:vAlign w:val="bottom"/>
          </w:tcPr>
          <w:p>
            <w:pPr>
              <w:spacing w:after="0"/>
              <w:rPr>
                <w:sz w:val="19"/>
                <w:szCs w:val="19"/>
                <w:color w:val="auto"/>
              </w:rPr>
            </w:pPr>
          </w:p>
        </w:tc>
        <w:tc>
          <w:tcPr>
            <w:tcW w:w="300" w:type="dxa"/>
            <w:vAlign w:val="bottom"/>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4,014</w:t>
            </w:r>
          </w:p>
        </w:tc>
        <w:tc>
          <w:tcPr>
            <w:tcW w:w="2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1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3,860</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8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440"/>
              <w:spacing w:after="0" w:line="229" w:lineRule="exact"/>
              <w:rPr>
                <w:sz w:val="20"/>
                <w:szCs w:val="20"/>
                <w:color w:val="auto"/>
              </w:rPr>
            </w:pPr>
            <w:r>
              <w:rPr>
                <w:rFonts w:ascii="Times New Roman" w:cs="Times New Roman" w:eastAsia="Times New Roman" w:hAnsi="Times New Roman"/>
                <w:sz w:val="20"/>
                <w:szCs w:val="20"/>
                <w:color w:val="auto"/>
              </w:rPr>
              <w:t>5,344</w:t>
            </w:r>
          </w:p>
        </w:tc>
        <w:tc>
          <w:tcPr>
            <w:tcW w:w="40" w:type="dxa"/>
            <w:vAlign w:val="bottom"/>
          </w:tcPr>
          <w:p>
            <w:pPr>
              <w:spacing w:after="0"/>
              <w:rPr>
                <w:sz w:val="19"/>
                <w:szCs w:val="19"/>
                <w:color w:val="auto"/>
              </w:rPr>
            </w:pPr>
          </w:p>
        </w:tc>
      </w:tr>
      <w:tr>
        <w:trPr>
          <w:trHeight w:val="40"/>
        </w:trPr>
        <w:tc>
          <w:tcPr>
            <w:tcW w:w="57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r>
    </w:tbl>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Oil and Natural Gas Reserves</w:t>
      </w:r>
    </w:p>
    <w:p>
      <w:pPr>
        <w:spacing w:after="0" w:line="258" w:lineRule="exact"/>
        <w:rPr>
          <w:sz w:val="20"/>
          <w:szCs w:val="20"/>
          <w:color w:val="auto"/>
        </w:rPr>
      </w:pPr>
    </w:p>
    <w:p>
      <w:pPr>
        <w:jc w:val="both"/>
        <w:ind w:left="100" w:right="40" w:firstLine="720"/>
        <w:spacing w:after="0" w:line="253" w:lineRule="auto"/>
        <w:rPr>
          <w:sz w:val="20"/>
          <w:szCs w:val="20"/>
          <w:color w:val="auto"/>
        </w:rPr>
      </w:pPr>
      <w:r>
        <w:rPr>
          <w:rFonts w:ascii="Times New Roman" w:cs="Times New Roman" w:eastAsia="Times New Roman" w:hAnsi="Times New Roman"/>
          <w:sz w:val="20"/>
          <w:szCs w:val="20"/>
          <w:color w:val="auto"/>
        </w:rPr>
        <w:t>Proved oil and natural gas reserve estimates and their associated future net cash flows were prepared by the Company’s internal reservoir engineers and audited by Ryder Scott, independent petroleum engineers, as of December 31, 2024, 2023 and 2022. Proved reserves were estimated in accordance with guidelines established by the SEC, which require that reserve estimates be prepared under existing economic and operating conditions based upon SEC Prices for the periods ending December 31, 2024, 2023 and 2022, respectively. Reserve estimates do not include any value for probable or possible reserves that may exist, nor do they include any value for undeveloped acreage. The reserve estimates represent the net revenue interest in the Company’s properties, all of which are located within the continental United States. Although the Company believes these estimates are reasonable, actual future production, cash flows, taxes, development expenditures, operating expenses and quantities of recoverable oil and natural gas reserves may vary substantially from these estimates.</w:t>
      </w:r>
    </w:p>
    <w:p>
      <w:pPr>
        <w:spacing w:after="0" w:line="214" w:lineRule="exact"/>
        <w:rPr>
          <w:sz w:val="20"/>
          <w:szCs w:val="20"/>
          <w:color w:val="auto"/>
        </w:rPr>
      </w:pPr>
    </w:p>
    <w:p>
      <w:pPr>
        <w:jc w:val="both"/>
        <w:ind w:left="100" w:right="40" w:firstLine="720"/>
        <w:spacing w:after="0" w:line="256" w:lineRule="auto"/>
        <w:rPr>
          <w:sz w:val="20"/>
          <w:szCs w:val="20"/>
          <w:color w:val="auto"/>
        </w:rPr>
      </w:pPr>
      <w:r>
        <w:rPr>
          <w:rFonts w:ascii="Times New Roman" w:cs="Times New Roman" w:eastAsia="Times New Roman" w:hAnsi="Times New Roman"/>
          <w:sz w:val="20"/>
          <w:szCs w:val="20"/>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220"/>
          </w:cols>
          <w:pgMar w:left="980" w:top="214" w:right="1040" w:bottom="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The following table presents changes in the Company’s estimated proved reserves (including those attributable to Viper). As of December 31, 2024, none of the Company’s total proved reserves were classified as proved developed non-producing.</w:t>
      </w: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420" w:type="dxa"/>
            <w:vAlign w:val="bottom"/>
            <w:vMerge w:val="restart"/>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Oil</w:t>
            </w:r>
          </w:p>
        </w:tc>
        <w:tc>
          <w:tcPr>
            <w:tcW w:w="1380" w:type="dxa"/>
            <w:vAlign w:val="bottom"/>
            <w:vMerge w:val="restart"/>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420" w:type="dxa"/>
            <w:vAlign w:val="bottom"/>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220" w:type="dxa"/>
            <w:vAlign w:val="bottom"/>
            <w:vMerge w:val="restart"/>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420" w:type="dxa"/>
            <w:vAlign w:val="bottom"/>
          </w:tcPr>
          <w:p>
            <w:pPr>
              <w:jc w:val="center"/>
              <w:ind w:right="141"/>
              <w:spacing w:after="0" w:line="180" w:lineRule="exact"/>
              <w:rPr>
                <w:sz w:val="20"/>
                <w:szCs w:val="20"/>
                <w:color w:val="auto"/>
              </w:rPr>
            </w:pPr>
            <w:r>
              <w:rPr>
                <w:rFonts w:ascii="Times New Roman" w:cs="Times New Roman" w:eastAsia="Times New Roman" w:hAnsi="Times New Roman"/>
                <w:sz w:val="18"/>
                <w:szCs w:val="18"/>
                <w:b w:val="1"/>
                <w:bCs w:val="1"/>
                <w:color w:val="auto"/>
                <w:w w:val="98"/>
              </w:rPr>
              <w:t>Liquids</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580" w:type="dxa"/>
            <w:vAlign w:val="bottom"/>
          </w:tcPr>
          <w:p>
            <w:pPr>
              <w:spacing w:after="0"/>
              <w:rPr>
                <w:sz w:val="21"/>
                <w:szCs w:val="21"/>
                <w:color w:val="auto"/>
              </w:rPr>
            </w:pPr>
          </w:p>
        </w:tc>
        <w:tc>
          <w:tcPr>
            <w:tcW w:w="14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3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(MMcf)</w:t>
            </w:r>
          </w:p>
        </w:tc>
        <w:tc>
          <w:tcPr>
            <w:tcW w:w="14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(MBbls)</w:t>
            </w:r>
          </w:p>
        </w:tc>
        <w:tc>
          <w:tcPr>
            <w:tcW w:w="1220" w:type="dxa"/>
            <w:vAlign w:val="bottom"/>
            <w:tcBorders>
              <w:bottom w:val="single" w:sz="8" w:color="auto"/>
            </w:tcBorders>
          </w:tcPr>
          <w:p>
            <w:pPr>
              <w:jc w:val="right"/>
              <w:ind w:right="161"/>
              <w:spacing w:after="0" w:line="247" w:lineRule="exact"/>
              <w:rPr>
                <w:sz w:val="20"/>
                <w:szCs w:val="20"/>
                <w:color w:val="auto"/>
              </w:rPr>
            </w:pPr>
            <w:r>
              <w:rPr>
                <w:rFonts w:ascii="Times New Roman" w:cs="Times New Roman" w:eastAsia="Times New Roman" w:hAnsi="Times New Roman"/>
                <w:sz w:val="18"/>
                <w:szCs w:val="18"/>
                <w:b w:val="1"/>
                <w:bCs w:val="1"/>
                <w:color w:val="auto"/>
              </w:rPr>
              <w:t>(MBOE)</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26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Developed and Undeveloped Reserves:</w:t>
            </w: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As of December 31, 2021 </w:t>
            </w:r>
            <w:r>
              <w:rPr>
                <w:rFonts w:ascii="Times New Roman" w:cs="Times New Roman" w:eastAsia="Times New Roman" w:hAnsi="Times New Roman"/>
                <w:sz w:val="18"/>
                <w:szCs w:val="18"/>
                <w:b w:val="1"/>
                <w:bCs w:val="1"/>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928,289</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2,585,807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429,734</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1,788,991</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201,326</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386,987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68,671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334,495</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(10,483)</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2,827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3,228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(6,784)</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reserves in place</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38,683</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82,287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15,645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68,043</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(6,691)</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(12,671)</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(2,079)</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w:t>
            </w:r>
          </w:p>
        </w:tc>
        <w:tc>
          <w:tcPr>
            <w:tcW w:w="0" w:type="dxa"/>
            <w:vAlign w:val="bottom"/>
          </w:tcPr>
          <w:p>
            <w:pPr>
              <w:spacing w:after="0"/>
              <w:rPr>
                <w:sz w:val="1"/>
                <w:szCs w:val="1"/>
                <w:color w:val="auto"/>
              </w:rPr>
            </w:pPr>
          </w:p>
        </w:tc>
      </w:tr>
      <w:tr>
        <w:trPr>
          <w:trHeight w:val="287"/>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Production</w:t>
            </w:r>
            <w:r>
              <w:rPr>
                <w:rFonts w:ascii="Times New Roman" w:cs="Times New Roman" w:eastAsia="Times New Roman" w:hAnsi="Times New Roman"/>
                <w:sz w:val="20"/>
                <w:szCs w:val="20"/>
                <w:color w:val="B3B3B3"/>
              </w:rPr>
              <w:t>.............................................................</w:t>
            </w: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(81,616)</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(176,376)</w:t>
            </w:r>
          </w:p>
        </w:tc>
        <w:tc>
          <w:tcPr>
            <w:tcW w:w="14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(29,880)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(140,892)</w:t>
            </w:r>
          </w:p>
        </w:tc>
        <w:tc>
          <w:tcPr>
            <w:tcW w:w="0" w:type="dxa"/>
            <w:vAlign w:val="bottom"/>
          </w:tcPr>
          <w:p>
            <w:pPr>
              <w:spacing w:after="0"/>
              <w:rPr>
                <w:sz w:val="1"/>
                <w:szCs w:val="1"/>
                <w:color w:val="auto"/>
              </w:rPr>
            </w:pPr>
          </w:p>
        </w:tc>
      </w:tr>
      <w:tr>
        <w:trPr>
          <w:trHeight w:val="266"/>
        </w:trPr>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2022 </w:t>
            </w:r>
            <w:r>
              <w:rPr>
                <w:rFonts w:ascii="Times New Roman" w:cs="Times New Roman" w:eastAsia="Times New Roman" w:hAnsi="Times New Roman"/>
                <w:sz w:val="18"/>
                <w:szCs w:val="18"/>
                <w:b w:val="1"/>
                <w:bCs w:val="1"/>
                <w:color w:val="B3B3B3"/>
                <w:w w:val="99"/>
              </w:rPr>
              <w:t>..........................................................</w:t>
            </w: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1,069,508</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2,868,861</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485,319</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2,032,971</w:t>
            </w:r>
          </w:p>
        </w:tc>
        <w:tc>
          <w:tcPr>
            <w:tcW w:w="0" w:type="dxa"/>
            <w:vAlign w:val="bottom"/>
          </w:tcPr>
          <w:p>
            <w:pPr>
              <w:spacing w:after="0"/>
              <w:rPr>
                <w:sz w:val="1"/>
                <w:szCs w:val="1"/>
                <w:color w:val="auto"/>
              </w:rPr>
            </w:pPr>
          </w:p>
        </w:tc>
      </w:tr>
      <w:tr>
        <w:trPr>
          <w:trHeight w:val="282"/>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206,562</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424,881</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78,498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355,874</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(56,482)</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(47,697)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9,962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(54,470)</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reserves in place</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41,790</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79,507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15,440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70,481</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(21,258)</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(130,013)</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(20,755)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(63,682)</w:t>
            </w:r>
          </w:p>
        </w:tc>
        <w:tc>
          <w:tcPr>
            <w:tcW w:w="0" w:type="dxa"/>
            <w:vAlign w:val="bottom"/>
          </w:tcPr>
          <w:p>
            <w:pPr>
              <w:spacing w:after="0"/>
              <w:rPr>
                <w:sz w:val="1"/>
                <w:szCs w:val="1"/>
                <w:color w:val="auto"/>
              </w:rPr>
            </w:pPr>
          </w:p>
        </w:tc>
      </w:tr>
      <w:tr>
        <w:trPr>
          <w:trHeight w:val="287"/>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Production</w:t>
            </w:r>
            <w:r>
              <w:rPr>
                <w:rFonts w:ascii="Times New Roman" w:cs="Times New Roman" w:eastAsia="Times New Roman" w:hAnsi="Times New Roman"/>
                <w:sz w:val="20"/>
                <w:szCs w:val="20"/>
                <w:color w:val="B3B3B3"/>
              </w:rPr>
              <w:t>.............................................................</w:t>
            </w: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(96,176)</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(198,117)</w:t>
            </w:r>
          </w:p>
        </w:tc>
        <w:tc>
          <w:tcPr>
            <w:tcW w:w="14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(34,217)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(163,413)</w:t>
            </w:r>
          </w:p>
        </w:tc>
        <w:tc>
          <w:tcPr>
            <w:tcW w:w="0" w:type="dxa"/>
            <w:vAlign w:val="bottom"/>
          </w:tcPr>
          <w:p>
            <w:pPr>
              <w:spacing w:after="0"/>
              <w:rPr>
                <w:sz w:val="1"/>
                <w:szCs w:val="1"/>
                <w:color w:val="auto"/>
              </w:rPr>
            </w:pPr>
          </w:p>
        </w:tc>
      </w:tr>
      <w:tr>
        <w:trPr>
          <w:trHeight w:val="267"/>
        </w:trPr>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2023 </w:t>
            </w:r>
            <w:r>
              <w:rPr>
                <w:rFonts w:ascii="Times New Roman" w:cs="Times New Roman" w:eastAsia="Times New Roman" w:hAnsi="Times New Roman"/>
                <w:sz w:val="18"/>
                <w:szCs w:val="18"/>
                <w:b w:val="1"/>
                <w:bCs w:val="1"/>
                <w:color w:val="B3B3B3"/>
                <w:w w:val="99"/>
              </w:rPr>
              <w:t>..........................................................</w:t>
            </w: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1,143,944</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2,997,422</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534,247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2,177,761</w:t>
            </w:r>
          </w:p>
        </w:tc>
        <w:tc>
          <w:tcPr>
            <w:tcW w:w="0" w:type="dxa"/>
            <w:vAlign w:val="bottom"/>
          </w:tcPr>
          <w:p>
            <w:pPr>
              <w:spacing w:after="0"/>
              <w:rPr>
                <w:sz w:val="1"/>
                <w:szCs w:val="1"/>
                <w:color w:val="auto"/>
              </w:rPr>
            </w:pPr>
          </w:p>
        </w:tc>
      </w:tr>
      <w:tr>
        <w:trPr>
          <w:trHeight w:val="280"/>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Extensions and discoveries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168,375</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310,421</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58,696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278,808</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Revisions of previous estimates</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(78,142)</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(158,468)</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(24,518)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(129,071)</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reserves in place</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697,702</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2,391,264</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473,236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1,569,482</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0"/>
                <w:szCs w:val="20"/>
                <w:color w:val="B3B3B3"/>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(47,505)</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(240,044)</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(33,080)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(120,592)</w:t>
            </w:r>
          </w:p>
        </w:tc>
        <w:tc>
          <w:tcPr>
            <w:tcW w:w="0" w:type="dxa"/>
            <w:vAlign w:val="bottom"/>
          </w:tcPr>
          <w:p>
            <w:pPr>
              <w:spacing w:after="0"/>
              <w:rPr>
                <w:sz w:val="1"/>
                <w:szCs w:val="1"/>
                <w:color w:val="auto"/>
              </w:rPr>
            </w:pPr>
          </w:p>
        </w:tc>
      </w:tr>
      <w:tr>
        <w:trPr>
          <w:trHeight w:val="287"/>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Production</w:t>
            </w:r>
            <w:r>
              <w:rPr>
                <w:rFonts w:ascii="Times New Roman" w:cs="Times New Roman" w:eastAsia="Times New Roman" w:hAnsi="Times New Roman"/>
                <w:sz w:val="20"/>
                <w:szCs w:val="20"/>
                <w:color w:val="B3B3B3"/>
              </w:rPr>
              <w:t>.............................................................</w:t>
            </w: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(123,325)</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(275,680)</w:t>
            </w:r>
          </w:p>
        </w:tc>
        <w:tc>
          <w:tcPr>
            <w:tcW w:w="14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(49,700)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(218,972)</w:t>
            </w:r>
          </w:p>
        </w:tc>
        <w:tc>
          <w:tcPr>
            <w:tcW w:w="0" w:type="dxa"/>
            <w:vAlign w:val="bottom"/>
          </w:tcPr>
          <w:p>
            <w:pPr>
              <w:spacing w:after="0"/>
              <w:rPr>
                <w:sz w:val="1"/>
                <w:szCs w:val="1"/>
                <w:color w:val="auto"/>
              </w:rPr>
            </w:pPr>
          </w:p>
        </w:tc>
      </w:tr>
      <w:tr>
        <w:trPr>
          <w:trHeight w:val="247"/>
        </w:trPr>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B3B3B3"/>
              </w:rPr>
              <w:t>..........................................................</w:t>
            </w:r>
            <w:r>
              <w:rPr>
                <w:rFonts w:ascii="Times New Roman" w:cs="Times New Roman" w:eastAsia="Times New Roman" w:hAnsi="Times New Roman"/>
                <w:sz w:val="18"/>
                <w:szCs w:val="18"/>
                <w:b w:val="1"/>
                <w:bCs w:val="1"/>
                <w:color w:val="000000"/>
              </w:rPr>
              <w:t>AsofDecember31,2024</w:t>
            </w:r>
          </w:p>
        </w:tc>
        <w:tc>
          <w:tcPr>
            <w:tcW w:w="1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1,761,049</w:t>
            </w:r>
          </w:p>
        </w:tc>
        <w:tc>
          <w:tcPr>
            <w:tcW w:w="1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5,024,915</w:t>
            </w:r>
          </w:p>
        </w:tc>
        <w:tc>
          <w:tcPr>
            <w:tcW w:w="1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958,881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3,557,416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45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 xml:space="preserve">December 31, 2021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620,474</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1,770,688</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285,513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1,201,102</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2022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699,513</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2,122,782</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350,243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1,403,553</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2023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744,103</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2,203,563</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385,167</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1,496,530</w:t>
            </w:r>
          </w:p>
        </w:tc>
        <w:tc>
          <w:tcPr>
            <w:tcW w:w="0" w:type="dxa"/>
            <w:vAlign w:val="bottom"/>
          </w:tcPr>
          <w:p>
            <w:pPr>
              <w:spacing w:after="0"/>
              <w:rPr>
                <w:sz w:val="1"/>
                <w:szCs w:val="1"/>
                <w:color w:val="auto"/>
              </w:rPr>
            </w:pPr>
          </w:p>
        </w:tc>
      </w:tr>
      <w:tr>
        <w:trPr>
          <w:trHeight w:val="269"/>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2024 </w:t>
            </w:r>
            <w:r>
              <w:rPr>
                <w:rFonts w:ascii="Times New Roman" w:cs="Times New Roman" w:eastAsia="Times New Roman" w:hAnsi="Times New Roman"/>
                <w:sz w:val="20"/>
                <w:szCs w:val="20"/>
                <w:color w:val="B3B3B3"/>
              </w:rPr>
              <w:t>...............................................</w:t>
            </w: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1,120,824</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3,559,748</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670,683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2,384,798</w:t>
            </w:r>
          </w:p>
        </w:tc>
        <w:tc>
          <w:tcPr>
            <w:tcW w:w="0" w:type="dxa"/>
            <w:vAlign w:val="bottom"/>
          </w:tcPr>
          <w:p>
            <w:pPr>
              <w:spacing w:after="0"/>
              <w:rPr>
                <w:sz w:val="1"/>
                <w:szCs w:val="1"/>
                <w:color w:val="auto"/>
              </w:rPr>
            </w:pPr>
          </w:p>
        </w:tc>
      </w:tr>
      <w:tr>
        <w:trPr>
          <w:trHeight w:val="545"/>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 xml:space="preserve">December 31, 2021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307,815</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815,119</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144,221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587,889</w:t>
            </w:r>
          </w:p>
        </w:tc>
        <w:tc>
          <w:tcPr>
            <w:tcW w:w="0" w:type="dxa"/>
            <w:vAlign w:val="bottom"/>
          </w:tcPr>
          <w:p>
            <w:pPr>
              <w:spacing w:after="0"/>
              <w:rPr>
                <w:sz w:val="1"/>
                <w:szCs w:val="1"/>
                <w:color w:val="auto"/>
              </w:rPr>
            </w:pPr>
          </w:p>
        </w:tc>
      </w:tr>
      <w:tr>
        <w:trPr>
          <w:trHeight w:val="283"/>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2022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369,995</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746,079</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135,076</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629,418</w:t>
            </w:r>
          </w:p>
        </w:tc>
        <w:tc>
          <w:tcPr>
            <w:tcW w:w="0" w:type="dxa"/>
            <w:vAlign w:val="bottom"/>
          </w:tcPr>
          <w:p>
            <w:pPr>
              <w:spacing w:after="0"/>
              <w:rPr>
                <w:sz w:val="1"/>
                <w:szCs w:val="1"/>
                <w:color w:val="auto"/>
              </w:rPr>
            </w:pPr>
          </w:p>
        </w:tc>
      </w:tr>
      <w:tr>
        <w:trPr>
          <w:trHeight w:val="286"/>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2023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399,841</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793,859</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149,080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681,231</w:t>
            </w:r>
          </w:p>
        </w:tc>
        <w:tc>
          <w:tcPr>
            <w:tcW w:w="0" w:type="dxa"/>
            <w:vAlign w:val="bottom"/>
          </w:tcPr>
          <w:p>
            <w:pPr>
              <w:spacing w:after="0"/>
              <w:rPr>
                <w:sz w:val="1"/>
                <w:szCs w:val="1"/>
                <w:color w:val="auto"/>
              </w:rPr>
            </w:pPr>
          </w:p>
        </w:tc>
      </w:tr>
      <w:tr>
        <w:trPr>
          <w:trHeight w:val="269"/>
        </w:trPr>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December 31, 2024 </w:t>
            </w:r>
            <w:r>
              <w:rPr>
                <w:rFonts w:ascii="Times New Roman" w:cs="Times New Roman" w:eastAsia="Times New Roman" w:hAnsi="Times New Roman"/>
                <w:sz w:val="20"/>
                <w:szCs w:val="20"/>
                <w:color w:val="B3B3B3"/>
              </w:rPr>
              <w:t>...............................................</w:t>
            </w: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640,225</w:t>
            </w: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1,465,167</w:t>
            </w: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288,198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1,172,618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60" w:right="40" w:hanging="360"/>
        <w:spacing w:after="0" w:line="289" w:lineRule="auto"/>
        <w:tabs>
          <w:tab w:leader="none" w:pos="43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total proved reserves of 107,730 MBOE, 78,870 MBOE, 65,516 MBOE and 58,828 MBOE as of December 31, 2024, 2023, 2022 and 2021, respectively, attributable to a non-controlling interest in Viper.</w:t>
      </w:r>
    </w:p>
    <w:p>
      <w:pPr>
        <w:spacing w:after="0" w:line="166" w:lineRule="exact"/>
        <w:rPr>
          <w:sz w:val="20"/>
          <w:szCs w:val="20"/>
          <w:color w:val="auto"/>
        </w:rPr>
      </w:pPr>
    </w:p>
    <w:p>
      <w:pPr>
        <w:jc w:val="both"/>
        <w:ind w:left="100" w:firstLine="720"/>
        <w:spacing w:after="0" w:line="268" w:lineRule="auto"/>
        <w:rPr>
          <w:sz w:val="20"/>
          <w:szCs w:val="20"/>
          <w:color w:val="auto"/>
        </w:rPr>
      </w:pPr>
      <w:r>
        <w:rPr>
          <w:rFonts w:ascii="Times New Roman" w:cs="Times New Roman" w:eastAsia="Times New Roman" w:hAnsi="Times New Roman"/>
          <w:sz w:val="20"/>
          <w:szCs w:val="20"/>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8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the Company’s extensions and discoveries of 278,808 MBOE resulted primarily from the drilling of 1,172 new wells in which the Company has an interest, including 862 wells in which the Company owns only a mineral interest through Viper, and from 445 new proved undeveloped locations added. Viper royalty interests accounted for 9% of the extension volumes. The Company’s downward revisions of previous estimates of 129,071 MBOE were primarily attributable to negative revisions of (i) 88,915 MBOE associated with lower commodity prices and (ii)</w:t>
      </w: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180"/>
          </w:cols>
          <w:pgMar w:left="980" w:top="214" w:right="1080" w:bottom="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7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20"/>
          <w:szCs w:val="20"/>
          <w:color w:val="auto"/>
        </w:rPr>
        <w:t>49,311 MBOE due to downgrades related to changes in the corporate development plan, and (iii) 16,586 MBOE due to a decline in performance. These were partially offset by positive revisions of 25,743 MBOE primarily due to positive ownership and acquisition variance revisions. Purchases of 1,569,482 MBOE consisted of 1,554,541 MBOE attributable largely to the Endeavor Acquisition and 14,941 MBOE of Viper royalty purchases. Divestitures of 120,592 MBOE related primarily to non-core Midland Basin assets.</w:t>
      </w:r>
    </w:p>
    <w:p>
      <w:pPr>
        <w:spacing w:after="0" w:line="202" w:lineRule="exact"/>
        <w:rPr>
          <w:sz w:val="20"/>
          <w:szCs w:val="20"/>
          <w:color w:val="auto"/>
        </w:rPr>
      </w:pPr>
    </w:p>
    <w:p>
      <w:pPr>
        <w:jc w:val="both"/>
        <w:ind w:left="100" w:right="20" w:firstLine="72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2023, the Company’s extensions and discoveries of 355,874 MBOE resulted primarily from the drilling of 954 new wells in which the Company has an interest, including 826 wells in which the Company owns only a mineral interest through Viper, and from 344 new proved undeveloped locations added. Viper royalty interests accounted for 7% of the extension volumes. The Company’s downward revisions of previous estimates of 54,470 MBOE were primarily attributable to negative revisions of (i) 62,370 MBOE associated with lower commodity prices and (ii) 32,249 MBOE due to PUD downgrades related to changes in the corporate development plan. These were partially offset by positive revisions of 40,149 MBOE due to improved performance. Purchases of 70,481 MBOE consisted of 54,470 MBOE attributable largely to the Lario Acquisition and 16,011 MBOE of Viper royalty purchases. Divestitures of 63,682 MBOE related primarily to non-core Midland Basin assets.</w:t>
      </w:r>
    </w:p>
    <w:p>
      <w:pPr>
        <w:spacing w:after="0" w:line="211" w:lineRule="exact"/>
        <w:rPr>
          <w:sz w:val="20"/>
          <w:szCs w:val="20"/>
          <w:color w:val="auto"/>
        </w:rPr>
      </w:pPr>
    </w:p>
    <w:p>
      <w:pPr>
        <w:jc w:val="both"/>
        <w:ind w:left="100" w:right="20" w:firstLine="72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2022, the Company’s extensions and discoveries of 334,495 MBOE resulted primarily from the drilling of 654 new wells in which the Company has a working interest, including 576 wells in which we own only a mineral interest through Viper, and from 311 new proved undeveloped locations added. Viper royalty interests accounted for 8% of the extension volumes. The Company’s downward revisions of previous estimates of 6,784 MBOE were the result of negative revisions of 98,902 MBOE due primarily to PUD downgrades related to changes in the corporate development plan following the FireBird Acquisition, partially offset with positive revisions of 92,118 MBOE associated with higher commodity prices. Purchases of 68,043 MBOE consisted of 67,037 MBOE attributable largely to the FireBird Acquisition and 1,005 MBOE of Viper royalty purchases. Divestitures of 10,882 MBOE related primarily to non-core Delaware Basin assets and the Eagle Ford Basin Divestiture.</w:t>
      </w:r>
    </w:p>
    <w:p>
      <w:pPr>
        <w:spacing w:after="0" w:line="2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Proved Undeveloped Reserves (PUDs)</w:t>
      </w:r>
    </w:p>
    <w:p>
      <w:pPr>
        <w:spacing w:after="0" w:line="253" w:lineRule="exact"/>
        <w:rPr>
          <w:sz w:val="20"/>
          <w:szCs w:val="20"/>
          <w:color w:val="auto"/>
        </w:rPr>
      </w:pPr>
    </w:p>
    <w:p>
      <w:pPr>
        <w:jc w:val="both"/>
        <w:ind w:left="100" w:right="20" w:firstLine="720"/>
        <w:spacing w:after="0" w:line="267" w:lineRule="auto"/>
        <w:rPr>
          <w:sz w:val="20"/>
          <w:szCs w:val="20"/>
          <w:color w:val="auto"/>
        </w:rPr>
      </w:pPr>
      <w:r>
        <w:rPr>
          <w:rFonts w:ascii="Times New Roman" w:cs="Times New Roman" w:eastAsia="Times New Roman" w:hAnsi="Times New Roman"/>
          <w:sz w:val="20"/>
          <w:szCs w:val="20"/>
          <w:color w:val="auto"/>
        </w:rPr>
        <w:t>At December 31, 2024, the Company’s estimated PUD reserves were approximately 1,172,618 MBOE, a 491,387 MBOE increase over the reserve estimate at December 31, 2023 of 681,231 MBOE. The following table includes the changes in PUD reserves for 2024 (MBOE):</w:t>
      </w:r>
    </w:p>
    <w:p>
      <w:pPr>
        <w:spacing w:after="0" w:line="273"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Beginning proved undeveloped reserves at December 31, 2023</w:t>
            </w:r>
            <w:r>
              <w:rPr>
                <w:rFonts w:ascii="Times New Roman" w:cs="Times New Roman" w:eastAsia="Times New Roman" w:hAnsi="Times New Roman"/>
                <w:sz w:val="20"/>
                <w:szCs w:val="20"/>
                <w:b w:val="1"/>
                <w:bCs w:val="1"/>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681,231</w:t>
            </w:r>
          </w:p>
        </w:tc>
        <w:tc>
          <w:tcPr>
            <w:tcW w:w="20" w:type="dxa"/>
            <w:vAlign w:val="bottom"/>
          </w:tcPr>
          <w:p>
            <w:pPr>
              <w:spacing w:after="0"/>
              <w:rPr>
                <w:sz w:val="23"/>
                <w:szCs w:val="23"/>
                <w:color w:val="auto"/>
              </w:rPr>
            </w:pPr>
          </w:p>
        </w:tc>
      </w:tr>
      <w:tr>
        <w:trPr>
          <w:trHeight w:val="294"/>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Undeveloped reserves transferred to developed</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(305,616)</w:t>
            </w:r>
          </w:p>
        </w:tc>
        <w:tc>
          <w:tcPr>
            <w:tcW w:w="20" w:type="dxa"/>
            <w:vAlign w:val="bottom"/>
          </w:tcPr>
          <w:p>
            <w:pPr>
              <w:spacing w:after="0"/>
              <w:rPr>
                <w:sz w:val="24"/>
                <w:szCs w:val="24"/>
                <w:color w:val="auto"/>
              </w:rPr>
            </w:pPr>
          </w:p>
        </w:tc>
      </w:tr>
      <w:tr>
        <w:trPr>
          <w:trHeight w:val="300"/>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Revisions  </w:t>
            </w:r>
            <w:r>
              <w:rPr>
                <w:rFonts w:ascii="Times New Roman" w:cs="Times New Roman" w:eastAsia="Times New Roman" w:hAnsi="Times New Roman"/>
                <w:sz w:val="20"/>
                <w:szCs w:val="20"/>
                <w:color w:val="B3B3B3"/>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(50,767)</w:t>
            </w:r>
          </w:p>
        </w:tc>
        <w:tc>
          <w:tcPr>
            <w:tcW w:w="20" w:type="dxa"/>
            <w:vAlign w:val="bottom"/>
          </w:tcPr>
          <w:p>
            <w:pPr>
              <w:spacing w:after="0"/>
              <w:rPr>
                <w:sz w:val="24"/>
                <w:szCs w:val="24"/>
                <w:color w:val="auto"/>
              </w:rPr>
            </w:pPr>
          </w:p>
        </w:tc>
      </w:tr>
      <w:tr>
        <w:trPr>
          <w:trHeight w:val="300"/>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Purchases</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633,382</w:t>
            </w:r>
          </w:p>
        </w:tc>
        <w:tc>
          <w:tcPr>
            <w:tcW w:w="20" w:type="dxa"/>
            <w:vAlign w:val="bottom"/>
          </w:tcPr>
          <w:p>
            <w:pPr>
              <w:spacing w:after="0"/>
              <w:rPr>
                <w:sz w:val="24"/>
                <w:szCs w:val="24"/>
                <w:color w:val="auto"/>
              </w:rPr>
            </w:pPr>
          </w:p>
        </w:tc>
      </w:tr>
      <w:tr>
        <w:trPr>
          <w:trHeight w:val="300"/>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Divestitures</w:t>
            </w:r>
            <w:r>
              <w:rPr>
                <w:rFonts w:ascii="Times New Roman" w:cs="Times New Roman" w:eastAsia="Times New Roman" w:hAnsi="Times New Roman"/>
                <w:sz w:val="20"/>
                <w:szCs w:val="20"/>
                <w:color w:val="B3B3B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(11,017)</w:t>
            </w:r>
          </w:p>
        </w:tc>
        <w:tc>
          <w:tcPr>
            <w:tcW w:w="20" w:type="dxa"/>
            <w:vAlign w:val="bottom"/>
          </w:tcPr>
          <w:p>
            <w:pPr>
              <w:spacing w:after="0"/>
              <w:rPr>
                <w:sz w:val="24"/>
                <w:szCs w:val="24"/>
                <w:color w:val="auto"/>
              </w:rPr>
            </w:pPr>
          </w:p>
        </w:tc>
      </w:tr>
      <w:tr>
        <w:trPr>
          <w:trHeight w:val="302"/>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auto"/>
              </w:rPr>
              <w:t>Extensions and discoveries</w:t>
            </w:r>
            <w:r>
              <w:rPr>
                <w:rFonts w:ascii="Times New Roman" w:cs="Times New Roman" w:eastAsia="Times New Roman" w:hAnsi="Times New Roman"/>
                <w:sz w:val="20"/>
                <w:szCs w:val="20"/>
                <w:color w:val="B3B3B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225,405</w:t>
            </w:r>
          </w:p>
        </w:tc>
        <w:tc>
          <w:tcPr>
            <w:tcW w:w="20" w:type="dxa"/>
            <w:vAlign w:val="bottom"/>
          </w:tcPr>
          <w:p>
            <w:pPr>
              <w:spacing w:after="0"/>
              <w:rPr>
                <w:sz w:val="24"/>
                <w:szCs w:val="24"/>
                <w:color w:val="auto"/>
              </w:rPr>
            </w:pPr>
          </w:p>
        </w:tc>
      </w:tr>
      <w:tr>
        <w:trPr>
          <w:trHeight w:val="232"/>
        </w:trPr>
        <w:tc>
          <w:tcPr>
            <w:tcW w:w="8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Ending proved undeveloped reserves at December 31, 2024 </w:t>
            </w: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1,172,618</w:t>
            </w:r>
          </w:p>
        </w:tc>
        <w:tc>
          <w:tcPr>
            <w:tcW w:w="20" w:type="dxa"/>
            <w:vAlign w:val="bottom"/>
            <w:tcBorders>
              <w:bottom w:val="single" w:sz="8" w:color="auto"/>
            </w:tcBorders>
          </w:tcPr>
          <w:p>
            <w:pPr>
              <w:spacing w:after="0"/>
              <w:rPr>
                <w:sz w:val="20"/>
                <w:szCs w:val="20"/>
                <w:color w:val="auto"/>
              </w:rPr>
            </w:pPr>
          </w:p>
        </w:tc>
      </w:tr>
      <w:tr>
        <w:trPr>
          <w:trHeight w:val="20"/>
        </w:trPr>
        <w:tc>
          <w:tcPr>
            <w:tcW w:w="8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left="100" w:right="20" w:firstLine="720"/>
        <w:spacing w:after="0" w:line="253" w:lineRule="auto"/>
        <w:rPr>
          <w:sz w:val="20"/>
          <w:szCs w:val="20"/>
          <w:color w:val="auto"/>
        </w:rPr>
      </w:pPr>
      <w:r>
        <w:rPr>
          <w:rFonts w:ascii="Times New Roman" w:cs="Times New Roman" w:eastAsia="Times New Roman" w:hAnsi="Times New Roman"/>
          <w:sz w:val="20"/>
          <w:szCs w:val="20"/>
          <w:color w:val="auto"/>
        </w:rPr>
        <w:t>The increase in proved undeveloped reserves was primarily attributable to extensions of 215,557 MBOE from 445 gross (409 net) wells in which the Company has a working interest and 9,848 MBOE from 447 gross wells in which Viper owns royalty interests. Of the 445 gross working interest wells, 426 were in the Midland Basin and 19 were in the Delaware Basin. Transfers of 305,616 MBOE from undeveloped to developed reserves were the result of drilling or participating in 290 gross (270 net) horizontal wells in which the Company has a working interest and 222 gross wells in which the Company also has a royalty interest or mineral interest through Viper. Downward revisions of 50,767 MBOE were primarily the result of negative revisions of 37,218 MBOE due to downgrades related to changes in the corporate development plan, and negative revisions of 13,549 MBOE attributable to lower commodity prices. Purchases of 633,382 MBOE consisted of 628,469 MBOE primarily from the Endeavor Acquisition and 4,913 MBOE from the Viper Tumbleweed Acquisitions and other insignificant royalty interest purchases.</w:t>
      </w:r>
    </w:p>
    <w:p>
      <w:pPr>
        <w:spacing w:after="0" w:line="211" w:lineRule="exact"/>
        <w:rPr>
          <w:sz w:val="20"/>
          <w:szCs w:val="20"/>
          <w:color w:val="auto"/>
        </w:rPr>
      </w:pPr>
    </w:p>
    <w:p>
      <w:pPr>
        <w:jc w:val="both"/>
        <w:ind w:left="100" w:right="20" w:firstLine="720"/>
        <w:spacing w:after="0" w:line="261" w:lineRule="auto"/>
        <w:rPr>
          <w:sz w:val="20"/>
          <w:szCs w:val="20"/>
          <w:color w:val="auto"/>
        </w:rPr>
      </w:pPr>
      <w:r>
        <w:rPr>
          <w:rFonts w:ascii="Times New Roman" w:cs="Times New Roman" w:eastAsia="Times New Roman" w:hAnsi="Times New Roman"/>
          <w:sz w:val="20"/>
          <w:szCs w:val="20"/>
          <w:color w:val="auto"/>
        </w:rPr>
        <w:t>During 2024, approximately $3.0 billion in capital expenditures went toward the development of proved undeveloped reserves, which includes drilling, completion and other facility costs associated with developing proved undeveloped wells. Estimated future development costs relating to the development of PUDs are projected to be approximately $2.1 billion in 2025, $2.3 billion in 2026, $1.3 billion in 2027 and $1.2 billion in 2028. Since our formation in</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200"/>
          </w:cols>
          <w:pgMar w:left="980" w:top="214" w:right="1060" w:bottom="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9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2011, our average drilling costs and drilling times have been reduced, and we believe we will continue to realize cost savings and experience lower relative drilling and completion costs as we convert PUDs into proved developed reserves in upcoming years.</w:t>
      </w:r>
    </w:p>
    <w:p>
      <w:pPr>
        <w:spacing w:after="0" w:line="187" w:lineRule="exact"/>
        <w:rPr>
          <w:sz w:val="20"/>
          <w:szCs w:val="20"/>
          <w:color w:val="auto"/>
        </w:rPr>
      </w:pPr>
    </w:p>
    <w:p>
      <w:pPr>
        <w:jc w:val="both"/>
        <w:ind w:left="100" w:firstLine="720"/>
        <w:spacing w:after="0" w:line="261" w:lineRule="auto"/>
        <w:rPr>
          <w:sz w:val="20"/>
          <w:szCs w:val="20"/>
          <w:color w:val="auto"/>
        </w:rPr>
      </w:pPr>
      <w:r>
        <w:rPr>
          <w:rFonts w:ascii="Times New Roman" w:cs="Times New Roman" w:eastAsia="Times New Roman" w:hAnsi="Times New Roman"/>
          <w:sz w:val="20"/>
          <w:szCs w:val="20"/>
          <w:color w:val="auto"/>
        </w:rPr>
        <w:t>With our current development plan, we expect to continue our strong PUD conversion ratio in 2025 by converting an estimated 33% of our PUDs to a proved developed category and developing approximately 78% of the consolidated 2024 year- end PUD reserves by the end of 2027. As of December 31, 2024, all of our proved undeveloped reserves are scheduled to be developed within five years from the date they were initially recorded.</w:t>
      </w:r>
    </w:p>
    <w:p>
      <w:pPr>
        <w:spacing w:after="0" w:line="1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Standardized Measure of Discounted Future Net Cash Flows</w:t>
      </w:r>
    </w:p>
    <w:p>
      <w:pPr>
        <w:spacing w:after="0" w:line="251"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standardized measure of discounted future net cash flows is based on the unweighted arithmetic average, first-day- of-the-month price for the rolling 12- 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the standardized measure of discounted future net cash flows attributable to the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Company’s proved oil and natural gas reserves as of December 31, 2024, 2023 and 2022:</w:t>
      </w:r>
    </w:p>
    <w:p>
      <w:pPr>
        <w:spacing w:after="0" w:line="398" w:lineRule="exact"/>
        <w:rPr>
          <w:sz w:val="20"/>
          <w:szCs w:val="20"/>
          <w:color w:val="auto"/>
        </w:rPr>
      </w:pPr>
    </w:p>
    <w:tbl>
      <w:tblPr>
        <w:tblLayout w:type="fixed"/>
        <w:tblInd w:w="260" w:type="dxa"/>
        <w:tblCellMar>
          <w:top w:w="0" w:type="dxa"/>
          <w:left w:w="0" w:type="dxa"/>
          <w:bottom w:w="0" w:type="dxa"/>
          <w:right w:w="0" w:type="dxa"/>
        </w:tblCellMar>
      </w:tblPr>
      <w:tr>
        <w:trPr>
          <w:trHeight w:val="248"/>
        </w:trPr>
        <w:tc>
          <w:tcPr>
            <w:tcW w:w="5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1"/>
        </w:trPr>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Future cash inflows</w:t>
            </w:r>
            <w:r>
              <w:rPr>
                <w:rFonts w:ascii="Times New Roman" w:cs="Times New Roman" w:eastAsia="Times New Roman" w:hAnsi="Times New Roman"/>
                <w:sz w:val="20"/>
                <w:szCs w:val="20"/>
                <w:color w:val="B3B3B3"/>
                <w:w w:val="98"/>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157,944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106,418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137,051</w:t>
            </w:r>
          </w:p>
        </w:tc>
        <w:tc>
          <w:tcPr>
            <w:tcW w:w="20" w:type="dxa"/>
            <w:vAlign w:val="bottom"/>
          </w:tcPr>
          <w:p>
            <w:pPr>
              <w:spacing w:after="0"/>
              <w:rPr>
                <w:sz w:val="23"/>
                <w:szCs w:val="23"/>
                <w:color w:val="auto"/>
              </w:rPr>
            </w:pPr>
          </w:p>
        </w:tc>
      </w:tr>
      <w:tr>
        <w:trPr>
          <w:trHeight w:val="306"/>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Future development costs</w:t>
            </w:r>
            <w:r>
              <w:rPr>
                <w:rFonts w:ascii="Times New Roman" w:cs="Times New Roman" w:eastAsia="Times New Roman" w:hAnsi="Times New Roman"/>
                <w:sz w:val="25"/>
                <w:szCs w:val="25"/>
                <w:color w:val="auto"/>
                <w:w w:val="96"/>
                <w:vertAlign w:val="superscript"/>
              </w:rPr>
              <w:t>(1)</w:t>
            </w:r>
            <w:r>
              <w:rPr>
                <w:rFonts w:ascii="Times New Roman" w:cs="Times New Roman" w:eastAsia="Times New Roman" w:hAnsi="Times New Roman"/>
                <w:sz w:val="20"/>
                <w:szCs w:val="20"/>
                <w:color w:val="auto"/>
                <w:w w:val="96"/>
              </w:rPr>
              <w:t xml:space="preserve"> </w:t>
            </w:r>
            <w:r>
              <w:rPr>
                <w:rFonts w:ascii="Times New Roman" w:cs="Times New Roman" w:eastAsia="Times New Roman" w:hAnsi="Times New Roman"/>
                <w:sz w:val="20"/>
                <w:szCs w:val="20"/>
                <w:color w:val="B3B3B3"/>
                <w:w w:val="96"/>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(6,176)</w:t>
            </w:r>
          </w:p>
        </w:tc>
        <w:tc>
          <w:tcPr>
            <w:tcW w:w="20" w:type="dxa"/>
            <w:vAlign w:val="bottom"/>
          </w:tcPr>
          <w:p>
            <w:pPr>
              <w:spacing w:after="0"/>
              <w:rPr>
                <w:sz w:val="24"/>
                <w:szCs w:val="24"/>
                <w:color w:val="auto"/>
              </w:rPr>
            </w:pPr>
          </w:p>
        </w:tc>
      </w:tr>
      <w:tr>
        <w:trPr>
          <w:trHeight w:val="267"/>
        </w:trPr>
        <w:tc>
          <w:tcPr>
            <w:tcW w:w="5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7"/>
              </w:rPr>
              <w:t xml:space="preserve">Future production costs </w:t>
            </w:r>
            <w:r>
              <w:rPr>
                <w:rFonts w:ascii="Times New Roman" w:cs="Times New Roman" w:eastAsia="Times New Roman" w:hAnsi="Times New Roman"/>
                <w:sz w:val="20"/>
                <w:szCs w:val="20"/>
                <w:color w:val="B3B3B3"/>
                <w:w w:val="97"/>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(25,295)</w:t>
            </w:r>
          </w:p>
        </w:tc>
        <w:tc>
          <w:tcPr>
            <w:tcW w:w="20" w:type="dxa"/>
            <w:vAlign w:val="bottom"/>
          </w:tcPr>
          <w:p>
            <w:pPr>
              <w:spacing w:after="0"/>
              <w:rPr>
                <w:sz w:val="23"/>
                <w:szCs w:val="23"/>
                <w:color w:val="auto"/>
              </w:rPr>
            </w:pPr>
          </w:p>
        </w:tc>
      </w:tr>
      <w:tr>
        <w:trPr>
          <w:trHeight w:val="283"/>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7"/>
              </w:rPr>
              <w:t xml:space="preserve">Future production taxes </w:t>
            </w:r>
            <w:r>
              <w:rPr>
                <w:rFonts w:ascii="Times New Roman" w:cs="Times New Roman" w:eastAsia="Times New Roman" w:hAnsi="Times New Roman"/>
                <w:sz w:val="20"/>
                <w:szCs w:val="20"/>
                <w:color w:val="B3B3B3"/>
                <w:w w:val="97"/>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(9,927)</w:t>
            </w:r>
          </w:p>
        </w:tc>
        <w:tc>
          <w:tcPr>
            <w:tcW w:w="20" w:type="dxa"/>
            <w:vAlign w:val="bottom"/>
          </w:tcPr>
          <w:p>
            <w:pPr>
              <w:spacing w:after="0"/>
              <w:rPr>
                <w:sz w:val="24"/>
                <w:szCs w:val="24"/>
                <w:color w:val="auto"/>
              </w:rPr>
            </w:pPr>
          </w:p>
        </w:tc>
      </w:tr>
      <w:tr>
        <w:trPr>
          <w:trHeight w:val="287"/>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8"/>
              </w:rPr>
              <w:t>Future income tax expenses</w:t>
            </w:r>
            <w:r>
              <w:rPr>
                <w:rFonts w:ascii="Times New Roman" w:cs="Times New Roman" w:eastAsia="Times New Roman" w:hAnsi="Times New Roman"/>
                <w:sz w:val="20"/>
                <w:szCs w:val="20"/>
                <w:color w:val="B3B3B3"/>
                <w:w w:val="98"/>
              </w:rPr>
              <w: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(11,067)</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(17,563)</w:t>
            </w:r>
          </w:p>
        </w:tc>
        <w:tc>
          <w:tcPr>
            <w:tcW w:w="20" w:type="dxa"/>
            <w:vAlign w:val="bottom"/>
          </w:tcPr>
          <w:p>
            <w:pPr>
              <w:spacing w:after="0"/>
              <w:rPr>
                <w:sz w:val="24"/>
                <w:szCs w:val="24"/>
                <w:color w:val="auto"/>
              </w:rPr>
            </w:pPr>
          </w:p>
        </w:tc>
      </w:tr>
      <w:tr>
        <w:trPr>
          <w:trHeight w:val="266"/>
        </w:trPr>
        <w:tc>
          <w:tcPr>
            <w:tcW w:w="5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Futurenetcashflows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76,765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55,861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78,090</w:t>
            </w:r>
          </w:p>
        </w:tc>
        <w:tc>
          <w:tcPr>
            <w:tcW w:w="20" w:type="dxa"/>
            <w:vAlign w:val="bottom"/>
          </w:tcPr>
          <w:p>
            <w:pPr>
              <w:spacing w:after="0"/>
              <w:rPr>
                <w:sz w:val="23"/>
                <w:szCs w:val="23"/>
                <w:color w:val="auto"/>
              </w:rPr>
            </w:pPr>
          </w:p>
        </w:tc>
      </w:tr>
      <w:tr>
        <w:trPr>
          <w:trHeight w:val="286"/>
        </w:trPr>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xml:space="preserve">10% discount to reflect timing of cash flows </w:t>
            </w:r>
            <w:r>
              <w:rPr>
                <w:rFonts w:ascii="Times New Roman" w:cs="Times New Roman" w:eastAsia="Times New Roman" w:hAnsi="Times New Roman"/>
                <w:sz w:val="20"/>
                <w:szCs w:val="20"/>
                <w:color w:val="B3B3B3"/>
                <w:w w:val="97"/>
              </w:rPr>
              <w:t>.....................................</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(36,932)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(28,803)</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(42,391)</w:t>
            </w:r>
          </w:p>
        </w:tc>
        <w:tc>
          <w:tcPr>
            <w:tcW w:w="20" w:type="dxa"/>
            <w:vAlign w:val="bottom"/>
          </w:tcPr>
          <w:p>
            <w:pPr>
              <w:spacing w:after="0"/>
              <w:rPr>
                <w:sz w:val="24"/>
                <w:szCs w:val="24"/>
                <w:color w:val="auto"/>
              </w:rPr>
            </w:pPr>
          </w:p>
        </w:tc>
      </w:tr>
      <w:tr>
        <w:trPr>
          <w:trHeight w:val="242"/>
        </w:trPr>
        <w:tc>
          <w:tcPr>
            <w:tcW w:w="5360" w:type="dxa"/>
            <w:vAlign w:val="bottom"/>
          </w:tcPr>
          <w:p>
            <w:pPr>
              <w:jc w:val="right"/>
              <w:spacing w:after="0" w:line="242" w:lineRule="exact"/>
              <w:rPr>
                <w:sz w:val="20"/>
                <w:szCs w:val="20"/>
                <w:color w:val="auto"/>
              </w:rPr>
            </w:pPr>
            <w:r>
              <w:rPr>
                <w:rFonts w:ascii="Times New Roman" w:cs="Times New Roman" w:eastAsia="Times New Roman" w:hAnsi="Times New Roman"/>
                <w:sz w:val="20"/>
                <w:szCs w:val="20"/>
                <w:color w:val="auto"/>
              </w:rPr>
              <w:t>Standardized measure of discounted future net cash flows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3B3B3"/>
              </w:rPr>
              <w:t>........</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39,833</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27,058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35,699</w:t>
            </w:r>
          </w:p>
        </w:tc>
        <w:tc>
          <w:tcPr>
            <w:tcW w:w="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3578225</wp:posOffset>
                </wp:positionH>
                <wp:positionV relativeFrom="paragraph">
                  <wp:posOffset>38735</wp:posOffset>
                </wp:positionV>
                <wp:extent cx="9239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75pt,3.05pt" to="354.5pt,3.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4549775</wp:posOffset>
                </wp:positionH>
                <wp:positionV relativeFrom="paragraph">
                  <wp:posOffset>38735</wp:posOffset>
                </wp:positionV>
                <wp:extent cx="9239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25pt,3.05pt" to="431pt,3.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5521325</wp:posOffset>
                </wp:positionH>
                <wp:positionV relativeFrom="paragraph">
                  <wp:posOffset>38735</wp:posOffset>
                </wp:positionV>
                <wp:extent cx="9239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75pt,3.05pt" to="507.5pt,3.05pt" o:allowincell="f" strokecolor="#000000" strokeweight="1pt"/>
            </w:pict>
          </mc:Fallback>
        </mc:AlternateContent>
      </w:r>
    </w:p>
    <w:p>
      <w:pPr>
        <w:spacing w:after="0" w:line="44" w:lineRule="exact"/>
        <w:rPr>
          <w:sz w:val="20"/>
          <w:szCs w:val="20"/>
          <w:color w:val="auto"/>
        </w:rPr>
      </w:pPr>
    </w:p>
    <w:p>
      <w:pPr>
        <w:jc w:val="both"/>
        <w:ind w:left="460" w:hanging="360"/>
        <w:spacing w:after="0" w:line="250" w:lineRule="auto"/>
        <w:tabs>
          <w:tab w:leader="none" w:pos="4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approximately $1.3 billion, $685 million, and $756 million of undiscounted future asset retirement costs for the years ended December 31, 2024, 2023 and 2022, respectively, based on estimates made at the end of each of the respective years,</w:t>
      </w:r>
    </w:p>
    <w:p>
      <w:pPr>
        <w:spacing w:after="0" w:line="1" w:lineRule="exact"/>
        <w:rPr>
          <w:rFonts w:ascii="Times New Roman" w:cs="Times New Roman" w:eastAsia="Times New Roman" w:hAnsi="Times New Roman"/>
          <w:sz w:val="20"/>
          <w:szCs w:val="20"/>
          <w:color w:val="auto"/>
        </w:rPr>
      </w:pPr>
    </w:p>
    <w:p>
      <w:pPr>
        <w:jc w:val="both"/>
        <w:ind w:left="460" w:hanging="360"/>
        <w:spacing w:after="0" w:line="268" w:lineRule="auto"/>
        <w:tabs>
          <w:tab w:leader="none" w:pos="4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$3.3 billion, $3.2 billion and $3.5 billion, for the years ended December 31, 2024, 2023 and 2022, respectively, attributable to the Company’s consolidated subsidiary, Viper, in which there is a 55%, 44% and 44% non-controlling interest at December 31, 2024, 2023 and 2022, respectively.</w:t>
      </w:r>
    </w:p>
    <w:p>
      <w:pPr>
        <w:spacing w:after="0" w:line="187" w:lineRule="exact"/>
        <w:rPr>
          <w:sz w:val="20"/>
          <w:szCs w:val="20"/>
          <w:color w:val="auto"/>
        </w:rPr>
      </w:pPr>
    </w:p>
    <w:p>
      <w:pPr>
        <w:ind w:left="100" w:right="320" w:firstLine="720"/>
        <w:spacing w:after="0" w:line="289" w:lineRule="auto"/>
        <w:rPr>
          <w:sz w:val="20"/>
          <w:szCs w:val="20"/>
          <w:color w:val="auto"/>
        </w:rPr>
      </w:pPr>
      <w:r>
        <w:rPr>
          <w:rFonts w:ascii="Times New Roman" w:cs="Times New Roman" w:eastAsia="Times New Roman" w:hAnsi="Times New Roman"/>
          <w:sz w:val="20"/>
          <w:szCs w:val="20"/>
          <w:color w:val="auto"/>
        </w:rPr>
        <w:t>The table below presents the SEC Prices as adjusted for differentials and contractual arrangements utilized in the computation of future cash inflows:</w:t>
      </w:r>
    </w:p>
    <w:p>
      <w:pPr>
        <w:spacing w:after="0" w:line="314"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5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21"/>
        </w:trPr>
        <w:tc>
          <w:tcPr>
            <w:tcW w:w="5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B3B3B3"/>
              </w:rPr>
              <w:t>...............................................................................................</w:t>
            </w:r>
            <w:r>
              <w:rPr>
                <w:rFonts w:ascii="Times New Roman" w:cs="Times New Roman" w:eastAsia="Times New Roman" w:hAnsi="Times New Roman"/>
                <w:sz w:val="20"/>
                <w:szCs w:val="20"/>
                <w:color w:val="000000"/>
              </w:rPr>
              <w:t>Oil(perBbl)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76.15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77.62</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95.26</w:t>
            </w:r>
          </w:p>
        </w:tc>
      </w:tr>
      <w:tr>
        <w:trPr>
          <w:trHeight w:val="282"/>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(per Mcf)</w:t>
            </w:r>
            <w:r>
              <w:rPr>
                <w:rFonts w:ascii="Times New Roman" w:cs="Times New Roman" w:eastAsia="Times New Roman" w:hAnsi="Times New Roman"/>
                <w:sz w:val="20"/>
                <w:szCs w:val="20"/>
                <w:color w:val="B3B3B3"/>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0.54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1.53</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5.59</w:t>
            </w:r>
          </w:p>
        </w:tc>
      </w:tr>
      <w:tr>
        <w:trPr>
          <w:trHeight w:val="266"/>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w w:val="99"/>
              </w:rPr>
              <w:t>Natural gas liquids (per Bbl)</w:t>
            </w:r>
            <w:r>
              <w:rPr>
                <w:rFonts w:ascii="Times New Roman" w:cs="Times New Roman" w:eastAsia="Times New Roman" w:hAnsi="Times New Roman"/>
                <w:sz w:val="20"/>
                <w:szCs w:val="20"/>
                <w:color w:val="B3B3B3"/>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22.02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24.40</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180"/>
          </w:cols>
          <w:pgMar w:left="980" w:top="214" w:right="1080" w:bottom="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color w:val="auto"/>
        </w:rPr>
        <w:t>Table of Contents</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Diamondback Energy,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Statements-(Continued)</w:t>
      </w:r>
    </w:p>
    <w:p>
      <w:pPr>
        <w:spacing w:after="0" w:line="200" w:lineRule="exact"/>
        <w:rPr>
          <w:sz w:val="20"/>
          <w:szCs w:val="20"/>
          <w:color w:val="auto"/>
        </w:rPr>
      </w:pPr>
    </w:p>
    <w:p>
      <w:pPr>
        <w:spacing w:after="0" w:line="226" w:lineRule="exact"/>
        <w:rPr>
          <w:sz w:val="20"/>
          <w:szCs w:val="20"/>
          <w:color w:val="auto"/>
        </w:rPr>
      </w:pPr>
    </w:p>
    <w:p>
      <w:pPr>
        <w:ind w:left="100" w:right="80" w:firstLine="721"/>
        <w:spacing w:after="0" w:line="286" w:lineRule="auto"/>
        <w:rPr>
          <w:sz w:val="20"/>
          <w:szCs w:val="20"/>
          <w:color w:val="auto"/>
        </w:rPr>
      </w:pPr>
      <w:r>
        <w:rPr>
          <w:rFonts w:ascii="Times New Roman" w:cs="Times New Roman" w:eastAsia="Times New Roman" w:hAnsi="Times New Roman"/>
          <w:sz w:val="20"/>
          <w:szCs w:val="20"/>
          <w:color w:val="auto"/>
        </w:rPr>
        <w:t>Principal changes in the standardized measure of discounted future net cash flows attributable to the Company’s proved reserves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6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10"/>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1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Standardized measure of discounted future net cash flows at the beginning</w:t>
            </w: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27,058</w:t>
            </w: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35,699</w:t>
            </w:r>
          </w:p>
        </w:tc>
        <w:tc>
          <w:tcPr>
            <w:tcW w:w="4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18,717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of the period</w:t>
            </w:r>
            <w:r>
              <w:rPr>
                <w:rFonts w:ascii="Times New Roman" w:cs="Times New Roman" w:eastAsia="Times New Roman" w:hAnsi="Times New Roman"/>
                <w:sz w:val="20"/>
                <w:szCs w:val="20"/>
                <w:color w:val="B3B3B3"/>
                <w:w w:val="96"/>
              </w:rPr>
              <w:t>.....................................................................................................</w:t>
            </w:r>
          </w:p>
        </w:tc>
        <w:tc>
          <w:tcPr>
            <w:tcW w:w="30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240" w:type="dxa"/>
            <w:vAlign w:val="bottom"/>
            <w:gridSpan w:val="4"/>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460" w:type="dxa"/>
            <w:vAlign w:val="bottom"/>
            <w:gridSpan w:val="4"/>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Sales of oil and natural gas, net of production costs</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6"/>
              </w:rPr>
              <w:t>Acquisitions of reserves</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6"/>
              </w:rPr>
              <w:t>Divestitures of reserves</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Extensions and discoveries, net of future development costs</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 xml:space="preserve">Previously estimated development costs incurred during the period </w:t>
            </w:r>
            <w:r>
              <w:rPr>
                <w:rFonts w:ascii="Times New Roman" w:cs="Times New Roman" w:eastAsia="Times New Roman" w:hAnsi="Times New Roman"/>
                <w:sz w:val="20"/>
                <w:szCs w:val="20"/>
                <w:color w:val="B3B3B3"/>
                <w:w w:val="99"/>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Net changes in prices and production costs</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Changes in estimated future development costs</w:t>
            </w:r>
            <w:r>
              <w:rPr>
                <w:rFonts w:ascii="Times New Roman" w:cs="Times New Roman" w:eastAsia="Times New Roman" w:hAnsi="Times New Roman"/>
                <w:sz w:val="20"/>
                <w:szCs w:val="20"/>
                <w:color w:val="B3B3B3"/>
                <w:w w:val="98"/>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 xml:space="preserve">Revisions of previous quantity estimates </w:t>
            </w:r>
            <w:r>
              <w:rPr>
                <w:rFonts w:ascii="Times New Roman" w:cs="Times New Roman" w:eastAsia="Times New Roman" w:hAnsi="Times New Roman"/>
                <w:sz w:val="20"/>
                <w:szCs w:val="20"/>
                <w:color w:val="B3B3B3"/>
                <w:w w:val="97"/>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6"/>
              </w:rPr>
              <w:t>Accretion of discount</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 xml:space="preserve">Net change in income taxes </w:t>
            </w:r>
            <w:r>
              <w:rPr>
                <w:rFonts w:ascii="Times New Roman" w:cs="Times New Roman" w:eastAsia="Times New Roman" w:hAnsi="Times New Roman"/>
                <w:sz w:val="20"/>
                <w:szCs w:val="20"/>
                <w:color w:val="B3B3B3"/>
                <w:w w:val="96"/>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 xml:space="preserve">Net changes in timing of production and other </w:t>
            </w:r>
            <w:r>
              <w:rPr>
                <w:rFonts w:ascii="Times New Roman" w:cs="Times New Roman" w:eastAsia="Times New Roman" w:hAnsi="Times New Roman"/>
                <w:sz w:val="20"/>
                <w:szCs w:val="20"/>
                <w:color w:val="B3B3B3"/>
                <w:w w:val="98"/>
              </w:rPr>
              <w:t>...............................................</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120" w:type="dxa"/>
            <w:vAlign w:val="bottom"/>
            <w:gridSpan w:val="2"/>
          </w:tcPr>
          <w:p>
            <w:pPr>
              <w:jc w:val="center"/>
              <w:ind w:right="60"/>
              <w:spacing w:after="0" w:line="206" w:lineRule="exact"/>
              <w:rPr>
                <w:sz w:val="20"/>
                <w:szCs w:val="20"/>
                <w:color w:val="auto"/>
              </w:rPr>
            </w:pPr>
            <w:r>
              <w:rPr>
                <w:rFonts w:ascii="Times New Roman" w:cs="Times New Roman" w:eastAsia="Times New Roman" w:hAnsi="Times New Roman"/>
                <w:sz w:val="20"/>
                <w:szCs w:val="20"/>
                <w:color w:val="auto"/>
                <w:w w:val="99"/>
              </w:rPr>
              <w:t>Standardized measure of discounted future net cash flows at the end of</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20"/>
              <w:spacing w:after="0" w:line="229" w:lineRule="exact"/>
              <w:rPr>
                <w:sz w:val="20"/>
                <w:szCs w:val="20"/>
                <w:color w:val="auto"/>
              </w:rPr>
            </w:pPr>
            <w:r>
              <w:rPr>
                <w:rFonts w:ascii="Times New Roman" w:cs="Times New Roman" w:eastAsia="Times New Roman" w:hAnsi="Times New Roman"/>
                <w:sz w:val="20"/>
                <w:szCs w:val="20"/>
                <w:color w:val="auto"/>
              </w:rPr>
              <w:t xml:space="preserve">the period </w:t>
            </w:r>
            <w:r>
              <w:rPr>
                <w:rFonts w:ascii="Times New Roman" w:cs="Times New Roman" w:eastAsia="Times New Roman" w:hAnsi="Times New Roman"/>
                <w:sz w:val="20"/>
                <w:szCs w:val="20"/>
                <w:color w:val="B3B3B3"/>
              </w:rPr>
              <w:t>....................................................................................................</w:t>
            </w:r>
          </w:p>
        </w:tc>
        <w:tc>
          <w:tcPr>
            <w:tcW w:w="300" w:type="dxa"/>
            <w:vAlign w:val="bottom"/>
            <w:gridSpan w:val="2"/>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39,833</w:t>
            </w:r>
          </w:p>
        </w:tc>
        <w:tc>
          <w:tcPr>
            <w:tcW w:w="240" w:type="dxa"/>
            <w:vAlign w:val="bottom"/>
            <w:gridSpan w:val="4"/>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27,058</w:t>
            </w:r>
          </w:p>
        </w:tc>
        <w:tc>
          <w:tcPr>
            <w:tcW w:w="460" w:type="dxa"/>
            <w:vAlign w:val="bottom"/>
            <w:gridSpan w:val="4"/>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line="229" w:lineRule="exact"/>
              <w:rPr>
                <w:sz w:val="20"/>
                <w:szCs w:val="20"/>
                <w:color w:val="auto"/>
              </w:rPr>
            </w:pPr>
            <w:r>
              <w:rPr>
                <w:rFonts w:ascii="Times New Roman" w:cs="Times New Roman" w:eastAsia="Times New Roman" w:hAnsi="Times New Roman"/>
                <w:sz w:val="20"/>
                <w:szCs w:val="20"/>
                <w:color w:val="auto"/>
              </w:rPr>
              <w:t>35,699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220"/>
          </w:cols>
          <w:pgMar w:left="980" w:top="214" w:right="1040"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31"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r>
        <w:rPr>
          <w:rFonts w:ascii="Times New Roman" w:cs="Times New Roman" w:eastAsia="Times New Roman" w:hAnsi="Times New Roman"/>
          <w:sz w:val="20"/>
          <w:szCs w:val="20"/>
          <w:color w:val="auto"/>
        </w:rPr>
        <w:t>. Under the direction of our Chief Executive Officer and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2024, our disclosure controls and procedures are effective.</w:t>
      </w:r>
    </w:p>
    <w:p>
      <w:pPr>
        <w:spacing w:after="0" w:line="20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r>
        <w:rPr>
          <w:rFonts w:ascii="Times New Roman" w:cs="Times New Roman" w:eastAsia="Times New Roman" w:hAnsi="Times New Roman"/>
          <w:sz w:val="20"/>
          <w:szCs w:val="20"/>
          <w:color w:val="auto"/>
        </w:rPr>
        <w:t>. Management’s assessment of, and conclusion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effectiveness of internal control over financial reporting did not include the internal controls of the entities acquired in the Endeavor Acquisition on September 10,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Endeavor’s and our internal controls over financial reporting. As a result of these integration activities, certain controls will be evaluated and may be changed. Except as noted above, there have not been any changes in our internal control over financial reporting that occurred during the quarter ended December 31, 2024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080"/>
          </w:cols>
          <w:pgMar w:left="1080" w:top="214" w:right="1080" w:bottom="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MANAGEMENT’S REPORT ON INTERNAL CONTROL OVER FINANCIAL REPORTING</w:t>
      </w:r>
    </w:p>
    <w:p>
      <w:pPr>
        <w:spacing w:after="0" w:line="26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The management of our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02" w:lineRule="exact"/>
        <w:rPr>
          <w:sz w:val="20"/>
          <w:szCs w:val="20"/>
          <w:color w:val="auto"/>
        </w:rPr>
      </w:pPr>
    </w:p>
    <w:p>
      <w:pPr>
        <w:jc w:val="both"/>
        <w:ind w:left="100" w:firstLine="720"/>
        <w:spacing w:after="0" w:line="253" w:lineRule="auto"/>
        <w:rPr>
          <w:sz w:val="20"/>
          <w:szCs w:val="20"/>
          <w:color w:val="auto"/>
        </w:rPr>
      </w:pPr>
      <w:r>
        <w:rPr>
          <w:rFonts w:ascii="Times New Roman" w:cs="Times New Roman" w:eastAsia="Times New Roman" w:hAnsi="Times New Roman"/>
          <w:sz w:val="20"/>
          <w:szCs w:val="20"/>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2024. Management’s assessment of, and conclusion on, the effectiveness of internal control over financial reporting did not include the internal controls of the entities acquired in the Endeavor Acquisition on September 10, 2024. The total assets and revenues of Endeavor represent approximately 54% and 16% of the related consolidated financial statement amounts as of and for the year ended December 31, 2024.</w:t>
      </w:r>
    </w:p>
    <w:p>
      <w:pPr>
        <w:spacing w:after="0" w:line="214" w:lineRule="exact"/>
        <w:rPr>
          <w:sz w:val="20"/>
          <w:szCs w:val="20"/>
          <w:color w:val="auto"/>
        </w:rPr>
      </w:pPr>
    </w:p>
    <w:p>
      <w:pPr>
        <w:jc w:val="both"/>
        <w:ind w:left="100" w:firstLine="721"/>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jc w:val="both"/>
        <w:ind w:left="100" w:firstLine="720"/>
        <w:spacing w:after="0" w:line="258" w:lineRule="auto"/>
        <w:rPr>
          <w:sz w:val="20"/>
          <w:szCs w:val="20"/>
          <w:color w:val="auto"/>
        </w:rPr>
      </w:pPr>
      <w:r>
        <w:rPr>
          <w:rFonts w:ascii="Times New Roman" w:cs="Times New Roman" w:eastAsia="Times New Roman" w:hAnsi="Times New Roman"/>
          <w:sz w:val="20"/>
          <w:szCs w:val="20"/>
          <w:color w:val="auto"/>
        </w:rPr>
        <w:t>Grant Thornton LLP, the independent registered public accounting firm that audited the consolidated financial statements of the Company included in this Annual Report on Form 10- K, has issued their report on the effectiveness of the Company’s internal control over financial reporting at December 31, 2024. The report, which expresses an unqualified opinion on the effectiveness of the Company’s internal control over financial reporting at December 31, 2024,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180"/>
          </w:cols>
          <w:pgMar w:left="980" w:top="214" w:right="1080" w:bottom="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Diamondback Energy, Inc.</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6"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Diamondback Energy, Inc. (a Delaware corporation) and subsidiaries (the “Company”) as of December 31, 2024, based on criteria established in the 2013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w:t>
      </w:r>
      <w:r>
        <w:rPr>
          <w:rFonts w:ascii="Times New Roman" w:cs="Times New Roman" w:eastAsia="Times New Roman" w:hAnsi="Times New Roman"/>
          <w:sz w:val="20"/>
          <w:szCs w:val="20"/>
          <w:color w:val="auto"/>
        </w:rPr>
        <w:t>issued by the Committee of Sponsoring Organizations of the Treadway Commission (“COSO”).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202"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2024, and our report dated February 26, 2025 expressed an unqualified opinion on those financial statements.</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8"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jc w:val="both"/>
        <w:ind w:left="100"/>
        <w:spacing w:after="0" w:line="232" w:lineRule="auto"/>
        <w:rPr>
          <w:sz w:val="20"/>
          <w:szCs w:val="20"/>
          <w:color w:val="auto"/>
        </w:rPr>
      </w:pPr>
      <w:r>
        <w:rPr>
          <w:rFonts w:ascii="Times New Roman" w:cs="Times New Roman" w:eastAsia="Times New Roman" w:hAnsi="Times New Roman"/>
          <w:sz w:val="20"/>
          <w:szCs w:val="20"/>
          <w:color w:val="auto"/>
        </w:rPr>
        <w:t>Our audit of, and opinion on, the Company’s internal control over financial reporting does not include the internal control over financial reporting of Endeavor Energy Resources, LP, a wholly-owned subsidiary, whose financial statements reflect total assets and revenues constituting 54 and 16 percent, respectively, of the related consolidated financial statement amounts as of and for the year ended December 31, 2024. As indicated in Management’s Report, Endeavor Energy Resources, LP was acquired during 2024. Management’s assertion on the effectiveness of the Company’s internal control over financial reporting excluded internal control over financial reporting of Endeavor Energy Resources, LP.</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8" w:lineRule="exact"/>
        <w:rPr>
          <w:sz w:val="20"/>
          <w:szCs w:val="20"/>
          <w:color w:val="auto"/>
        </w:rPr>
      </w:pPr>
    </w:p>
    <w:p>
      <w:pPr>
        <w:jc w:val="both"/>
        <w:ind w:left="100"/>
        <w:spacing w:after="0" w:line="25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February 26, 2025</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180"/>
          </w:cols>
          <w:pgMar w:left="980" w:top="214" w:right="1080" w:bottom="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6" w:lineRule="exact"/>
        <w:rPr>
          <w:sz w:val="20"/>
          <w:szCs w:val="20"/>
          <w:color w:val="auto"/>
        </w:rPr>
      </w:pPr>
    </w:p>
    <w:p>
      <w:pPr>
        <w:jc w:val="both"/>
        <w:ind w:left="100" w:firstLine="721"/>
        <w:spacing w:after="0" w:line="249" w:lineRule="auto"/>
        <w:rPr>
          <w:sz w:val="20"/>
          <w:szCs w:val="20"/>
          <w:color w:val="auto"/>
        </w:rPr>
      </w:pPr>
      <w:r>
        <w:rPr>
          <w:rFonts w:ascii="Times New Roman" w:cs="Times New Roman" w:eastAsia="Times New Roman" w:hAnsi="Times New Roman"/>
          <w:sz w:val="20"/>
          <w:szCs w:val="20"/>
          <w:color w:val="auto"/>
        </w:rPr>
        <w:t>On December 3, 2024, Charles A. Meloy, a member of the board of directors of the Company, adopted a trading plan intended to satisfy Rule 10b5-1(c), as amended. The plan relates to the sale of up to 110,000 shares of our common stock between March 10, 2025, and September 10, 2025. The shares covered by this plan include shares of common stock currently held by Wolfrock Energy, L.L.C., a Texas limited liability company of which Mr. Meloy is the sole manager and has voting and dispositive power over the shares of common stock.</w:t>
      </w:r>
    </w:p>
    <w:p>
      <w:pPr>
        <w:spacing w:after="0" w:line="180"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None of the Company’s other directors or officers adopted or terminated a Rule 10b5-1 trading arrangement or a non-Rule 10b5-1 trading arrangement during the Company’s fiscal quarter ended December 31, 2024.</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None.</w:t>
      </w: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6"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10 will be set forth in our definitive proxy statement, which is to be filed pursuant to Regulation 14A with the SEC within 120 days after the close of the year ended December 31, 2024.</w:t>
      </w:r>
    </w:p>
    <w:p>
      <w:pPr>
        <w:spacing w:after="0" w:line="166" w:lineRule="exact"/>
        <w:rPr>
          <w:sz w:val="20"/>
          <w:szCs w:val="20"/>
          <w:color w:val="auto"/>
        </w:rPr>
      </w:pPr>
    </w:p>
    <w:p>
      <w:pPr>
        <w:jc w:val="both"/>
        <w:ind w:left="100" w:firstLine="720"/>
        <w:spacing w:after="0" w:line="255"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https://www.diamondbackenergy.com.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6" w:lineRule="exact"/>
        <w:rPr>
          <w:sz w:val="20"/>
          <w:szCs w:val="20"/>
          <w:color w:val="auto"/>
        </w:rPr>
      </w:pPr>
    </w:p>
    <w:p>
      <w:pPr>
        <w:jc w:val="both"/>
        <w:ind w:left="10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11 will be set forth in our definitive proxy statement, which is to be filed pursuant to Regulation 14A with the SEC within 120 days after the close of the year ended December 31, 2024.</w:t>
      </w:r>
    </w:p>
    <w:p>
      <w:pPr>
        <w:spacing w:after="0" w:line="158" w:lineRule="exact"/>
        <w:rPr>
          <w:sz w:val="20"/>
          <w:szCs w:val="20"/>
          <w:color w:val="auto"/>
        </w:rPr>
      </w:pPr>
    </w:p>
    <w:p>
      <w:pPr>
        <w:ind w:left="100" w:right="40"/>
        <w:spacing w:after="0" w:line="29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8" w:lineRule="exact"/>
        <w:rPr>
          <w:sz w:val="20"/>
          <w:szCs w:val="20"/>
          <w:color w:val="auto"/>
        </w:rPr>
      </w:pPr>
    </w:p>
    <w:p>
      <w:pPr>
        <w:ind w:left="100" w:firstLine="720"/>
        <w:spacing w:after="0" w:line="289" w:lineRule="auto"/>
        <w:rPr>
          <w:sz w:val="20"/>
          <w:szCs w:val="20"/>
          <w:color w:val="auto"/>
        </w:rPr>
      </w:pPr>
      <w:r>
        <w:rPr>
          <w:rFonts w:ascii="Times New Roman" w:cs="Times New Roman" w:eastAsia="Times New Roman" w:hAnsi="Times New Roman"/>
          <w:sz w:val="20"/>
          <w:szCs w:val="20"/>
          <w:color w:val="auto"/>
        </w:rPr>
        <w:t>Information as to Item 12 will be set forth in our definitive proxy statement, which is to be filed pursuant to Regulation 14A with the SEC within 120 days after the close of the year ended December 31,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8" w:lineRule="exact"/>
        <w:rPr>
          <w:sz w:val="20"/>
          <w:szCs w:val="20"/>
          <w:color w:val="auto"/>
        </w:rPr>
      </w:pPr>
    </w:p>
    <w:p>
      <w:pPr>
        <w:ind w:left="100" w:firstLine="720"/>
        <w:spacing w:after="0" w:line="286" w:lineRule="auto"/>
        <w:rPr>
          <w:sz w:val="20"/>
          <w:szCs w:val="20"/>
          <w:color w:val="auto"/>
        </w:rPr>
      </w:pPr>
      <w:r>
        <w:rPr>
          <w:rFonts w:ascii="Times New Roman" w:cs="Times New Roman" w:eastAsia="Times New Roman" w:hAnsi="Times New Roman"/>
          <w:sz w:val="20"/>
          <w:szCs w:val="20"/>
          <w:color w:val="auto"/>
        </w:rPr>
        <w:t>Information as to Item 13 will be set forth in our definitive proxy statement, which is to be filed pursuant to Regulation 14A with the SEC within 120 days after the close of the year ended December 31, 2024.</w:t>
      </w:r>
    </w:p>
    <w:p>
      <w:pPr>
        <w:spacing w:after="0" w:line="1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56" w:lineRule="exact"/>
        <w:rPr>
          <w:sz w:val="20"/>
          <w:szCs w:val="20"/>
          <w:color w:val="auto"/>
        </w:rPr>
      </w:pPr>
    </w:p>
    <w:p>
      <w:pPr>
        <w:ind w:left="100" w:right="40" w:firstLine="719"/>
        <w:spacing w:after="0" w:line="250" w:lineRule="auto"/>
        <w:rPr>
          <w:sz w:val="20"/>
          <w:szCs w:val="20"/>
          <w:color w:val="auto"/>
        </w:rPr>
      </w:pPr>
      <w:r>
        <w:rPr>
          <w:rFonts w:ascii="Times New Roman" w:cs="Times New Roman" w:eastAsia="Times New Roman" w:hAnsi="Times New Roman"/>
          <w:sz w:val="20"/>
          <w:szCs w:val="20"/>
          <w:color w:val="auto"/>
        </w:rPr>
        <w:t>Information as to Item 14 will be set forth in our definitive proxy statement, which is to be filed pursuant to Regulation 14A with the SEC within 120 days after the close of the year ended December 31, 2024.</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180"/>
          </w:cols>
          <w:pgMar w:left="980" w:top="214" w:right="1080" w:bottom="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3. Exhibits</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7"/>
                <w:szCs w:val="17"/>
                <w:color w:val="auto"/>
              </w:rPr>
            </w:pPr>
          </w:p>
        </w:tc>
        <w:tc>
          <w:tcPr>
            <w:tcW w:w="8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8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60" w:type="dxa"/>
            <w:vAlign w:val="bottom"/>
          </w:tcPr>
          <w:p>
            <w:pPr>
              <w:ind w:left="100"/>
              <w:spacing w:after="0" w:line="186" w:lineRule="exact"/>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87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Agreement and Plan of Merger, dated as of December 20, 2020, by and among Diamondback Energy, Inc.,</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Bohemia Merger Sub, Inc. and QEP Resources, Inc. (incorporated by reference to Exhibit 2.1 to the Form 8-K,</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File No. 001-35700, filed by the Company with the SEC on December 21, 2020).</w:t>
            </w:r>
          </w:p>
        </w:tc>
        <w:tc>
          <w:tcPr>
            <w:tcW w:w="0" w:type="dxa"/>
            <w:vAlign w:val="bottom"/>
          </w:tcPr>
          <w:p>
            <w:pPr>
              <w:spacing w:after="0"/>
              <w:rPr>
                <w:sz w:val="1"/>
                <w:szCs w:val="1"/>
                <w:color w:val="auto"/>
              </w:rPr>
            </w:pPr>
          </w:p>
        </w:tc>
      </w:tr>
      <w:tr>
        <w:trPr>
          <w:trHeight w:val="213"/>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Agreement and Plan of Merger, dated as of May 15, 2022, by and among Diamondback Energy, Inc., Rattler</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Midstream GP LLC, Bacchus Merger Sub Company and Rattler Midstream LP (incorporated by reference to</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2.1 to the Form 8-K, File No. 001-35700, filed by the Company with the SEC on May 16, 2022).</w:t>
            </w:r>
          </w:p>
        </w:tc>
        <w:tc>
          <w:tcPr>
            <w:tcW w:w="0" w:type="dxa"/>
            <w:vAlign w:val="bottom"/>
          </w:tcPr>
          <w:p>
            <w:pPr>
              <w:spacing w:after="0"/>
              <w:rPr>
                <w:sz w:val="1"/>
                <w:szCs w:val="1"/>
                <w:color w:val="auto"/>
              </w:rPr>
            </w:pPr>
          </w:p>
        </w:tc>
      </w:tr>
      <w:tr>
        <w:trPr>
          <w:trHeight w:val="210"/>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1" w:lineRule="exact"/>
              <w:rPr>
                <w:sz w:val="20"/>
                <w:szCs w:val="20"/>
                <w:color w:val="auto"/>
              </w:rPr>
            </w:pPr>
            <w:r>
              <w:rPr>
                <w:rFonts w:ascii="Times New Roman" w:cs="Times New Roman" w:eastAsia="Times New Roman" w:hAnsi="Times New Roman"/>
                <w:sz w:val="19"/>
                <w:szCs w:val="19"/>
                <w:color w:val="auto"/>
              </w:rPr>
              <w:t>Agreement and Plan of Merger, dated as of February 11, 2024, by and among the Company, Endeavor, Merger</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Sub I, Merger Sub II and the Company Representative (for purposes of certain sections set forth therein)</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2.1 to the Form 8-K, File No 001-35700, filed by the Company with the</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 on February 12, 2024).</w:t>
            </w:r>
          </w:p>
        </w:tc>
        <w:tc>
          <w:tcPr>
            <w:tcW w:w="0" w:type="dxa"/>
            <w:vAlign w:val="bottom"/>
          </w:tcPr>
          <w:p>
            <w:pPr>
              <w:spacing w:after="0"/>
              <w:rPr>
                <w:sz w:val="1"/>
                <w:szCs w:val="1"/>
                <w:color w:val="auto"/>
              </w:rPr>
            </w:pPr>
          </w:p>
        </w:tc>
      </w:tr>
      <w:tr>
        <w:trPr>
          <w:trHeight w:val="218"/>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Letter Agreement, amending the Merger Agreement, by and among the Company, Endeavor, Merger Sub I,</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Merger Sub II and the Company Representative, dated March 18, 2024 (incorporated by reference to Exhibit 2.1</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 the Form 8-K, File No 001-35700, filed by the Company with the SEC on March 18, 2024).</w:t>
            </w:r>
          </w:p>
        </w:tc>
        <w:tc>
          <w:tcPr>
            <w:tcW w:w="0" w:type="dxa"/>
            <w:vAlign w:val="bottom"/>
          </w:tcPr>
          <w:p>
            <w:pPr>
              <w:spacing w:after="0"/>
              <w:rPr>
                <w:sz w:val="1"/>
                <w:szCs w:val="1"/>
                <w:color w:val="auto"/>
              </w:rPr>
            </w:pPr>
          </w:p>
        </w:tc>
      </w:tr>
      <w:tr>
        <w:trPr>
          <w:trHeight w:val="210"/>
        </w:trPr>
        <w:tc>
          <w:tcPr>
            <w:tcW w:w="1260" w:type="dxa"/>
            <w:vAlign w:val="bottom"/>
          </w:tcPr>
          <w:p>
            <w:pPr>
              <w:ind w:left="100"/>
              <w:spacing w:after="0" w:line="211" w:lineRule="exact"/>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18"/>
                <w:szCs w:val="18"/>
                <w:color w:val="auto"/>
              </w:rPr>
            </w:pPr>
          </w:p>
        </w:tc>
        <w:tc>
          <w:tcPr>
            <w:tcW w:w="8720" w:type="dxa"/>
            <w:vAlign w:val="bottom"/>
          </w:tcPr>
          <w:p>
            <w:pPr>
              <w:ind w:left="100"/>
              <w:spacing w:after="0" w:line="211" w:lineRule="exact"/>
              <w:rPr>
                <w:sz w:val="20"/>
                <w:szCs w:val="20"/>
                <w:color w:val="auto"/>
              </w:rPr>
            </w:pPr>
            <w:r>
              <w:rPr>
                <w:rFonts w:ascii="Times New Roman" w:cs="Times New Roman" w:eastAsia="Times New Roman" w:hAnsi="Times New Roman"/>
                <w:sz w:val="19"/>
                <w:szCs w:val="19"/>
                <w:color w:val="auto"/>
              </w:rPr>
              <w:t>Second Amended and Restated Certificate of Incorporation of the Company (incorporated by reference to</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3.1 to the Form 8-K, File No. 001-35700, filed by the Company with the SEC on June 14, 2023).</w:t>
            </w:r>
          </w:p>
        </w:tc>
        <w:tc>
          <w:tcPr>
            <w:tcW w:w="0" w:type="dxa"/>
            <w:vAlign w:val="bottom"/>
          </w:tcPr>
          <w:p>
            <w:pPr>
              <w:spacing w:after="0"/>
              <w:rPr>
                <w:sz w:val="1"/>
                <w:szCs w:val="1"/>
                <w:color w:val="auto"/>
              </w:rPr>
            </w:pPr>
          </w:p>
        </w:tc>
      </w:tr>
      <w:tr>
        <w:trPr>
          <w:trHeight w:val="225"/>
        </w:trPr>
        <w:tc>
          <w:tcPr>
            <w:tcW w:w="12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3.2</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Certificate of Amendment No. 1 to Second Amended and Restated Certificate of Incorporation of the Company</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3.1 to the Form 8-K, File No. 001-35700, filed by the Company with the</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 on September 10, 2024).</w:t>
            </w:r>
          </w:p>
        </w:tc>
        <w:tc>
          <w:tcPr>
            <w:tcW w:w="0" w:type="dxa"/>
            <w:vAlign w:val="bottom"/>
          </w:tcPr>
          <w:p>
            <w:pPr>
              <w:spacing w:after="0"/>
              <w:rPr>
                <w:sz w:val="1"/>
                <w:szCs w:val="1"/>
                <w:color w:val="auto"/>
              </w:rPr>
            </w:pPr>
          </w:p>
        </w:tc>
      </w:tr>
      <w:tr>
        <w:trPr>
          <w:trHeight w:val="213"/>
        </w:trPr>
        <w:tc>
          <w:tcPr>
            <w:tcW w:w="126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3.3</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Fifth Amended and Restated Bylaws of the Company, adopted as of September 18, 2024 (incorporated by</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reference to Exhibit 3.1 to the Form 8-K, File No. 001-35700, filed by the Company with the SEC on September</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18, 2024).</w:t>
            </w:r>
          </w:p>
        </w:tc>
        <w:tc>
          <w:tcPr>
            <w:tcW w:w="0" w:type="dxa"/>
            <w:vAlign w:val="bottom"/>
          </w:tcPr>
          <w:p>
            <w:pPr>
              <w:spacing w:after="0"/>
              <w:rPr>
                <w:sz w:val="1"/>
                <w:szCs w:val="1"/>
                <w:color w:val="auto"/>
              </w:rPr>
            </w:pPr>
          </w:p>
        </w:tc>
      </w:tr>
      <w:tr>
        <w:trPr>
          <w:trHeight w:val="273"/>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Description of the Company’s Securities.</w:t>
            </w:r>
          </w:p>
        </w:tc>
        <w:tc>
          <w:tcPr>
            <w:tcW w:w="0" w:type="dxa"/>
            <w:vAlign w:val="bottom"/>
          </w:tcPr>
          <w:p>
            <w:pPr>
              <w:spacing w:after="0"/>
              <w:rPr>
                <w:sz w:val="1"/>
                <w:szCs w:val="1"/>
                <w:color w:val="auto"/>
              </w:rPr>
            </w:pPr>
          </w:p>
        </w:tc>
      </w:tr>
      <w:tr>
        <w:trPr>
          <w:trHeight w:val="225"/>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Specimen certificate for shares of common stock, par value $0.01 per share, of the Company (incorporated by</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reference to Exhibit 4.1 to Amendment No. 4 to the Registration Statement on Form S-1, File No. 333-179502,</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filed by the Company with the SEC on August 20, 2012).</w:t>
            </w:r>
          </w:p>
        </w:tc>
        <w:tc>
          <w:tcPr>
            <w:tcW w:w="0" w:type="dxa"/>
            <w:vAlign w:val="bottom"/>
          </w:tcPr>
          <w:p>
            <w:pPr>
              <w:spacing w:after="0"/>
              <w:rPr>
                <w:sz w:val="1"/>
                <w:szCs w:val="1"/>
                <w:color w:val="auto"/>
              </w:rPr>
            </w:pPr>
          </w:p>
        </w:tc>
      </w:tr>
      <w:tr>
        <w:trPr>
          <w:trHeight w:val="213"/>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Indenture, dated as of December 5, 2019, between Diamondback Energy, Inc. and Computershare Trust</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Company, National Association, as successor trustee to Wells Fargo Bank, National Association (incorporated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by reference to Exhibit 4.1 to the Form 8-K, File No. 001-35700, filed by the Company with the SEC on</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December 5, 2019).</w:t>
            </w:r>
          </w:p>
        </w:tc>
        <w:tc>
          <w:tcPr>
            <w:tcW w:w="0" w:type="dxa"/>
            <w:vAlign w:val="bottom"/>
          </w:tcPr>
          <w:p>
            <w:pPr>
              <w:spacing w:after="0"/>
              <w:rPr>
                <w:sz w:val="1"/>
                <w:szCs w:val="1"/>
                <w:color w:val="auto"/>
              </w:rPr>
            </w:pPr>
          </w:p>
        </w:tc>
      </w:tr>
      <w:tr>
        <w:trPr>
          <w:trHeight w:val="218"/>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First Supplemental Indenture, dated as of December 5, 2019, among Diamondback Energy, Inc., Diamondback</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E&amp;P LLC, as successor by merger to Diamondback O&amp;G LLC, and Computershare Trust Company, National</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successor trustee to Wells Fargo Bank, National Association (including the forms of 3.250%</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Notes due 2026 and 3.500% Senior Notes due 2029) (incorporated by reference to Exhibit 4.2 to the</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8-K, File No. 001-35700, filed by the Company with the SEC on December 5, 2019).</w:t>
            </w:r>
          </w:p>
        </w:tc>
        <w:tc>
          <w:tcPr>
            <w:tcW w:w="0" w:type="dxa"/>
            <w:vAlign w:val="bottom"/>
          </w:tcPr>
          <w:p>
            <w:pPr>
              <w:spacing w:after="0"/>
              <w:rPr>
                <w:sz w:val="1"/>
                <w:szCs w:val="1"/>
                <w:color w:val="auto"/>
              </w:rPr>
            </w:pPr>
          </w:p>
        </w:tc>
      </w:tr>
      <w:tr>
        <w:trPr>
          <w:trHeight w:val="239"/>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Third Supplemental Indenture, dated as of March 24, 2021, among Diamondback Energy, Inc., Diamondback</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E&amp;P LLC, as successor by merger to Diamondback O&amp;G LLC, and Computershare Trust Company, National</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successor trustee to Wells Fargo Bank, National Association (including the forms of 3.125%</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Notes due 2031 and 4.400% Senior Notes due 2051) (incorporated by reference to Exhibit 4.2 to the</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8-K, File No. 001-35700, filed by the Company with the SEC on March 24, 2021).</w:t>
            </w:r>
          </w:p>
        </w:tc>
        <w:tc>
          <w:tcPr>
            <w:tcW w:w="0" w:type="dxa"/>
            <w:vAlign w:val="bottom"/>
          </w:tcPr>
          <w:p>
            <w:pPr>
              <w:spacing w:after="0"/>
              <w:rPr>
                <w:sz w:val="1"/>
                <w:szCs w:val="1"/>
                <w:color w:val="auto"/>
              </w:rPr>
            </w:pPr>
          </w:p>
        </w:tc>
      </w:tr>
      <w:tr>
        <w:trPr>
          <w:trHeight w:val="237"/>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Fourth Supplemental Indenture, dated as of June 30, 2021, among Diamondback Energy, Inc., Diamondback</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E&amp;P LLC and Computershare Trust Company, National Association, as successor trustee to Wells Fargo Bank,</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National Association (incorporated by reference to Exhibit 10.3 to the Form 10-Q, File No. 001-35700, filed by</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Company with the SEC on August 5, 2021).</w:t>
            </w:r>
          </w:p>
        </w:tc>
        <w:tc>
          <w:tcPr>
            <w:tcW w:w="0" w:type="dxa"/>
            <w:vAlign w:val="bottom"/>
          </w:tcPr>
          <w:p>
            <w:pPr>
              <w:spacing w:after="0"/>
              <w:rPr>
                <w:sz w:val="1"/>
                <w:szCs w:val="1"/>
                <w:color w:val="auto"/>
              </w:rPr>
            </w:pPr>
          </w:p>
        </w:tc>
      </w:tr>
      <w:tr>
        <w:trPr>
          <w:trHeight w:val="218"/>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Fifth Supplemental Indenture, dated as of March 17, 2022, among Diamondback Energy, Inc., Diamondback</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E&amp;P LLC and Computershare Trust Company, National Association, as trustee (including the form of 4.250%</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Senior Notes due 2052) (incorporated by reference to Exhibit 4.2 to the Form 8-K, File No. 001-35700, filed by</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Company with the SEC on March 17, 2022).</w:t>
            </w:r>
          </w:p>
        </w:tc>
        <w:tc>
          <w:tcPr>
            <w:tcW w:w="0" w:type="dxa"/>
            <w:vAlign w:val="bottom"/>
          </w:tcPr>
          <w:p>
            <w:pPr>
              <w:spacing w:after="0"/>
              <w:rPr>
                <w:sz w:val="1"/>
                <w:szCs w:val="1"/>
                <w:color w:val="auto"/>
              </w:rPr>
            </w:pPr>
          </w:p>
        </w:tc>
      </w:tr>
      <w:tr>
        <w:trPr>
          <w:trHeight w:val="218"/>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Sixth Supplemental Indenture, dated as of October 28, 2022, among Diamondback Energy, Inc., Diamondback</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E&amp;P LLC and Computershare Trust Company, National Association (including the form of 6.250% Senior</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Notes due 2033) (incorporated by reference to Exhibit 4.2 to the Form 8-K, File No. 001-35700, filed by the</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Company with the SEC on October 28, 2022).</w:t>
            </w:r>
          </w:p>
        </w:tc>
        <w:tc>
          <w:tcPr>
            <w:tcW w:w="0" w:type="dxa"/>
            <w:vAlign w:val="bottom"/>
          </w:tcPr>
          <w:p>
            <w:pPr>
              <w:spacing w:after="0"/>
              <w:rPr>
                <w:sz w:val="1"/>
                <w:szCs w:val="1"/>
                <w:color w:val="auto"/>
              </w:rPr>
            </w:pPr>
          </w:p>
        </w:tc>
      </w:tr>
      <w:tr>
        <w:trPr>
          <w:trHeight w:val="218"/>
        </w:trPr>
        <w:tc>
          <w:tcPr>
            <w:tcW w:w="1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Indenture, dated as of October 16, 2019, among Viper Energy Partners LP, as issuer, Viper Energy Partners</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LLC, as guarantor, and Wells Fargo Bank, National Association, as trustee (including the form of 5.375%</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Notes due 2027) (incorporated by reference to Exhibit 4.1 of the Current Report on Form 8-K of Viper</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Energy, Inc., as successor issuer to Viper Energy Partners LP (File 001-36505) filed on October 17,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180"/>
          </w:cols>
          <w:pgMar w:left="980" w:top="214" w:right="1080" w:bottom="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5"/>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1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8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360" w:type="dxa"/>
            <w:vAlign w:val="bottom"/>
            <w:gridSpan w:val="2"/>
          </w:tcPr>
          <w:p>
            <w:pPr>
              <w:ind w:left="200"/>
              <w:spacing w:after="0" w:line="187" w:lineRule="exact"/>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6"/>
                <w:szCs w:val="16"/>
                <w:color w:val="auto"/>
              </w:rPr>
            </w:pPr>
          </w:p>
        </w:tc>
        <w:tc>
          <w:tcPr>
            <w:tcW w:w="87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First Supplemental Indenture, dated as of November 13, 2023, among Viper Energy, Inc., as successor issuer 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Viper Energy Partners LP, and Computershare Trust Company, National Association, as trustee, relating 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5.375% Senior Notes due 2027 (incorporated by reference to Exhibit 10.2 of Viper Energy, Inc.’s Current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Report on Form 8-K (File 001-36505) filed on November 17, 2023).</w:t>
            </w:r>
          </w:p>
        </w:tc>
        <w:tc>
          <w:tcPr>
            <w:tcW w:w="0" w:type="dxa"/>
            <w:vAlign w:val="bottom"/>
          </w:tcPr>
          <w:p>
            <w:pPr>
              <w:spacing w:after="0"/>
              <w:rPr>
                <w:sz w:val="1"/>
                <w:szCs w:val="1"/>
                <w:color w:val="auto"/>
              </w:rPr>
            </w:pPr>
          </w:p>
        </w:tc>
      </w:tr>
      <w:tr>
        <w:trPr>
          <w:trHeight w:val="21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Indenture, dated as of October 19, 2023, among Viper Energy Partners LP, as issuer, Viper Energy Partners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LLC, as guarantor and Computershare Trust Company National Association, as trustee (including the form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Viper Energy Partners LP’s 7.375% Senior Notes due 2031) (incorporated by reference to Exhibit 4.1 of the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Current Report on Form 8-K of Viper Energy, Inc., as successor issuer to Viper Energy Partners LP, (File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001-36505), filed on October 25, 2023).</w:t>
            </w:r>
          </w:p>
        </w:tc>
        <w:tc>
          <w:tcPr>
            <w:tcW w:w="0" w:type="dxa"/>
            <w:vAlign w:val="bottom"/>
          </w:tcPr>
          <w:p>
            <w:pPr>
              <w:spacing w:after="0"/>
              <w:rPr>
                <w:sz w:val="1"/>
                <w:szCs w:val="1"/>
                <w:color w:val="auto"/>
              </w:rPr>
            </w:pPr>
          </w:p>
        </w:tc>
      </w:tr>
      <w:tr>
        <w:trPr>
          <w:trHeight w:val="23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First Supplemental Indenture, dated as of November 13, 2023, by and between Viper Energy, Inc., as the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successor issuer to Viper Energy Partners LP, and Computershare Trust Company, National Association, as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trustee, relating to 7.375% Senior Notes due 2031 (incorporated by reference to Exhibit 10.3 to Viper Energy,</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Inc.’s Current Report on Form 8-K (File 001-36505) filed on November 17, 2023).</w:t>
            </w:r>
          </w:p>
        </w:tc>
        <w:tc>
          <w:tcPr>
            <w:tcW w:w="0" w:type="dxa"/>
            <w:vAlign w:val="bottom"/>
          </w:tcPr>
          <w:p>
            <w:pPr>
              <w:spacing w:after="0"/>
              <w:rPr>
                <w:sz w:val="1"/>
                <w:szCs w:val="1"/>
                <w:color w:val="auto"/>
              </w:rPr>
            </w:pPr>
          </w:p>
        </w:tc>
      </w:tr>
      <w:tr>
        <w:trPr>
          <w:trHeight w:val="21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Subordinated Promissory Note, dated as of October 16, 2019, made by Viper Energy Partners LLC in favor of</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Viper Energy Partners LP (incorporated by reference to Exhibit 10.2 of Viper Energy Partners LP’s Current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Report on Form 8-K (File 001-36505) filed on October 17, 2019).</w:t>
            </w:r>
          </w:p>
        </w:tc>
        <w:tc>
          <w:tcPr>
            <w:tcW w:w="0" w:type="dxa"/>
            <w:vAlign w:val="bottom"/>
          </w:tcPr>
          <w:p>
            <w:pPr>
              <w:spacing w:after="0"/>
              <w:rPr>
                <w:sz w:val="1"/>
                <w:szCs w:val="1"/>
                <w:color w:val="auto"/>
              </w:rPr>
            </w:pPr>
          </w:p>
        </w:tc>
      </w:tr>
      <w:tr>
        <w:trPr>
          <w:trHeight w:val="21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8"/>
                <w:szCs w:val="18"/>
                <w:color w:val="auto"/>
              </w:rPr>
            </w:pPr>
          </w:p>
        </w:tc>
        <w:tc>
          <w:tcPr>
            <w:tcW w:w="8720" w:type="dxa"/>
            <w:vAlign w:val="bottom"/>
          </w:tcPr>
          <w:p>
            <w:pPr>
              <w:ind w:left="100"/>
              <w:spacing w:after="0" w:line="211" w:lineRule="exact"/>
              <w:rPr>
                <w:sz w:val="20"/>
                <w:szCs w:val="20"/>
                <w:color w:val="auto"/>
              </w:rPr>
            </w:pPr>
            <w:r>
              <w:rPr>
                <w:rFonts w:ascii="Times New Roman" w:cs="Times New Roman" w:eastAsia="Times New Roman" w:hAnsi="Times New Roman"/>
                <w:sz w:val="19"/>
                <w:szCs w:val="19"/>
                <w:color w:val="auto"/>
              </w:rPr>
              <w:t>Subordinated Promissory Note, dated as of October 19, 2023, made by Viper Energy Partners LLC in favor of</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Viper Energy Partners LP (incorporated by reference to Exhibit 10.1 of the Current Report on Form 8-K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Viper Energy, Inc., as successor issuer to Viper Energy Partners LP (File 001-36505), filed on October 25,</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2023).</w:t>
            </w:r>
          </w:p>
        </w:tc>
        <w:tc>
          <w:tcPr>
            <w:tcW w:w="0" w:type="dxa"/>
            <w:vAlign w:val="bottom"/>
          </w:tcPr>
          <w:p>
            <w:pPr>
              <w:spacing w:after="0"/>
              <w:rPr>
                <w:sz w:val="1"/>
                <w:szCs w:val="1"/>
                <w:color w:val="auto"/>
              </w:rPr>
            </w:pPr>
          </w:p>
        </w:tc>
      </w:tr>
      <w:tr>
        <w:trPr>
          <w:trHeight w:val="21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of Indenture, dated September 1, 1996, between Energen Corporation and The Bank of New York as</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trustee  (incorporated by  reference to Exhibit 4(i) to Energen Corporation’s Registration  Statement on</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S-3 (Registration No. 333-11239), filed with the SEC on August 30, 1996).</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Amended and Restated Officers’ Certificate, dated as of February 27, 1998, between Energen Corporation and</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The Bank of New York as trustee, relating to the Medium-Term Notes, Series B, due 2028 (incorporated by</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reference to Exhibit 4(d)(iii) to the Form 10-K, File No. 001-7810, filed by Energen Corporation with the SEC</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on February 28, 2018).</w:t>
            </w:r>
          </w:p>
        </w:tc>
        <w:tc>
          <w:tcPr>
            <w:tcW w:w="0" w:type="dxa"/>
            <w:vAlign w:val="bottom"/>
          </w:tcPr>
          <w:p>
            <w:pPr>
              <w:spacing w:after="0"/>
              <w:rPr>
                <w:sz w:val="1"/>
                <w:szCs w:val="1"/>
                <w:color w:val="auto"/>
              </w:rPr>
            </w:pPr>
          </w:p>
        </w:tc>
      </w:tr>
      <w:tr>
        <w:trPr>
          <w:trHeight w:val="21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8"/>
                <w:szCs w:val="18"/>
                <w:color w:val="auto"/>
              </w:rPr>
            </w:pPr>
          </w:p>
        </w:tc>
        <w:tc>
          <w:tcPr>
            <w:tcW w:w="872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Indenture, dated as of March 1, 2012, between QEP Resources, Inc. and Wells Fargo Bank, National</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Association as trustee (incorporated by reference to Exhibit 4.1 to QEP Resources Inc.’s Current Report on</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8-K, filed with the SEC on March 1, 2012).</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Officer’s Certificate, dated as of March 1, 2012 (including the form of the 5.375% Notes due 2022)</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4.2 to QEP Resources, Inc.’s. Current Report on Form 8-K, filed with the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 on March 1, 2012).</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Officer’s Certificate, dated as of September 12, 2012 (incorporated by reference to Exhibit 4.1 to QEP</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Resources, Inc.’s Current Report on Form 8-K, filed with the SEC on September 14, 2012).</w:t>
            </w:r>
          </w:p>
        </w:tc>
        <w:tc>
          <w:tcPr>
            <w:tcW w:w="0" w:type="dxa"/>
            <w:vAlign w:val="bottom"/>
          </w:tcPr>
          <w:p>
            <w:pPr>
              <w:spacing w:after="0"/>
              <w:rPr>
                <w:sz w:val="1"/>
                <w:szCs w:val="1"/>
                <w:color w:val="auto"/>
              </w:rPr>
            </w:pPr>
          </w:p>
        </w:tc>
      </w:tr>
      <w:tr>
        <w:trPr>
          <w:trHeight w:val="222"/>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Officer’s Certificate, dated as of November 21, 2017 (including the form of the 5.625% Senior Notes due 2026)</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4.2 to QEP Resources, Inc.’s Current Report on Form 8-K, filed with the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 on November 21, 2017).</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First Supplemental Indenture, dated as of March 23, 2021, among QEP Resources, Inc. and Wells Fargo Bank,</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National Association, as trustee (incorporated by reference to Exhibit 4.3 to the Form 8-K, File No. 001-35700,</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filed by the Company with the SEC on March 24, 2021).</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Indenture, dated as of December 13, 2022, between Diamondback Energy, Inc. and Computershare Trust</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Company, National Association, as trustee (incorporated by reference to Exhibit 4.1 to the Form 8-K, File No.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001-35700, filed by the Company with the SEC on December 13, 2022).</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First Supplemental Indenture, dated as of December 13, 2022, among Diamondback Energy, Inc., Diamondback</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E&amp;P LLC and Computershare Trust Company, National Association, as trustee (including the form of 6.250%</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Notes due 2053) (incorporated by reference to Exhibit 4.2 to the Form 8-K, File No. 001-35700, filed by</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Company with the SEC on December 13, 2022).</w:t>
            </w:r>
          </w:p>
        </w:tc>
        <w:tc>
          <w:tcPr>
            <w:tcW w:w="0" w:type="dxa"/>
            <w:vAlign w:val="bottom"/>
          </w:tcPr>
          <w:p>
            <w:pPr>
              <w:spacing w:after="0"/>
              <w:rPr>
                <w:sz w:val="1"/>
                <w:szCs w:val="1"/>
                <w:color w:val="auto"/>
              </w:rPr>
            </w:pPr>
          </w:p>
        </w:tc>
      </w:tr>
      <w:tr>
        <w:trPr>
          <w:trHeight w:val="21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Second Supplemental Indenture, dated as of April 18, 2024, by and among Diamondback Energy, Inc.,</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Diamondback E&amp;P LLC and Computershare Trust Company, National Association, as Trustee (including forms</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of 5.200% Senior Notes due 2027, 5.150% Senior Notes due 2030, 5.400% Senior Notes due 2034, 5.750%</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Notes due 2054 and 5.900% Senior Notes due 2064) (incorporated by reference to Exhibit 4.2 to the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8-K, File no. 001-35700, filed by the Company with the SEC on April 18, 2024).</w:t>
            </w:r>
          </w:p>
        </w:tc>
        <w:tc>
          <w:tcPr>
            <w:tcW w:w="0" w:type="dxa"/>
            <w:vAlign w:val="bottom"/>
          </w:tcPr>
          <w:p>
            <w:pPr>
              <w:spacing w:after="0"/>
              <w:rPr>
                <w:sz w:val="1"/>
                <w:szCs w:val="1"/>
                <w:color w:val="auto"/>
              </w:rPr>
            </w:pPr>
          </w:p>
        </w:tc>
      </w:tr>
      <w:tr>
        <w:trPr>
          <w:trHeight w:val="239"/>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Stockholders Agreement, by and among the Company and the initial stockholders named therein, dated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September 10, 2024 (incorporated by reference to Exhibit 10.1 to the Form 8-K, File No. 001-35700, filed by</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Company with the SEC on September 10, 2024).</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2021 Amended and Restated Diamondback Energy, Inc. Equity Incentive Plan (incorporated by reference to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Appendix B to Schedule DEF 14A filed by the Company with the SEC on April 23, 2021).</w:t>
            </w:r>
          </w:p>
        </w:tc>
        <w:tc>
          <w:tcPr>
            <w:tcW w:w="0" w:type="dxa"/>
            <w:vAlign w:val="bottom"/>
          </w:tcPr>
          <w:p>
            <w:pPr>
              <w:spacing w:after="0"/>
              <w:rPr>
                <w:sz w:val="1"/>
                <w:szCs w:val="1"/>
                <w:color w:val="auto"/>
              </w:rPr>
            </w:pPr>
          </w:p>
        </w:tc>
      </w:tr>
      <w:tr>
        <w:trPr>
          <w:trHeight w:val="222"/>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Amendment No. 1 to 2021 Amended and Restated Diamondback Energy, Inc. Equity Incentive Plan, adopted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effective as of February 11, 2024 (incorporated by reference to Exhibit 10.2 to the Form 10-K, File No.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001-35700, filed by the Company with the SEC on February 22,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180"/>
          </w:cols>
          <w:pgMar w:left="980" w:top="214" w:right="1080" w:bottom="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5"/>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1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8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ind w:left="100"/>
              <w:spacing w:after="0" w:line="187" w:lineRule="exact"/>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87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2021 Form of Time Vesting Restricted Stock Unit Award Agreement (incorporated by reference to Exhibit 10.4</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of the Annual Report on Form 10-K (File 001-35700) filed by the Company with the SEC on February 25,</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2021 Form of Performance Vesting Restricted Stock Unit Agreement (incorporated by reference to Exhibit 10.5</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of the Annual Report on Form 10-K (File 001-35700) filed by the Company with the SEC on February 25,</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2022 Form of Time Vesting Restricted Stock Unit Award Agreement (incorporated by reference to Exhibit 10.6</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 the Form 10-K, File No. 001-35700, filed by the Company with the SEC on February 23, 2023).</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2022 Form of Performance Vesting Restricted Stock Unit Agreement (incorporated by reference to Exhibit 10.7</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of the Annual Report on Form 10-K (File 001-35700) filed by the Company with the SEC on February 23,</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2023).</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2023 Form of Time Vesting Restricted Stock Unit Award Agreement (incorporated by reference to Exhibit 10.8</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 the Form 10-K, File No. 001-35700, filed by the Company with the SEC on February 23, 2023).</w:t>
            </w:r>
          </w:p>
        </w:tc>
        <w:tc>
          <w:tcPr>
            <w:tcW w:w="0" w:type="dxa"/>
            <w:vAlign w:val="bottom"/>
          </w:tcPr>
          <w:p>
            <w:pPr>
              <w:spacing w:after="0"/>
              <w:rPr>
                <w:sz w:val="1"/>
                <w:szCs w:val="1"/>
                <w:color w:val="auto"/>
              </w:rPr>
            </w:pPr>
          </w:p>
        </w:tc>
      </w:tr>
      <w:tr>
        <w:trPr>
          <w:trHeight w:val="222"/>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2023 Form of Performance Vesting Restricted Stock Unit Agreement (incorporated by reference to Exhibit 10.9</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of the Annual Report on Form 10-K (File 001-35700) filed by the Company with the SEC on February 23,</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2023).</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2024 Form of Time Vesting Restricted Stock Unit Award Agreement (incorporated by reference to Exhibit 10.9</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 the Form 10-K, File No. 001-35700, filed by the Company with the SEC on February 22, 2024).</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2024 Form of Performance-Vesting Restricted Stock Unit Agreement (incorporated by reference to Exhibit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10.10 to the Form 10-K, File No. 001-35700, filed by the Company with the SEC on February 22, 2024).</w:t>
            </w:r>
          </w:p>
        </w:tc>
        <w:tc>
          <w:tcPr>
            <w:tcW w:w="0" w:type="dxa"/>
            <w:vAlign w:val="bottom"/>
          </w:tcPr>
          <w:p>
            <w:pPr>
              <w:spacing w:after="0"/>
              <w:rPr>
                <w:sz w:val="1"/>
                <w:szCs w:val="1"/>
                <w:color w:val="auto"/>
              </w:rPr>
            </w:pPr>
          </w:p>
        </w:tc>
      </w:tr>
      <w:tr>
        <w:trPr>
          <w:trHeight w:val="28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2025 Form of Time Vesting Restricted Stock Unit Award Agreement.</w:t>
            </w:r>
          </w:p>
        </w:tc>
        <w:tc>
          <w:tcPr>
            <w:tcW w:w="0" w:type="dxa"/>
            <w:vAlign w:val="bottom"/>
          </w:tcPr>
          <w:p>
            <w:pPr>
              <w:spacing w:after="0"/>
              <w:rPr>
                <w:sz w:val="1"/>
                <w:szCs w:val="1"/>
                <w:color w:val="auto"/>
              </w:rPr>
            </w:pPr>
          </w:p>
        </w:tc>
      </w:tr>
      <w:tr>
        <w:trPr>
          <w:trHeight w:val="28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10.12+*</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2025 Form of Performance-Vesting Restricted Stock Unit Agreement.</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10.13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Form of Director and Officer Indemnification Agreement (incorporated by reference to Exhibit 10.15 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Amendment No. 4 to the Registration Statement on Form S-1, File No. 333-179502, filed by the Company with</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SEC on August 20, 2012).</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Diamondback Energy, Inc. Amended and Restated Senior Management Severance Plan, adopted effective as of</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February 21, 2022 (including a form of participation agreement attached thereto as Schedule C) (incorporated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by reference to Exhibit 10.9 of the Annual Report on Form 10-K (File 001-35700) filed by the Company with</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SEC on February 24, 2022).</w:t>
            </w:r>
          </w:p>
        </w:tc>
        <w:tc>
          <w:tcPr>
            <w:tcW w:w="0" w:type="dxa"/>
            <w:vAlign w:val="bottom"/>
          </w:tcPr>
          <w:p>
            <w:pPr>
              <w:spacing w:after="0"/>
              <w:rPr>
                <w:sz w:val="1"/>
                <w:szCs w:val="1"/>
                <w:color w:val="auto"/>
              </w:rPr>
            </w:pPr>
          </w:p>
        </w:tc>
      </w:tr>
      <w:tr>
        <w:trPr>
          <w:trHeight w:val="21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Amendment No. 1 to Diamondback Energy, Inc. Amended and Restated Senior Management Severance Plan,</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adopted effective as of February 11, 2024 (incorporated by reference to Exhibit 10.13 to the Form 10-K, File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001-35700, filed by the Company with the SEC on February 22, 2024).</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Form of Participation Agreement (incorporated by reference from Schedule C-2 to Diamondback Energy, Inc.</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Senior Management Severance Plan filed as Exhibit 10.5 to the Company’s Annual Report on Form 10-K (File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001-35700) on February 27, 2020).</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Executive Annual Incentive Compensation Plan adopted in February 2021 (incorporated by reference to Exhibit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10.11 to the Form 10-K, File No. 001-35700, filed by the Company with the SEC on February 25, 2021).</w:t>
            </w:r>
          </w:p>
        </w:tc>
        <w:tc>
          <w:tcPr>
            <w:tcW w:w="0" w:type="dxa"/>
            <w:vAlign w:val="bottom"/>
          </w:tcPr>
          <w:p>
            <w:pPr>
              <w:spacing w:after="0"/>
              <w:rPr>
                <w:sz w:val="1"/>
                <w:szCs w:val="1"/>
                <w:color w:val="auto"/>
              </w:rPr>
            </w:pPr>
          </w:p>
        </w:tc>
      </w:tr>
      <w:tr>
        <w:trPr>
          <w:trHeight w:val="222"/>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Second Amended and Restated Credit Agreement, dated as of November 1, 2013, among Diamondback</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Energy, Inc., as parent guarantor, Diamondback O&amp;G LLC, as borrower,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and the lenders party thereto (incorporated by reference to Exhibit 10.3 to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Form 10-Q, File No. 001-35700, filed by the Company with the SEC on November 5, 2013).</w:t>
            </w:r>
          </w:p>
        </w:tc>
        <w:tc>
          <w:tcPr>
            <w:tcW w:w="0" w:type="dxa"/>
            <w:vAlign w:val="bottom"/>
          </w:tcPr>
          <w:p>
            <w:pPr>
              <w:spacing w:after="0"/>
              <w:rPr>
                <w:sz w:val="1"/>
                <w:szCs w:val="1"/>
                <w:color w:val="auto"/>
              </w:rPr>
            </w:pPr>
          </w:p>
        </w:tc>
      </w:tr>
      <w:tr>
        <w:trPr>
          <w:trHeight w:val="21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Pr>
          <w:p>
            <w:pPr>
              <w:spacing w:after="0"/>
              <w:rPr>
                <w:sz w:val="18"/>
                <w:szCs w:val="18"/>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First Amendment, dated June 9, 2014, to the Second Amended and Restated Credit Agreement, originally dated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November 1, 2013, by and among the Company, as parent guarantor, Diamondback O&amp;G LLC, as borrower,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each of the guarantors party thereto, each of the lenders party thereto and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(incorporated by reference to Exhibit 10.4 to the Form 10-Q, File No.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001-35700, filed by the Company with the SEC on August 7, 2014).</w:t>
            </w:r>
          </w:p>
        </w:tc>
        <w:tc>
          <w:tcPr>
            <w:tcW w:w="0" w:type="dxa"/>
            <w:vAlign w:val="bottom"/>
          </w:tcPr>
          <w:p>
            <w:pPr>
              <w:spacing w:after="0"/>
              <w:rPr>
                <w:sz w:val="1"/>
                <w:szCs w:val="1"/>
                <w:color w:val="auto"/>
              </w:rPr>
            </w:pPr>
          </w:p>
        </w:tc>
      </w:tr>
      <w:tr>
        <w:trPr>
          <w:trHeight w:val="23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Second Amendment to the Second Amended and Restated Credit Agreement, dated as of November 13, 2014,</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among Diamondback Energy, Inc., as parent guarantor, Diamondback O&amp;G LLC, as borrower, the guarantors,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Wells Fargo Bank, National Association, as administrative agent, and the lenders party thereto (incorporated by</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reference to Exhibit 10.2 to the Form 8-K, File No. 001-35700, filed by the Company with the SEC on</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November 18, 2014).</w:t>
            </w:r>
          </w:p>
        </w:tc>
        <w:tc>
          <w:tcPr>
            <w:tcW w:w="0" w:type="dxa"/>
            <w:vAlign w:val="bottom"/>
          </w:tcPr>
          <w:p>
            <w:pPr>
              <w:spacing w:after="0"/>
              <w:rPr>
                <w:sz w:val="1"/>
                <w:szCs w:val="1"/>
                <w:color w:val="auto"/>
              </w:rPr>
            </w:pPr>
          </w:p>
        </w:tc>
      </w:tr>
      <w:tr>
        <w:trPr>
          <w:trHeight w:val="239"/>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Third Amendment, dated as of June 21, 2016, to the Second Amended and Restated Credit Agreement, dated as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of November 1, 2013, by and among Diamondback Energy, Inc., as parent guarantor, Diamondback O&amp;G LLC,</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 borrower, certain other subsidiaries of Diamondback Energy, Inc., as guarantors,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and the lenders party thereto (incorporated by reference to Exhibit 10.1 to</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the Company’s Current Report on Form 8-K, File No. 001-35700, filed by the Company with the SEC on June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27, 2016).</w:t>
            </w:r>
          </w:p>
        </w:tc>
        <w:tc>
          <w:tcPr>
            <w:tcW w:w="0" w:type="dxa"/>
            <w:vAlign w:val="bottom"/>
          </w:tcPr>
          <w:p>
            <w:pPr>
              <w:spacing w:after="0"/>
              <w:rPr>
                <w:sz w:val="1"/>
                <w:szCs w:val="1"/>
                <w:color w:val="auto"/>
              </w:rPr>
            </w:pPr>
          </w:p>
        </w:tc>
      </w:tr>
      <w:tr>
        <w:trPr>
          <w:trHeight w:val="23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10.22</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Fourth Amendment, dated as of December 15, 2016, to the Second Amended and Restated Credit Agreement,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20" w:type="dxa"/>
            <w:vAlign w:val="bottom"/>
          </w:tcPr>
          <w:p>
            <w:pPr>
              <w:ind w:left="100"/>
              <w:spacing w:after="0" w:line="182" w:lineRule="exact"/>
              <w:rPr>
                <w:sz w:val="20"/>
                <w:szCs w:val="20"/>
                <w:color w:val="auto"/>
              </w:rPr>
            </w:pPr>
            <w:r>
              <w:rPr>
                <w:rFonts w:ascii="Times New Roman" w:cs="Times New Roman" w:eastAsia="Times New Roman" w:hAnsi="Times New Roman"/>
                <w:sz w:val="19"/>
                <w:szCs w:val="19"/>
                <w:color w:val="auto"/>
              </w:rPr>
              <w:t>dated as of November 1, 2013, by and among Diamondback Energy, Inc., as parent guarantor, Diamondback</w:t>
            </w:r>
          </w:p>
        </w:tc>
        <w:tc>
          <w:tcPr>
            <w:tcW w:w="0" w:type="dxa"/>
            <w:vAlign w:val="bottom"/>
          </w:tcPr>
          <w:p>
            <w:pPr>
              <w:spacing w:after="0"/>
              <w:rPr>
                <w:sz w:val="1"/>
                <w:szCs w:val="1"/>
                <w:color w:val="auto"/>
              </w:rPr>
            </w:pPr>
          </w:p>
        </w:tc>
      </w:tr>
    </w:tbl>
    <w:p>
      <w:pPr>
        <w:jc w:val="both"/>
        <w:ind w:left="1560" w:right="100"/>
        <w:spacing w:after="0" w:line="226" w:lineRule="auto"/>
        <w:rPr>
          <w:sz w:val="20"/>
          <w:szCs w:val="20"/>
          <w:color w:val="auto"/>
        </w:rPr>
      </w:pPr>
      <w:r>
        <w:rPr>
          <w:rFonts w:ascii="Times New Roman" w:cs="Times New Roman" w:eastAsia="Times New Roman" w:hAnsi="Times New Roman"/>
          <w:sz w:val="19"/>
          <w:szCs w:val="19"/>
          <w:color w:val="auto"/>
        </w:rPr>
        <w:t>O&amp;G LLC, as borrower, certain other subsidiaries of Diamondback Energy, Inc., as guarantors, Wells Fargo Bank, National Association, as administrative agent, and the lenders party thereto (incorporated by reference to Exhibit 10.2 to the Company’s Current Report on Form 8-K, File No. 001-35700, filed by the Company with the SEC on December 20, 2016).</w:t>
      </w: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180"/>
          </w:cols>
          <w:pgMar w:left="980" w:top="214" w:right="1080" w:bottom="0" w:gutter="0" w:footer="0" w:header="0"/>
        </w:sectPr>
      </w:pPr>
    </w:p>
    <w:bookmarkStart w:id="137" w:name="page138"/>
    <w:bookmarkEnd w:id="137"/>
    <w:p>
      <w:pPr>
        <w:spacing w:after="0" w:line="231" w:lineRule="auto"/>
        <w:framePr w:w="460" w:h="177" w:wrap="auto" w:vAnchor="page" w:hAnchor="page" w:x="1140" w:y="13445"/>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10.35</w:t>
      </w:r>
    </w:p>
    <w:p>
      <w:pPr>
        <w:spacing w:after="0" w:line="231" w:lineRule="auto"/>
        <w:framePr w:w="460" w:h="177" w:wrap="auto" w:vAnchor="page" w:hAnchor="page" w:x="1140" w:y="11532"/>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10.33</w:t>
      </w:r>
    </w:p>
    <w:p>
      <w:pPr>
        <w:spacing w:after="0" w:line="231" w:lineRule="auto"/>
        <w:framePr w:w="460" w:h="177" w:wrap="auto" w:vAnchor="page" w:hAnchor="page" w:x="1140" w:y="1238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10.34</w:t>
      </w:r>
    </w:p>
    <w:p>
      <w:pPr>
        <w:spacing w:after="0" w:line="231" w:lineRule="auto"/>
        <w:framePr w:w="460" w:h="177" w:wrap="auto" w:vAnchor="page" w:hAnchor="page" w:x="1140" w:y="962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10.31</w:t>
      </w:r>
    </w:p>
    <w:p>
      <w:pPr>
        <w:spacing w:after="0" w:line="231" w:lineRule="auto"/>
        <w:framePr w:w="460" w:h="177" w:wrap="auto" w:vAnchor="page" w:hAnchor="page" w:x="1140" w:y="10472"/>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10.32</w:t>
      </w:r>
    </w:p>
    <w:p>
      <w:pPr>
        <w:spacing w:after="0" w:line="231" w:lineRule="auto"/>
        <w:framePr w:w="460" w:h="177" w:wrap="auto" w:vAnchor="page" w:hAnchor="page" w:x="1140" w:y="876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10.30</w:t>
      </w:r>
    </w:p>
    <w:p>
      <w:pPr>
        <w:spacing w:after="0" w:line="231" w:lineRule="auto"/>
        <w:framePr w:w="460" w:h="177" w:wrap="auto" w:vAnchor="page" w:hAnchor="page" w:x="1140" w:y="791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10.29</w:t>
      </w:r>
    </w:p>
    <w:p>
      <w:pPr>
        <w:spacing w:after="0" w:line="231" w:lineRule="auto"/>
        <w:framePr w:w="460" w:h="177" w:wrap="auto" w:vAnchor="page" w:hAnchor="page" w:x="1100" w:y="5792"/>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10.27</w:t>
      </w:r>
    </w:p>
    <w:p>
      <w:pPr>
        <w:spacing w:after="0" w:line="231" w:lineRule="auto"/>
        <w:framePr w:w="460" w:h="177" w:wrap="auto" w:vAnchor="page" w:hAnchor="page" w:x="1100" w:y="4733"/>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10.26</w:t>
      </w:r>
    </w:p>
    <w:p>
      <w:pPr>
        <w:spacing w:after="0" w:line="231" w:lineRule="auto"/>
        <w:framePr w:w="460" w:h="177" w:wrap="auto" w:vAnchor="page" w:hAnchor="page" w:x="1140" w:y="349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10.25</w:t>
      </w:r>
    </w:p>
    <w:p>
      <w:pPr>
        <w:spacing w:after="0" w:line="231" w:lineRule="auto"/>
        <w:framePr w:w="460" w:h="177" w:wrap="auto" w:vAnchor="page" w:hAnchor="page" w:x="1140" w:y="2429"/>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10.24</w:t>
      </w:r>
    </w:p>
    <w:p>
      <w:pPr>
        <w:spacing w:after="0" w:line="231" w:lineRule="auto"/>
        <w:framePr w:w="460" w:h="177" w:wrap="auto" w:vAnchor="page" w:hAnchor="page" w:x="1140" w:y="118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10.23</w:t>
      </w:r>
    </w:p>
    <w:p>
      <w:pPr>
        <w:spacing w:after="0" w:line="227" w:lineRule="auto"/>
        <w:framePr w:w="1220" w:h="163" w:wrap="auto" w:vAnchor="page" w:hAnchor="page" w:x="940" w:y="21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Table of Contents</w:t>
      </w:r>
    </w:p>
    <w:p>
      <w:pPr>
        <w:spacing w:after="0" w:line="233" w:lineRule="auto"/>
        <w:framePr w:w="640" w:h="190" w:wrap="auto" w:vAnchor="page" w:hAnchor="page" w:x="1140" w:y="71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w:t>
      </w:r>
    </w:p>
    <w:p>
      <w:pPr>
        <w:spacing w:after="0" w:line="233" w:lineRule="auto"/>
        <w:framePr w:w="700" w:h="190" w:wrap="auto" w:vAnchor="page" w:hAnchor="page" w:x="1140" w:y="90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Number</w:t>
      </w:r>
    </w:p>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33020</wp:posOffset>
                </wp:positionV>
                <wp:extent cx="8001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6pt" to="60pt,2.6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828675</wp:posOffset>
                </wp:positionH>
                <wp:positionV relativeFrom="paragraph">
                  <wp:posOffset>33020</wp:posOffset>
                </wp:positionV>
                <wp:extent cx="55340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4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25pt,2.6pt" to="501pt,2.6pt" o:allowincell="f" strokecolor="#000000" strokeweight="1pt"/>
            </w:pict>
          </mc:Fallback>
        </mc:AlternateContent>
      </w:r>
    </w:p>
    <w:p>
      <w:pPr>
        <w:spacing w:after="0" w:line="32" w:lineRule="exact"/>
        <w:rPr>
          <w:rFonts w:ascii="Times New Roman" w:cs="Times New Roman" w:eastAsia="Times New Roman" w:hAnsi="Times New Roman"/>
          <w:sz w:val="17"/>
          <w:szCs w:val="17"/>
          <w:b w:val="1"/>
          <w:bCs w:val="1"/>
          <w:color w:val="auto"/>
        </w:rPr>
      </w:pPr>
    </w:p>
    <w:p>
      <w:pPr>
        <w:jc w:val="both"/>
        <w:ind w:left="1400" w:right="60"/>
        <w:spacing w:after="0" w:line="220" w:lineRule="auto"/>
        <w:rPr>
          <w:sz w:val="20"/>
          <w:szCs w:val="20"/>
          <w:color w:val="auto"/>
        </w:rPr>
      </w:pPr>
      <w:r>
        <w:rPr>
          <w:rFonts w:ascii="Times New Roman" w:cs="Times New Roman" w:eastAsia="Times New Roman" w:hAnsi="Times New Roman"/>
          <w:sz w:val="19"/>
          <w:szCs w:val="19"/>
          <w:color w:val="auto"/>
        </w:rPr>
        <w:t>Fifth Amendment, dated as of November 28, 2017, to the Second Amended and Restated Credit Agreement, dated as of November 1, 2013,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Company’s Current Report on Form 8-K, File No. 001-35700, filed by the Company with the SEC on December 4, 2017).</w:t>
      </w:r>
    </w:p>
    <w:p>
      <w:pPr>
        <w:spacing w:after="0" w:line="39" w:lineRule="exact"/>
        <w:rPr>
          <w:rFonts w:ascii="Times New Roman" w:cs="Times New Roman" w:eastAsia="Times New Roman" w:hAnsi="Times New Roman"/>
          <w:sz w:val="17"/>
          <w:szCs w:val="17"/>
          <w:b w:val="1"/>
          <w:bCs w:val="1"/>
          <w:color w:val="auto"/>
        </w:rPr>
      </w:pPr>
    </w:p>
    <w:p>
      <w:pPr>
        <w:jc w:val="both"/>
        <w:ind w:left="1400" w:firstLine="1"/>
        <w:spacing w:after="0" w:line="222" w:lineRule="auto"/>
        <w:rPr>
          <w:sz w:val="20"/>
          <w:szCs w:val="20"/>
          <w:color w:val="auto"/>
        </w:rPr>
      </w:pPr>
      <w:r>
        <w:rPr>
          <w:rFonts w:ascii="Times New Roman" w:cs="Times New Roman" w:eastAsia="Times New Roman" w:hAnsi="Times New Roman"/>
          <w:sz w:val="19"/>
          <w:szCs w:val="19"/>
          <w:color w:val="auto"/>
        </w:rPr>
        <w:t>Eighth Amendment to the Second Amended and Restated Credit Agreement, dated as of October 26,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8 -K, File No. 001-35700, filed by the Company with the SEC on November 1, 2018).</w:t>
      </w:r>
    </w:p>
    <w:p>
      <w:pPr>
        <w:spacing w:after="0" w:line="50" w:lineRule="exact"/>
        <w:rPr>
          <w:rFonts w:ascii="Times New Roman" w:cs="Times New Roman" w:eastAsia="Times New Roman" w:hAnsi="Times New Roman"/>
          <w:sz w:val="17"/>
          <w:szCs w:val="17"/>
          <w:b w:val="1"/>
          <w:bCs w:val="1"/>
          <w:color w:val="auto"/>
        </w:rPr>
      </w:pPr>
    </w:p>
    <w:p>
      <w:pPr>
        <w:jc w:val="both"/>
        <w:ind w:left="1400" w:firstLine="1"/>
        <w:spacing w:after="0" w:line="220" w:lineRule="auto"/>
        <w:rPr>
          <w:sz w:val="20"/>
          <w:szCs w:val="20"/>
          <w:color w:val="auto"/>
        </w:rPr>
      </w:pPr>
      <w:r>
        <w:rPr>
          <w:rFonts w:ascii="Times New Roman" w:cs="Times New Roman" w:eastAsia="Times New Roman" w:hAnsi="Times New Roman"/>
          <w:sz w:val="19"/>
          <w:szCs w:val="19"/>
          <w:color w:val="auto"/>
        </w:rPr>
        <w:t>Ninth Amendment to Second Amended and Restated Credit Agreement and Fourth Amendment to Amended and Restated Guaranty and Collateral Agreement, dated as of November 29, 2018, by and among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001-35700, filed by the Company with the SEC on December 6, 2018).</w:t>
      </w:r>
    </w:p>
    <w:p>
      <w:pPr>
        <w:spacing w:after="0" w:line="42" w:lineRule="exact"/>
        <w:rPr>
          <w:rFonts w:ascii="Times New Roman" w:cs="Times New Roman" w:eastAsia="Times New Roman" w:hAnsi="Times New Roman"/>
          <w:sz w:val="17"/>
          <w:szCs w:val="17"/>
          <w:b w:val="1"/>
          <w:bCs w:val="1"/>
          <w:color w:val="auto"/>
        </w:rPr>
      </w:pPr>
    </w:p>
    <w:p>
      <w:pPr>
        <w:jc w:val="both"/>
        <w:ind w:left="1400"/>
        <w:spacing w:after="0" w:line="222" w:lineRule="auto"/>
        <w:rPr>
          <w:sz w:val="20"/>
          <w:szCs w:val="20"/>
          <w:color w:val="auto"/>
        </w:rPr>
      </w:pPr>
      <w:r>
        <w:rPr>
          <w:rFonts w:ascii="Times New Roman" w:cs="Times New Roman" w:eastAsia="Times New Roman" w:hAnsi="Times New Roman"/>
          <w:sz w:val="19"/>
          <w:szCs w:val="19"/>
          <w:color w:val="auto"/>
        </w:rPr>
        <w:t>Tenth Amendment to Second Amended and Restated Credit Agreement, dated as of March 25, 2019, between Diamondback, as parent guarantor, Diamondback O&amp;G LLC, as borrower, certain other subsidiaries of Diamondback Energy, Inc. as guarantors, Wells Fargo Bank, National Association, as administrative agent, and the lenders party thereto (incorporated by reference to Exhibit 10.1 to the Form 8-K (File No. 00 1-35700), filed by the Company with the SEC on March 29, 2019).</w:t>
      </w:r>
    </w:p>
    <w:p>
      <w:pPr>
        <w:spacing w:after="0" w:line="48" w:lineRule="exact"/>
        <w:rPr>
          <w:rFonts w:ascii="Times New Roman" w:cs="Times New Roman" w:eastAsia="Times New Roman" w:hAnsi="Times New Roman"/>
          <w:sz w:val="17"/>
          <w:szCs w:val="17"/>
          <w:b w:val="1"/>
          <w:bCs w:val="1"/>
          <w:color w:val="auto"/>
        </w:rPr>
      </w:pPr>
    </w:p>
    <w:p>
      <w:pPr>
        <w:jc w:val="both"/>
        <w:ind w:left="1400"/>
        <w:spacing w:after="0" w:line="222" w:lineRule="auto"/>
        <w:rPr>
          <w:sz w:val="20"/>
          <w:szCs w:val="20"/>
          <w:color w:val="auto"/>
        </w:rPr>
      </w:pPr>
      <w:r>
        <w:rPr>
          <w:rFonts w:ascii="Times New Roman" w:cs="Times New Roman" w:eastAsia="Times New Roman" w:hAnsi="Times New Roman"/>
          <w:sz w:val="19"/>
          <w:szCs w:val="19"/>
          <w:color w:val="auto"/>
        </w:rPr>
        <w:t>Eleventh Amendment to Second Amended and Restated Credit Agreement, dated as of June 28, 2019, between Diamondback Energy, Inc., as parent guarantor, Diamondback O&amp;G LLC, as borrower, certain other subsidiaries of Diamondback Energy, Inc. as guarantors, Wells Fargo Bank, National Association, as administrative agent, and the lenders party thereto (incorporated by reference to Exhibit 10.1 to the Form 8 -K, File No. 001-35700, filed by the Company with the SEC on July 3, 2019).</w:t>
      </w:r>
    </w:p>
    <w:p>
      <w:pPr>
        <w:spacing w:after="0" w:line="53" w:lineRule="exact"/>
        <w:rPr>
          <w:rFonts w:ascii="Times New Roman" w:cs="Times New Roman" w:eastAsia="Times New Roman" w:hAnsi="Times New Roman"/>
          <w:sz w:val="17"/>
          <w:szCs w:val="17"/>
          <w:b w:val="1"/>
          <w:bCs w:val="1"/>
          <w:color w:val="auto"/>
        </w:rPr>
      </w:pPr>
    </w:p>
    <w:p>
      <w:pPr>
        <w:jc w:val="both"/>
        <w:ind w:left="1400" w:hanging="1410"/>
        <w:spacing w:after="0" w:line="222" w:lineRule="auto"/>
        <w:tabs>
          <w:tab w:leader="none" w:pos="1380" w:val="left"/>
        </w:tabs>
        <w:rPr>
          <w:sz w:val="20"/>
          <w:szCs w:val="20"/>
          <w:color w:val="auto"/>
        </w:rPr>
      </w:pPr>
      <w:r>
        <w:rPr>
          <w:rFonts w:ascii="Times New Roman" w:cs="Times New Roman" w:eastAsia="Times New Roman" w:hAnsi="Times New Roman"/>
          <w:sz w:val="17"/>
          <w:szCs w:val="17"/>
          <w:color w:val="auto"/>
        </w:rPr>
        <w:t>10.28</w:t>
      </w:r>
      <w:r>
        <w:rPr>
          <w:sz w:val="20"/>
          <w:szCs w:val="20"/>
          <w:color w:val="auto"/>
        </w:rPr>
        <w:tab/>
      </w:r>
      <w:r>
        <w:rPr>
          <w:rFonts w:ascii="Times New Roman" w:cs="Times New Roman" w:eastAsia="Times New Roman" w:hAnsi="Times New Roman"/>
          <w:sz w:val="19"/>
          <w:szCs w:val="19"/>
          <w:color w:val="auto"/>
        </w:rPr>
        <w:t>Twelfth Amendment to Second Amended and Restated Credit Agreement and First Amendment to Second Amended and Restated Guaranty Agreement, dated as of June 2, 2021, between Diamondback Energy, Inc., as parent guarantor, Diamondback O&amp;G LLC, as borrower, Wells Fargo Bank, National Association, as administrative agent, and the lenders party thereto (incorporated by reference to Exhibit 10.1 to the Form 8 -K, File No. 001-35700, filed by the Company with the SEC on June 8, 2021).</w:t>
      </w:r>
    </w:p>
    <w:p>
      <w:pPr>
        <w:spacing w:after="0" w:line="50" w:lineRule="exact"/>
        <w:rPr>
          <w:rFonts w:ascii="Times New Roman" w:cs="Times New Roman" w:eastAsia="Times New Roman" w:hAnsi="Times New Roman"/>
          <w:sz w:val="17"/>
          <w:szCs w:val="17"/>
          <w:b w:val="1"/>
          <w:bCs w:val="1"/>
          <w:color w:val="auto"/>
        </w:rPr>
      </w:pPr>
    </w:p>
    <w:p>
      <w:pPr>
        <w:jc w:val="both"/>
        <w:ind w:left="1400"/>
        <w:spacing w:after="0" w:line="226" w:lineRule="auto"/>
        <w:rPr>
          <w:sz w:val="20"/>
          <w:szCs w:val="20"/>
          <w:color w:val="auto"/>
        </w:rPr>
      </w:pPr>
      <w:r>
        <w:rPr>
          <w:rFonts w:ascii="Times New Roman" w:cs="Times New Roman" w:eastAsia="Times New Roman" w:hAnsi="Times New Roman"/>
          <w:sz w:val="19"/>
          <w:szCs w:val="19"/>
          <w:color w:val="auto"/>
        </w:rPr>
        <w:t>Thirteenth Amendment to Second Amended and Restated Credit Agreement, dated as of June 2, 2022, between Diamondback Energy, Inc., as parent guarantor, Diamondback E&amp;P LLC, as borrower, Wells Fargo Bank, National Association, as administrative agent, and the lenders party thereto (incorporated by reference to Exhibit 10.1 to the Form 8-K, File No. 001-35700, filed by the Company with the SEC on June 7, 2022).</w:t>
      </w:r>
    </w:p>
    <w:p>
      <w:pPr>
        <w:spacing w:after="0" w:line="29" w:lineRule="exact"/>
        <w:rPr>
          <w:rFonts w:ascii="Times New Roman" w:cs="Times New Roman" w:eastAsia="Times New Roman" w:hAnsi="Times New Roman"/>
          <w:sz w:val="17"/>
          <w:szCs w:val="17"/>
          <w:b w:val="1"/>
          <w:bCs w:val="1"/>
          <w:color w:val="auto"/>
        </w:rPr>
      </w:pPr>
    </w:p>
    <w:p>
      <w:pPr>
        <w:jc w:val="both"/>
        <w:ind w:left="1400" w:firstLine="1"/>
        <w:spacing w:after="0" w:line="226" w:lineRule="auto"/>
        <w:rPr>
          <w:sz w:val="20"/>
          <w:szCs w:val="20"/>
          <w:color w:val="auto"/>
        </w:rPr>
      </w:pPr>
      <w:r>
        <w:rPr>
          <w:rFonts w:ascii="Times New Roman" w:cs="Times New Roman" w:eastAsia="Times New Roman" w:hAnsi="Times New Roman"/>
          <w:sz w:val="19"/>
          <w:szCs w:val="19"/>
          <w:color w:val="auto"/>
        </w:rPr>
        <w:t>Fourteenth Amendment to Second Amended and Restated Credit Agreement, dated as of March 6, 2024, by and among the Company, as borrower, the lenders and other parties party thereto, and Wells Fargo Bank, National Association, as administrative agent (incorporated by reference to Exhibit 10.2 to the Form 8-K, File No 001-35700, filed by the Company with the SEC on March 6, 2024).</w:t>
      </w:r>
    </w:p>
    <w:p>
      <w:pPr>
        <w:spacing w:after="0" w:line="29" w:lineRule="exact"/>
        <w:rPr>
          <w:rFonts w:ascii="Times New Roman" w:cs="Times New Roman" w:eastAsia="Times New Roman" w:hAnsi="Times New Roman"/>
          <w:sz w:val="17"/>
          <w:szCs w:val="17"/>
          <w:b w:val="1"/>
          <w:bCs w:val="1"/>
          <w:color w:val="auto"/>
        </w:rPr>
      </w:pPr>
    </w:p>
    <w:p>
      <w:pPr>
        <w:jc w:val="both"/>
        <w:ind w:left="1400" w:right="60"/>
        <w:spacing w:after="0" w:line="226" w:lineRule="auto"/>
        <w:rPr>
          <w:sz w:val="20"/>
          <w:szCs w:val="20"/>
          <w:color w:val="auto"/>
        </w:rPr>
      </w:pPr>
      <w:r>
        <w:rPr>
          <w:rFonts w:ascii="Times New Roman" w:cs="Times New Roman" w:eastAsia="Times New Roman" w:hAnsi="Times New Roman"/>
          <w:sz w:val="19"/>
          <w:szCs w:val="19"/>
          <w:color w:val="auto"/>
        </w:rPr>
        <w:t>Amended and Restated Credit Agreement, dated as of July 20, 2018, by and among, Viper Energy Partners LLC, as borrower, Viper Energy Partners LP, as guarantor, Wells Fargo Bank, National Association, as administrative agent, and the lenders party thereto (incorporated by reference to Exhibit 10.1 of the Current Report on Form 8-K (File 001 -36505) filed by Viper Energy Partners LP on July 26, 2018).</w:t>
      </w:r>
    </w:p>
    <w:p>
      <w:pPr>
        <w:spacing w:after="0" w:line="29" w:lineRule="exact"/>
        <w:rPr>
          <w:rFonts w:ascii="Times New Roman" w:cs="Times New Roman" w:eastAsia="Times New Roman" w:hAnsi="Times New Roman"/>
          <w:sz w:val="17"/>
          <w:szCs w:val="17"/>
          <w:b w:val="1"/>
          <w:bCs w:val="1"/>
          <w:color w:val="auto"/>
        </w:rPr>
      </w:pPr>
    </w:p>
    <w:p>
      <w:pPr>
        <w:jc w:val="both"/>
        <w:ind w:left="1400"/>
        <w:spacing w:after="0" w:line="222" w:lineRule="auto"/>
        <w:rPr>
          <w:sz w:val="20"/>
          <w:szCs w:val="20"/>
          <w:color w:val="auto"/>
        </w:rPr>
      </w:pPr>
      <w:r>
        <w:rPr>
          <w:rFonts w:ascii="Times New Roman" w:cs="Times New Roman" w:eastAsia="Times New Roman" w:hAnsi="Times New Roman"/>
          <w:sz w:val="19"/>
          <w:szCs w:val="19"/>
          <w:color w:val="auto"/>
        </w:rPr>
        <w:t>Second Amendment to Amended and Restated Senior Secured Revolving Credit Agreement, dated as of September 24,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September 30, 2019).</w:t>
      </w:r>
    </w:p>
    <w:p>
      <w:pPr>
        <w:spacing w:after="0" w:line="50" w:lineRule="exact"/>
        <w:rPr>
          <w:rFonts w:ascii="Times New Roman" w:cs="Times New Roman" w:eastAsia="Times New Roman" w:hAnsi="Times New Roman"/>
          <w:sz w:val="17"/>
          <w:szCs w:val="17"/>
          <w:b w:val="1"/>
          <w:bCs w:val="1"/>
          <w:color w:val="auto"/>
        </w:rPr>
      </w:pPr>
    </w:p>
    <w:p>
      <w:pPr>
        <w:jc w:val="both"/>
        <w:ind w:left="1400"/>
        <w:spacing w:after="0" w:line="226" w:lineRule="auto"/>
        <w:rPr>
          <w:sz w:val="20"/>
          <w:szCs w:val="20"/>
          <w:color w:val="auto"/>
        </w:rPr>
      </w:pPr>
      <w:r>
        <w:rPr>
          <w:rFonts w:ascii="Times New Roman" w:cs="Times New Roman" w:eastAsia="Times New Roman" w:hAnsi="Times New Roman"/>
          <w:sz w:val="19"/>
          <w:szCs w:val="19"/>
          <w:color w:val="auto"/>
        </w:rPr>
        <w:t>Third Amendment to Amended and Restated Senior Secured Revolving Credit Agreement, dated as of October 8, 2019, among Viper Energy Partners LLC, as borrower, Viper Energy Partners LP, as parent guarantor, Wells Fargo Bank, National Association, as administrative agent, and the lender party thereto (incorporated by reference to Exhibit 10.1 of Viper Energy Partners LP’s Form 8-K (File 001-36505) filed on October 10, 2019).</w:t>
      </w:r>
    </w:p>
    <w:p>
      <w:pPr>
        <w:spacing w:after="0" w:line="29" w:lineRule="exact"/>
        <w:rPr>
          <w:rFonts w:ascii="Times New Roman" w:cs="Times New Roman" w:eastAsia="Times New Roman" w:hAnsi="Times New Roman"/>
          <w:sz w:val="17"/>
          <w:szCs w:val="17"/>
          <w:b w:val="1"/>
          <w:bCs w:val="1"/>
          <w:color w:val="auto"/>
        </w:rPr>
      </w:pPr>
    </w:p>
    <w:p>
      <w:pPr>
        <w:jc w:val="both"/>
        <w:ind w:left="1400"/>
        <w:spacing w:after="0" w:line="222" w:lineRule="auto"/>
        <w:rPr>
          <w:sz w:val="20"/>
          <w:szCs w:val="20"/>
          <w:color w:val="auto"/>
        </w:rPr>
      </w:pPr>
      <w:r>
        <w:rPr>
          <w:rFonts w:ascii="Times New Roman" w:cs="Times New Roman" w:eastAsia="Times New Roman" w:hAnsi="Times New Roman"/>
          <w:sz w:val="19"/>
          <w:szCs w:val="19"/>
          <w:color w:val="auto"/>
        </w:rPr>
        <w:t>Fourth Amendment to Amended and Restated Senior Secured Revolving Credit Agreement, dated as of November 29, 2019,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December 5, 2019).</w:t>
      </w:r>
    </w:p>
    <w:p>
      <w:pPr>
        <w:spacing w:after="0" w:line="50" w:lineRule="exact"/>
        <w:rPr>
          <w:rFonts w:ascii="Times New Roman" w:cs="Times New Roman" w:eastAsia="Times New Roman" w:hAnsi="Times New Roman"/>
          <w:sz w:val="17"/>
          <w:szCs w:val="17"/>
          <w:b w:val="1"/>
          <w:bCs w:val="1"/>
          <w:color w:val="auto"/>
        </w:rPr>
      </w:pPr>
    </w:p>
    <w:p>
      <w:pPr>
        <w:jc w:val="both"/>
        <w:ind w:left="1400"/>
        <w:spacing w:after="0" w:line="222" w:lineRule="auto"/>
        <w:rPr>
          <w:sz w:val="20"/>
          <w:szCs w:val="20"/>
          <w:color w:val="auto"/>
        </w:rPr>
      </w:pPr>
      <w:r>
        <w:rPr>
          <w:rFonts w:ascii="Times New Roman" w:cs="Times New Roman" w:eastAsia="Times New Roman" w:hAnsi="Times New Roman"/>
          <w:sz w:val="19"/>
          <w:szCs w:val="19"/>
          <w:color w:val="auto"/>
        </w:rPr>
        <w:t>Fifth Amendment to Amended and Restated Senior Secured Revolving Credit Agreement, dated as of May 11,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001 -36505) filed on May 15, 2020).</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87" w:lineRule="exact"/>
        <w:rPr>
          <w:rFonts w:ascii="Times New Roman" w:cs="Times New Roman" w:eastAsia="Times New Roman" w:hAnsi="Times New Roman"/>
          <w:sz w:val="17"/>
          <w:szCs w:val="17"/>
          <w:b w:val="1"/>
          <w:bCs w:val="1"/>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80"/>
          </w:cols>
          <w:pgMar w:left="1140" w:top="909" w:right="1120" w:bottom="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5"/>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1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8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360" w:type="dxa"/>
            <w:vAlign w:val="bottom"/>
            <w:gridSpan w:val="2"/>
          </w:tcPr>
          <w:p>
            <w:pPr>
              <w:ind w:left="200"/>
              <w:spacing w:after="0" w:line="187" w:lineRule="exact"/>
              <w:rPr>
                <w:sz w:val="20"/>
                <w:szCs w:val="20"/>
                <w:color w:val="auto"/>
              </w:rPr>
            </w:pPr>
            <w:r>
              <w:rPr>
                <w:rFonts w:ascii="Times New Roman" w:cs="Times New Roman" w:eastAsia="Times New Roman" w:hAnsi="Times New Roman"/>
                <w:sz w:val="17"/>
                <w:szCs w:val="17"/>
                <w:color w:val="auto"/>
              </w:rPr>
              <w:t>10.36</w:t>
            </w:r>
          </w:p>
        </w:tc>
        <w:tc>
          <w:tcPr>
            <w:tcW w:w="100" w:type="dxa"/>
            <w:vAlign w:val="bottom"/>
          </w:tcPr>
          <w:p>
            <w:pPr>
              <w:spacing w:after="0"/>
              <w:rPr>
                <w:sz w:val="16"/>
                <w:szCs w:val="16"/>
                <w:color w:val="auto"/>
              </w:rPr>
            </w:pPr>
          </w:p>
        </w:tc>
        <w:tc>
          <w:tcPr>
            <w:tcW w:w="87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Sixth Amendment to Amended and Restated Senior Secured Revolving Credit Agreement, dated as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November 6, 2020, among Viper Energy Partners LLC, as borrower, Viper Energy Partners LP, as parent</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guarantor, Wells Fargo Bank, National Association, as administrative agent, and the lenders party thereto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10.1 of the Partnership’s Current Report on Form 8-K (File 001-36505)</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filed on November 12, 2020).</w:t>
            </w:r>
          </w:p>
        </w:tc>
        <w:tc>
          <w:tcPr>
            <w:tcW w:w="0" w:type="dxa"/>
            <w:vAlign w:val="bottom"/>
          </w:tcPr>
          <w:p>
            <w:pPr>
              <w:spacing w:after="0"/>
              <w:rPr>
                <w:sz w:val="1"/>
                <w:szCs w:val="1"/>
                <w:color w:val="auto"/>
              </w:rPr>
            </w:pPr>
          </w:p>
        </w:tc>
      </w:tr>
      <w:tr>
        <w:trPr>
          <w:trHeight w:val="239"/>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Eighth Amendment to Amended and Restated Senior Secured Revolving Credit Agreement and Second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Amendment to Guaranty and Collateral Agreement, dated as of November 15, 2021, by and among Viper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Energy Partners LLC, as borrower, Viper Energy Partners LP, as parent guarantor, Wells Fargo Bank, National</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Association, as administrative agent, and the lenders party thereto (incorporated by reference to Exhibit 10.1 of</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Viper Energy Partners LP’s Current Report on Form 8-K (File No. 001-36505) filed on November 18, 2021).</w:t>
            </w:r>
          </w:p>
        </w:tc>
        <w:tc>
          <w:tcPr>
            <w:tcW w:w="0" w:type="dxa"/>
            <w:vAlign w:val="bottom"/>
          </w:tcPr>
          <w:p>
            <w:pPr>
              <w:spacing w:after="0"/>
              <w:rPr>
                <w:sz w:val="1"/>
                <w:szCs w:val="1"/>
                <w:color w:val="auto"/>
              </w:rPr>
            </w:pPr>
          </w:p>
        </w:tc>
      </w:tr>
      <w:tr>
        <w:trPr>
          <w:trHeight w:val="23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Ninth Amendment to Amended and Restated Senior Secured Revolving Credit Agreement and Second</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Amendment to Guaranty and Collateral Agreement, dated as of November 18, 2022, by and among Viper</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Energy Partners LLC, as borrower, Viper Energy Partners LP, as parent guarantor,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and the lenders party thereto (incorporated by reference to Exhibit 10.18 of</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Viper Energy Partners LP’s Annual Report on Form 10-K (File 001-36505) filed on February 23, 2023).</w:t>
            </w:r>
          </w:p>
        </w:tc>
        <w:tc>
          <w:tcPr>
            <w:tcW w:w="0" w:type="dxa"/>
            <w:vAlign w:val="bottom"/>
          </w:tcPr>
          <w:p>
            <w:pPr>
              <w:spacing w:after="0"/>
              <w:rPr>
                <w:sz w:val="1"/>
                <w:szCs w:val="1"/>
                <w:color w:val="auto"/>
              </w:rPr>
            </w:pPr>
          </w:p>
        </w:tc>
      </w:tr>
      <w:tr>
        <w:trPr>
          <w:trHeight w:val="239"/>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Tenth Amendment to Amended and Restated Senior Secured Revolving Credit Agreement and Second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Amendment to Guaranty and Collateral Agreement, dated as of May 31, 2023, by and among Viper Energy</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Partners LLC, as borrower, Viper Energy Partners LP, as parent guarantor,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and the lenders party thereto (incorporated by reference to Exhibit 10.1 to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Viper Energy Partners LP’s Current Report on Form 8-K (File No. 001-36505) filed on June 6, 2023).</w:t>
            </w:r>
          </w:p>
        </w:tc>
        <w:tc>
          <w:tcPr>
            <w:tcW w:w="0" w:type="dxa"/>
            <w:vAlign w:val="bottom"/>
          </w:tcPr>
          <w:p>
            <w:pPr>
              <w:spacing w:after="0"/>
              <w:rPr>
                <w:sz w:val="1"/>
                <w:szCs w:val="1"/>
                <w:color w:val="auto"/>
              </w:rPr>
            </w:pPr>
          </w:p>
        </w:tc>
      </w:tr>
      <w:tr>
        <w:trPr>
          <w:trHeight w:val="23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Eleventh Amendment to Amended and Restated Senior Secured Revolving Credit Agreement dated as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September 22, 2023, by and among Viper Energy Partners LLC, as borrower, Viper Energy Partners LP, as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parent guarantor, Wells Fargo Bank, National Association, as administrative agent, and the lenders party thereto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10.1 of Viper’s Current Report on Form 8-K (File No. 001-36505) filed on</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September 28, 2023).</w:t>
            </w:r>
          </w:p>
        </w:tc>
        <w:tc>
          <w:tcPr>
            <w:tcW w:w="0" w:type="dxa"/>
            <w:vAlign w:val="bottom"/>
          </w:tcPr>
          <w:p>
            <w:pPr>
              <w:spacing w:after="0"/>
              <w:rPr>
                <w:sz w:val="1"/>
                <w:szCs w:val="1"/>
                <w:color w:val="auto"/>
              </w:rPr>
            </w:pPr>
          </w:p>
        </w:tc>
      </w:tr>
      <w:tr>
        <w:trPr>
          <w:trHeight w:val="23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Twelfth Amendment to Amended and Restated Senior Secured Revolving Credit Agreement dated as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September 22, 2023, by and among Viper Energy Partners LLC, as borrower, Viper Energy Partners LP, as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parent guarantor, Wells Fargo Bank, National Association, as administrative agent, and the lenders party thereto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(incorporated by reference to Exhibit 10.2 of Viper’s Current Report on Form 8-K (File No. 001-36505) filed on</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September 28, 2023).</w:t>
            </w:r>
          </w:p>
        </w:tc>
        <w:tc>
          <w:tcPr>
            <w:tcW w:w="0" w:type="dxa"/>
            <w:vAlign w:val="bottom"/>
          </w:tcPr>
          <w:p>
            <w:pPr>
              <w:spacing w:after="0"/>
              <w:rPr>
                <w:sz w:val="1"/>
                <w:szCs w:val="1"/>
                <w:color w:val="auto"/>
              </w:rPr>
            </w:pPr>
          </w:p>
        </w:tc>
      </w:tr>
      <w:tr>
        <w:trPr>
          <w:trHeight w:val="239"/>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Thirteenth Amendment to Amended and Restated Senior Secured Revolving Credit Agreement and Third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Amendment to Guaranty and Collateral Agreement dated as of November 22, 2024, by and among Viper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Energy Partners LLC, as borrow, Viper Energy, Inc., as parent guarantor, Wells Fargo Bank, National</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Association, as administrative agent (incorporated by reference to Exhibit 10.24 of Viper’s Form 10-K (File No.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001-36505) filed on February 26, 2025).</w:t>
            </w:r>
          </w:p>
        </w:tc>
        <w:tc>
          <w:tcPr>
            <w:tcW w:w="0" w:type="dxa"/>
            <w:vAlign w:val="bottom"/>
          </w:tcPr>
          <w:p>
            <w:pPr>
              <w:spacing w:after="0"/>
              <w:rPr>
                <w:sz w:val="1"/>
                <w:szCs w:val="1"/>
                <w:color w:val="auto"/>
              </w:rPr>
            </w:pPr>
          </w:p>
        </w:tc>
      </w:tr>
      <w:tr>
        <w:trPr>
          <w:trHeight w:val="234"/>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Pr>
          <w:p>
            <w:pPr>
              <w:spacing w:after="0"/>
              <w:rPr>
                <w:sz w:val="20"/>
                <w:szCs w:val="20"/>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Term Loan Credit Agreement, dated as of February 29, 2024, by and among the Company, as borrower, the</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auto"/>
              </w:rPr>
              <w:t>lenders party thereto, and Citibank, N.A., as administrative agent (incorporated by reference to Exhibit 10.1 to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the Form 8-K, File No 001-35700, filed by the Company with the SEC on March 6, 2024).</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Consent Letter dated August 28, 2019, between Diamondback Energy, Inc., as parent guarantor, Diamondback</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O&amp;G LLC, as borrower, certain other subsidiaries of Diamondback Energy, Inc. as guarantors, Wells Fargo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Bank, National Association, as administrative agent, and the lenders party thereto. (incorporated by reference to</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10.1 of the Company’s Current Report on Form 8-K (File 001-35700) filed on September 4, 2019).</w:t>
            </w:r>
          </w:p>
        </w:tc>
        <w:tc>
          <w:tcPr>
            <w:tcW w:w="0" w:type="dxa"/>
            <w:vAlign w:val="bottom"/>
          </w:tcPr>
          <w:p>
            <w:pPr>
              <w:spacing w:after="0"/>
              <w:rPr>
                <w:sz w:val="1"/>
                <w:szCs w:val="1"/>
                <w:color w:val="auto"/>
              </w:rPr>
            </w:pPr>
          </w:p>
        </w:tc>
      </w:tr>
      <w:tr>
        <w:trPr>
          <w:trHeight w:val="27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19.1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Insider Trading Policy.</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19.2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Sixth Amended and Restated Supplemental Policy Concerning Trading in Securities of the Company and its</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Subsidiaries by Certain Designated Persons.</w:t>
            </w:r>
          </w:p>
        </w:tc>
        <w:tc>
          <w:tcPr>
            <w:tcW w:w="0" w:type="dxa"/>
            <w:vAlign w:val="bottom"/>
          </w:tcPr>
          <w:p>
            <w:pPr>
              <w:spacing w:after="0"/>
              <w:rPr>
                <w:sz w:val="1"/>
                <w:szCs w:val="1"/>
                <w:color w:val="auto"/>
              </w:rPr>
            </w:pPr>
          </w:p>
        </w:tc>
      </w:tr>
      <w:tr>
        <w:trPr>
          <w:trHeight w:val="28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Subsidiaries of the Registrant.</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22.1</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List of Issuers and Guarantors Subsidiaries (incorporated by reference to Exhibit 22.1 to the Form 10-Q, File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001-35700, filed by the Company with the SEC on August 5, 2021).</w:t>
            </w:r>
          </w:p>
        </w:tc>
        <w:tc>
          <w:tcPr>
            <w:tcW w:w="0" w:type="dxa"/>
            <w:vAlign w:val="bottom"/>
          </w:tcPr>
          <w:p>
            <w:pPr>
              <w:spacing w:after="0"/>
              <w:rPr>
                <w:sz w:val="1"/>
                <w:szCs w:val="1"/>
                <w:color w:val="auto"/>
              </w:rPr>
            </w:pPr>
          </w:p>
        </w:tc>
      </w:tr>
      <w:tr>
        <w:trPr>
          <w:trHeight w:val="28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Consent of Grant Thornton LLP.</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Consent of Ryder Scott Company, L.P. with respect to the audit of Diamondback Energy, Inc. estimated</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reserves.</w:t>
            </w:r>
          </w:p>
        </w:tc>
        <w:tc>
          <w:tcPr>
            <w:tcW w:w="0" w:type="dxa"/>
            <w:vAlign w:val="bottom"/>
          </w:tcPr>
          <w:p>
            <w:pPr>
              <w:spacing w:after="0"/>
              <w:rPr>
                <w:sz w:val="1"/>
                <w:szCs w:val="1"/>
                <w:color w:val="auto"/>
              </w:rPr>
            </w:pPr>
          </w:p>
        </w:tc>
      </w:tr>
      <w:tr>
        <w:trPr>
          <w:trHeight w:val="28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Consent of Ryder Scott Company, L.P. with respect to the audit of Viper Energy, Inc. estimated reserves.</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Certification of Chief Executive Officer of the Registrant pursuant to Rule 13a-14(a) promulgated under the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Securities Exchange Act of 1934, as amended.</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Certification of Chief Financial Officer of the Registrant pursuant to Rule 13a-14(a) promulgated under the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Securities Exchange Act of 1934, as amended.</w:t>
            </w:r>
          </w:p>
        </w:tc>
        <w:tc>
          <w:tcPr>
            <w:tcW w:w="0" w:type="dxa"/>
            <w:vAlign w:val="bottom"/>
          </w:tcPr>
          <w:p>
            <w:pPr>
              <w:spacing w:after="0"/>
              <w:rPr>
                <w:sz w:val="1"/>
                <w:szCs w:val="1"/>
                <w:color w:val="auto"/>
              </w:rPr>
            </w:pPr>
          </w:p>
        </w:tc>
      </w:tr>
      <w:tr>
        <w:trPr>
          <w:trHeight w:val="222"/>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Certification of Chief Executive Officer of the Registrant pursuant to Rule 13a-14(b) promulgated under the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Securities Exchange Act of 1934, as amended, and Section 1350 of Chapter 63 of Title 18 of the United States</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Code.</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Certification of Chief Financial Officer of the Registrant pursuant to Rule 13a-14(b) promulgated under the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Securities Exchange Act of 1934, as amended, and Section 1350 of Chapter 63 of Title 18 of the United States</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Code.</w:t>
            </w:r>
          </w:p>
        </w:tc>
        <w:tc>
          <w:tcPr>
            <w:tcW w:w="0" w:type="dxa"/>
            <w:vAlign w:val="bottom"/>
          </w:tcPr>
          <w:p>
            <w:pPr>
              <w:spacing w:after="0"/>
              <w:rPr>
                <w:sz w:val="1"/>
                <w:szCs w:val="1"/>
                <w:color w:val="auto"/>
              </w:rPr>
            </w:pPr>
          </w:p>
        </w:tc>
      </w:tr>
      <w:tr>
        <w:trPr>
          <w:trHeight w:val="647"/>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20" w:type="dxa"/>
            <w:vAlign w:val="bottom"/>
            <w:gridSpan w:val="2"/>
          </w:tcPr>
          <w:p>
            <w:pPr>
              <w:jc w:val="right"/>
              <w:ind w:right="4805"/>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bl>
    <w:p>
      <w:pPr>
        <w:sectPr>
          <w:pgSz w:w="12240" w:h="15840" w:orient="portrait"/>
          <w:cols w:equalWidth="0" w:num="1">
            <w:col w:w="10180"/>
          </w:cols>
          <w:pgMar w:left="980" w:top="214" w:right="1080"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of Contents</w:t>
            </w:r>
          </w:p>
        </w:tc>
        <w:tc>
          <w:tcPr>
            <w:tcW w:w="1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8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6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97.1</w:t>
            </w:r>
          </w:p>
        </w:tc>
        <w:tc>
          <w:tcPr>
            <w:tcW w:w="100" w:type="dxa"/>
            <w:vAlign w:val="bottom"/>
          </w:tcPr>
          <w:p>
            <w:pPr>
              <w:spacing w:after="0"/>
              <w:rPr>
                <w:sz w:val="16"/>
                <w:szCs w:val="16"/>
                <w:color w:val="auto"/>
              </w:rPr>
            </w:pPr>
          </w:p>
        </w:tc>
        <w:tc>
          <w:tcPr>
            <w:tcW w:w="87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auto"/>
              </w:rPr>
              <w:t>Diamondback Energy Inc. Clawback Policy (incorporated by reference to Exhibit 97.1 to the Form 10-K, File</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 001-35700, filed by the Company with the SEC on February 22, 2024).</w:t>
            </w:r>
          </w:p>
        </w:tc>
        <w:tc>
          <w:tcPr>
            <w:tcW w:w="0" w:type="dxa"/>
            <w:vAlign w:val="bottom"/>
          </w:tcPr>
          <w:p>
            <w:pPr>
              <w:spacing w:after="0"/>
              <w:rPr>
                <w:sz w:val="1"/>
                <w:szCs w:val="1"/>
                <w:color w:val="auto"/>
              </w:rPr>
            </w:pPr>
          </w:p>
        </w:tc>
      </w:tr>
      <w:tr>
        <w:trPr>
          <w:trHeight w:val="225"/>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99.1 </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Audit Report of Ryder Scott Company, L.P., dated January 13, 2025, with respect to an audit of the proved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auto"/>
              </w:rPr>
              <w:t>reserves, future production and income attributable to certain leasehold interests of Diamondback Energy, Inc.</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as of December 31, 2024.</w:t>
            </w:r>
          </w:p>
        </w:tc>
        <w:tc>
          <w:tcPr>
            <w:tcW w:w="0" w:type="dxa"/>
            <w:vAlign w:val="bottom"/>
          </w:tcPr>
          <w:p>
            <w:pPr>
              <w:spacing w:after="0"/>
              <w:rPr>
                <w:sz w:val="1"/>
                <w:szCs w:val="1"/>
                <w:color w:val="auto"/>
              </w:rPr>
            </w:pPr>
          </w:p>
        </w:tc>
      </w:tr>
      <w:tr>
        <w:trPr>
          <w:trHeight w:val="21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xml:space="preserve">99.2 </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72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auto"/>
              </w:rPr>
              <w:t>Audit Report of Ryder Scott Company, L.P., dated January 13, 2025, with respect to an audit of the proved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auto"/>
              </w:rPr>
              <w:t>reserves, future production and income attributable to certain royalty interests of Viper Energy, Inc., a subsidiary</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of Diamondback Energy, Inc., as of December 31, 2024.</w:t>
            </w: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1520" w:right="40" w:hanging="1324"/>
        <w:spacing w:after="0" w:line="225" w:lineRule="auto"/>
        <w:tabs>
          <w:tab w:leader="none" w:pos="15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financial information from the Company’s Annual Report on Form 10-K for the year ended December 31, 2024, formatted in Inline XBRL: (i) Consolidated Balance Sheets, (ii) Consolidated Statements of Operations, (iii) Consolidated Statement of Changes in Stockholders’ Equity, (iv) Consolidated Statements of Cash Flows and (v) Notes to Consolidated Financial Statements.</w:t>
      </w:r>
    </w:p>
    <w:p>
      <w:pPr>
        <w:spacing w:after="0" w:line="33" w:lineRule="exact"/>
        <w:rPr>
          <w:sz w:val="20"/>
          <w:szCs w:val="20"/>
          <w:color w:val="auto"/>
        </w:rPr>
      </w:pPr>
    </w:p>
    <w:p>
      <w:pPr>
        <w:ind w:left="1560" w:hanging="1364"/>
        <w:spacing w:after="0"/>
        <w:tabs>
          <w:tab w:leader="none" w:pos="1560"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and contained in Exhibit 101).</w:t>
      </w:r>
    </w:p>
    <w:p>
      <w:pPr>
        <w:spacing w:after="0" w:line="200" w:lineRule="exact"/>
        <w:rPr>
          <w:rFonts w:ascii="Times New Roman" w:cs="Times New Roman" w:eastAsia="Times New Roman" w:hAnsi="Times New Roman"/>
          <w:sz w:val="19"/>
          <w:szCs w:val="19"/>
          <w:color w:val="auto"/>
        </w:rPr>
      </w:pPr>
    </w:p>
    <w:p>
      <w:pPr>
        <w:spacing w:after="0" w:line="327" w:lineRule="exact"/>
        <w:rPr>
          <w:rFonts w:ascii="Times New Roman" w:cs="Times New Roman" w:eastAsia="Times New Roman" w:hAnsi="Times New Roman"/>
          <w:sz w:val="19"/>
          <w:szCs w:val="19"/>
          <w:color w:val="auto"/>
        </w:rPr>
      </w:pPr>
    </w:p>
    <w:p>
      <w:pPr>
        <w:ind w:left="620" w:hanging="424"/>
        <w:spacing w:after="0"/>
        <w:tabs>
          <w:tab w:leader="none" w:pos="6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2" w:lineRule="exact"/>
        <w:rPr>
          <w:rFonts w:ascii="Times New Roman" w:cs="Times New Roman" w:eastAsia="Times New Roman" w:hAnsi="Times New Roman"/>
          <w:sz w:val="20"/>
          <w:szCs w:val="20"/>
          <w:color w:val="auto"/>
        </w:rPr>
      </w:pPr>
    </w:p>
    <w:p>
      <w:pPr>
        <w:jc w:val="both"/>
        <w:ind w:left="620" w:right="100" w:hanging="424"/>
        <w:spacing w:after="0" w:line="263" w:lineRule="auto"/>
        <w:tabs>
          <w:tab w:leader="none" w:pos="56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 w:lineRule="exact"/>
        <w:rPr>
          <w:rFonts w:ascii="Times New Roman" w:cs="Times New Roman" w:eastAsia="Times New Roman" w:hAnsi="Times New Roman"/>
          <w:sz w:val="20"/>
          <w:szCs w:val="20"/>
          <w:color w:val="auto"/>
        </w:rPr>
      </w:pPr>
    </w:p>
    <w:p>
      <w:pPr>
        <w:ind w:left="620" w:hanging="425"/>
        <w:spacing w:after="0"/>
        <w:tabs>
          <w:tab w:leader="none" w:pos="6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compensatory plan or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-845820</wp:posOffset>
                </wp:positionV>
                <wp:extent cx="9525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508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66.5999pt" to="80pt,-66.5999pt" o:allowincell="f" strokecolor="#000000" strokeweight="0.4pt"/>
            </w:pict>
          </mc:Fallback>
        </mc:AlternateContent>
      </w:r>
    </w:p>
    <w:p>
      <w:pPr>
        <w:spacing w:after="0" w:line="26" w:lineRule="exact"/>
        <w:rPr>
          <w:sz w:val="20"/>
          <w:szCs w:val="20"/>
          <w:color w:val="auto"/>
        </w:rPr>
      </w:pPr>
    </w:p>
    <w:p>
      <w:pPr>
        <w:ind w:left="620" w:right="100" w:hanging="425"/>
        <w:spacing w:after="0" w:line="229" w:lineRule="auto"/>
        <w:tabs>
          <w:tab w:leader="none" w:pos="51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10180"/>
          </w:cols>
          <w:pgMar w:left="980" w:top="214" w:right="1080" w:bottom="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ind w:left="100" w:firstLine="720"/>
        <w:spacing w:after="0" w:line="288"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the Registrant has duly caused this report to be signed on its behalf by the undersigned thereunto duly authorized.</w:t>
      </w:r>
    </w:p>
    <w:p>
      <w:pPr>
        <w:ind w:left="6100"/>
        <w:spacing w:after="0"/>
        <w:rPr>
          <w:sz w:val="20"/>
          <w:szCs w:val="20"/>
          <w:color w:val="auto"/>
        </w:rPr>
      </w:pPr>
      <w:r>
        <w:rPr>
          <w:rFonts w:ascii="Times New Roman" w:cs="Times New Roman" w:eastAsia="Times New Roman" w:hAnsi="Times New Roman"/>
          <w:sz w:val="20"/>
          <w:szCs w:val="20"/>
          <w:color w:val="auto"/>
        </w:rPr>
        <w:t>DIAMONDBACK ENERGY, INC.</w:t>
      </w:r>
    </w:p>
    <w:p>
      <w:pPr>
        <w:spacing w:after="0" w:line="358" w:lineRule="exact"/>
        <w:rPr>
          <w:sz w:val="20"/>
          <w:szCs w:val="20"/>
          <w:color w:val="auto"/>
        </w:rPr>
      </w:pPr>
    </w:p>
    <w:p>
      <w:pPr>
        <w:ind w:left="160"/>
        <w:spacing w:after="0"/>
        <w:tabs>
          <w:tab w:leader="none" w:pos="7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February 26, 2025</w:t>
      </w:r>
    </w:p>
    <w:p>
      <w:pPr>
        <w:spacing w:after="0" w:line="5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Travis D. Stice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3844925</wp:posOffset>
                </wp:positionH>
                <wp:positionV relativeFrom="paragraph">
                  <wp:posOffset>31115</wp:posOffset>
                </wp:positionV>
                <wp:extent cx="26193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9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75pt,2.45pt" to="509pt,2.45pt" o:allowincell="f" strokecolor="#000000" strokeweight="1pt"/>
            </w:pict>
          </mc:Fallback>
        </mc:AlternateContent>
      </w:r>
    </w:p>
    <w:p>
      <w:pPr>
        <w:spacing w:after="0" w:line="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Travis D. Stice</w:t>
      </w:r>
    </w:p>
    <w:p>
      <w:pPr>
        <w:spacing w:after="0" w:line="5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5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20" w:lineRule="exact"/>
        <w:rPr>
          <w:sz w:val="20"/>
          <w:szCs w:val="20"/>
          <w:color w:val="auto"/>
        </w:rPr>
      </w:pPr>
    </w:p>
    <w:p>
      <w:pPr>
        <w:ind w:left="100" w:right="120" w:firstLine="720"/>
        <w:spacing w:after="0" w:line="286"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209"/>
        </w:trPr>
        <w:tc>
          <w:tcPr>
            <w:tcW w:w="9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2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 Travis D. Stice</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74"/>
        </w:trPr>
        <w:tc>
          <w:tcPr>
            <w:tcW w:w="2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Travis D. Stice</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 Vincent K. Brooks</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66"/>
        </w:trPr>
        <w:tc>
          <w:tcPr>
            <w:tcW w:w="2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Vincent K. Brooks</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 Darin G. Holderness</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Darin G. Holderness</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David L. Houston</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L. Houston</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Rebecca A. Klein</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Rebecca A. Klein</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Stephanie K. Mains</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41"/>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Stephanie K. Mains</w:t>
            </w:r>
          </w:p>
        </w:tc>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1"/>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Charles A. Meloy</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Charles A. Meloy</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Mark L. Plaumann</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February 26, 2025</w:t>
            </w:r>
          </w:p>
        </w:tc>
      </w:tr>
      <w:tr>
        <w:trPr>
          <w:trHeight w:val="241"/>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Mark L. Plaumann</w:t>
            </w:r>
          </w:p>
        </w:tc>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1"/>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Robert K. Reeves</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Robert K. Reeves</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Lance W. Robertson</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Lance W. Robertson</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Melanie M. Trent</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41"/>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Melanie M. Trent</w:t>
            </w:r>
          </w:p>
        </w:tc>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1"/>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Frank D. Tsuru</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Frank D. Tsuru</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Steven E. West</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6"/>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Steven E. West</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6"/>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Kaes Van’t Hof</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President</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Kaes Van’t Hof</w:t>
            </w:r>
          </w:p>
        </w:tc>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30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Jere W. Thompson III</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Financial Officer, Executive Vice President</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75"/>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Jere W. Thompson III</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24"/>
        </w:trPr>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Accounting Officer, Executive Vice President and Assistant</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5"/>
        </w:trPr>
        <w:tc>
          <w:tcPr>
            <w:tcW w:w="2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 Teresa L. Dick</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Secretary</w:t>
            </w: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February 26, 2025</w:t>
            </w:r>
          </w:p>
        </w:tc>
      </w:tr>
      <w:tr>
        <w:trPr>
          <w:trHeight w:val="267"/>
        </w:trPr>
        <w:tc>
          <w:tcPr>
            <w:tcW w:w="2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Teresa L. Dick</w:t>
            </w:r>
          </w:p>
        </w:tc>
        <w:tc>
          <w:tcPr>
            <w:tcW w:w="5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040"/>
          </w:cols>
          <w:pgMar w:left="980" w:top="214" w:right="1220" w:bottom="0" w:gutter="0" w:footer="0" w:header="0"/>
        </w:sectPr>
      </w:pPr>
    </w:p>
    <w:bookmarkStart w:id="141" w:name="page142"/>
    <w:bookmarkEnd w:id="141"/>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lowerRoman"/>
      <w:start w:val="2"/>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upperLetter"/>
      <w:start w:val="4"/>
    </w:lvl>
  </w:abstractNum>
  <w:abstractNum w:abstractNumId="14">
    <w:nsid w:val="3855585C"/>
    <w:multiLevelType w:val="hybridMultilevel"/>
    <w:lvl w:ilvl="0">
      <w:lvlJc w:val="left"/>
      <w:lvlText w:val="%1"/>
      <w:numFmt w:val="upperLetter"/>
      <w:start w:val="4"/>
    </w:lvl>
  </w:abstractNum>
  <w:abstractNum w:abstractNumId="15">
    <w:nsid w:val="70A64E2A"/>
    <w:multiLevelType w:val="hybridMultilevel"/>
    <w:lvl w:ilvl="0">
      <w:lvlJc w:val="left"/>
      <w:lvlText w:val="%1"/>
      <w:numFmt w:val="upperLetter"/>
      <w:start w:val="4"/>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lowerRoman"/>
      <w:start w:val="3"/>
    </w:lvl>
    <w:lvl w:ilvl="1">
      <w:lvlJc w:val="left"/>
      <w:lvlText w:val="%2"/>
      <w:numFmt w:val="lowerRoman"/>
      <w:start w:val="1"/>
    </w:lvl>
  </w:abstractNum>
  <w:abstractNum w:abstractNumId="26">
    <w:nsid w:val="38437FDB"/>
    <w:multiLevelType w:val="hybridMultilevel"/>
    <w:lvl w:ilvl="0">
      <w:lvlJc w:val="left"/>
      <w:lvlText w:val="(%1)"/>
      <w:numFmt w:val="lowerRoman"/>
      <w:start w:val="5"/>
    </w:lvl>
    <w:lvl w:ilvl="1">
      <w:lvlJc w:val="left"/>
      <w:lvlText w:val="%2"/>
      <w:numFmt w:val="lowerRoman"/>
      <w:start w:val="1"/>
    </w:lvl>
  </w:abstractNum>
  <w:abstractNum w:abstractNumId="27">
    <w:nsid w:val="7644A45C"/>
    <w:multiLevelType w:val="hybridMultilevel"/>
    <w:lvl w:ilvl="0">
      <w:lvlJc w:val="left"/>
      <w:lvlText w:val="(%1)"/>
      <w:numFmt w:val="lowerRoman"/>
      <w:start w:val="1"/>
    </w:lvl>
  </w:abstractNum>
  <w:abstractNum w:abstractNumId="28">
    <w:nsid w:val="32FFF902"/>
    <w:multiLevelType w:val="hybridMultilevel"/>
    <w:lvl w:ilvl="0">
      <w:lvlJc w:val="left"/>
      <w:lvlText w:val="(%1)"/>
      <w:numFmt w:val="lowerRoman"/>
      <w:start w:val="2"/>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lowerRoman"/>
      <w:start w:val="3"/>
    </w:lvl>
  </w:abstractNum>
  <w:abstractNum w:abstractNumId="31">
    <w:nsid w:val="749ABB43"/>
    <w:multiLevelType w:val="hybridMultilevel"/>
    <w:lvl w:ilvl="0">
      <w:lvlJc w:val="left"/>
      <w:lvlText w:val="%1."/>
      <w:numFmt w:val="decimal"/>
      <w:start w:val="8"/>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lvl w:ilvl="1">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emdash "/>
      <w:numFmt w:val="bullet"/>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1)"/>
      <w:numFmt w:val="lowerLetter"/>
      <w:start w:val="2"/>
    </w:lvl>
  </w:abstractNum>
  <w:abstractNum w:abstractNumId="39">
    <w:nsid w:val="374A3FE6"/>
    <w:multiLevelType w:val="hybridMultilevel"/>
    <w:lvl w:ilvl="0">
      <w:lvlJc w:val="left"/>
      <w:lvlText w:val="%1."/>
      <w:numFmt w:val="decimal"/>
      <w:start w:val="3"/>
    </w:lvl>
  </w:abstractNum>
  <w:abstractNum w:abstractNumId="40">
    <w:nsid w:val="4F4EF005"/>
    <w:multiLevelType w:val="hybridMultilevel"/>
    <w:lvl w:ilvl="0">
      <w:lvlJc w:val="left"/>
      <w:lvlText w:val="%1."/>
      <w:numFmt w:val="decimal"/>
      <w:start w:val="4"/>
    </w:lvl>
  </w:abstractNum>
  <w:abstractNum w:abstractNumId="41">
    <w:nsid w:val="23F9C13C"/>
    <w:multiLevelType w:val="hybridMultilevel"/>
    <w:lvl w:ilvl="0">
      <w:lvlJc w:val="left"/>
      <w:lvlText w:val="%1."/>
      <w:numFmt w:val="decimal"/>
      <w:start w:val="5"/>
    </w:lvl>
  </w:abstractNum>
  <w:abstractNum w:abstractNumId="42">
    <w:nsid w:val="649BB77C"/>
    <w:multiLevelType w:val="hybridMultilevel"/>
    <w:lvl w:ilvl="0">
      <w:lvlJc w:val="left"/>
      <w:lvlText w:val="(%1)"/>
      <w:numFmt w:val="lowerRoman"/>
      <w:start w:val="4"/>
    </w:lvl>
  </w:abstractNum>
  <w:abstractNum w:abstractNumId="43">
    <w:nsid w:val="275AC794"/>
    <w:multiLevelType w:val="hybridMultilevel"/>
    <w:lvl w:ilvl="0">
      <w:lvlJc w:val="left"/>
      <w:lvlText w:val="%1."/>
      <w:numFmt w:val="decimal"/>
      <w:start w:val="7"/>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8"/>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9"/>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0"/>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1"/>
    </w:lvl>
  </w:abstractNum>
  <w:abstractNum w:abstractNumId="52">
    <w:nsid w:val="D34B6A8"/>
    <w:multiLevelType w:val="hybridMultilevel"/>
    <w:lvl w:ilvl="0">
      <w:lvlJc w:val="left"/>
      <w:lvlText w:val="%1."/>
      <w:numFmt w:val="decimal"/>
      <w:start w:val="12"/>
    </w:lvl>
  </w:abstractNum>
  <w:abstractNum w:abstractNumId="53">
    <w:nsid w:val="10233C99"/>
    <w:multiLevelType w:val="hybridMultilevel"/>
    <w:lvl w:ilvl="0">
      <w:lvlJc w:val="left"/>
      <w:lvlText w:val="%1."/>
      <w:numFmt w:val="decimal"/>
      <w:start w:val="13"/>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lvl w:ilvl="1">
      <w:lvlJc w:val="left"/>
      <w:lvlText w:val="%2."/>
      <w:numFmt w:val="decimal"/>
      <w:start w:val="14"/>
    </w:lvl>
  </w:abstractNum>
  <w:abstractNum w:abstractNumId="56">
    <w:nsid w:val="7E0C57B1"/>
    <w:multiLevelType w:val="hybridMultilevel"/>
    <w:lvl w:ilvl="0">
      <w:lvlJc w:val="left"/>
      <w:lvlText w:val="%1."/>
      <w:numFmt w:val="decimal"/>
      <w:start w:val="15"/>
    </w:lvl>
  </w:abstractNum>
  <w:abstractNum w:abstractNumId="57">
    <w:nsid w:val="77AE35EB"/>
    <w:multiLevelType w:val="hybridMultilevel"/>
    <w:lvl w:ilvl="0">
      <w:lvlJc w:val="left"/>
      <w:lvlText w:val="%1."/>
      <w:numFmt w:val="decimal"/>
      <w:start w:val="16"/>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7"/>
    </w:lvl>
  </w:abstractNum>
  <w:abstractNum w:abstractNumId="60">
    <w:nsid w:val="5FF87E05"/>
    <w:multiLevelType w:val="hybridMultilevel"/>
    <w:lvl w:ilvl="0">
      <w:lvlJc w:val="left"/>
      <w:lvlText w:val="%1."/>
      <w:numFmt w:val="decimal"/>
      <w:start w:val="18"/>
    </w:lvl>
  </w:abstractNum>
  <w:abstractNum w:abstractNumId="61">
    <w:nsid w:val="2F305DEF"/>
    <w:multiLevelType w:val="hybridMultilevel"/>
    <w:lvl w:ilvl="0">
      <w:lvlJc w:val="left"/>
      <w:lvlText w:val="%1."/>
      <w:numFmt w:val="decimal"/>
      <w:start w:val="19"/>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01"/>
    </w:lvl>
  </w:abstractNum>
  <w:abstractNum w:abstractNumId="65">
    <w:nsid w:val="1F48EAA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66">
    <w:nsid w:val="1381823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2025-04-10T20:14:49Z</dcterms:created>
  <dcterms:modified xsi:type="dcterms:W3CDTF">2025-04-10T20:14:49Z</dcterms:modified>
</cp:coreProperties>
</file>