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Commission File Number 001-35700</w:t>
      </w:r>
    </w:p>
    <w:p>
      <w:pPr>
        <w:pStyle w:val="TextBody"/>
        <w:bidi w:val="0"/>
        <w:spacing w:lineRule="auto" w:line="288" w:before="0" w:after="0"/>
        <w:ind w:left="0" w:right="0" w:firstLine="72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center"/>
        <w:rPr>
          <w:rFonts w:ascii="Times New Roman;serif" w:hAnsi="Times New Roman;serif"/>
          <w:b/>
          <w:color w:val="000000"/>
          <w:sz w:val="44"/>
        </w:rPr>
      </w:pPr>
      <w:r>
        <w:rPr>
          <w:rFonts w:ascii="Times New Roman;serif" w:hAnsi="Times New Roman;serif"/>
          <w:b/>
          <w:color w:val="000000"/>
          <w:sz w:val="44"/>
        </w:rPr>
        <w:t>Diamondback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30" w:type="dxa"/>
        <w:jc w:val="center"/>
        <w:tblInd w:w="0" w:type="dxa"/>
        <w:tblLayout w:type="fixed"/>
        <w:tblCellMar>
          <w:top w:w="28" w:type="dxa"/>
          <w:left w:w="28" w:type="dxa"/>
          <w:bottom w:w="28" w:type="dxa"/>
          <w:right w:w="28" w:type="dxa"/>
        </w:tblCellMar>
      </w:tblPr>
      <w:tblGrid>
        <w:gridCol w:w="842"/>
        <w:gridCol w:w="741"/>
        <w:gridCol w:w="741"/>
        <w:gridCol w:w="741"/>
        <w:gridCol w:w="741"/>
        <w:gridCol w:w="753"/>
        <w:gridCol w:w="109"/>
        <w:gridCol w:w="109"/>
        <w:gridCol w:w="109"/>
        <w:gridCol w:w="799"/>
        <w:gridCol w:w="799"/>
        <w:gridCol w:w="1146"/>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45-4502447</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79701</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45"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(432) 221-7400</w:t>
      </w:r>
    </w:p>
    <w:p>
      <w:pPr>
        <w:pStyle w:val="TextBody"/>
        <w:bidi w:val="0"/>
        <w:spacing w:lineRule="auto" w:line="264"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color w:val="000000"/>
        </w:rPr>
        <w:t> </w:t>
      </w:r>
      <w:r>
        <w:rPr>
          <w:rFonts w:ascii="Times New Roman;serif" w:hAnsi="Times New Roman;serif"/>
          <w:b w:val="false"/>
          <w:color w:val="000000"/>
          <w:sz w:val="16"/>
        </w:rPr>
        <w:t>Securities registered pursuant to Section 12(b) of the Act:</w:t>
      </w:r>
    </w:p>
    <w:tbl>
      <w:tblPr>
        <w:tblW w:w="9182" w:type="dxa"/>
        <w:jc w:val="center"/>
        <w:tblInd w:w="0" w:type="dxa"/>
        <w:tblLayout w:type="fixed"/>
        <w:tblCellMar>
          <w:top w:w="28" w:type="dxa"/>
          <w:left w:w="28" w:type="dxa"/>
          <w:bottom w:w="28" w:type="dxa"/>
          <w:right w:w="28" w:type="dxa"/>
        </w:tblCellMar>
      </w:tblPr>
      <w:tblGrid>
        <w:gridCol w:w="124"/>
        <w:gridCol w:w="109"/>
        <w:gridCol w:w="109"/>
        <w:gridCol w:w="1028"/>
        <w:gridCol w:w="1028"/>
        <w:gridCol w:w="1034"/>
        <w:gridCol w:w="109"/>
        <w:gridCol w:w="109"/>
        <w:gridCol w:w="109"/>
        <w:gridCol w:w="484"/>
        <w:gridCol w:w="484"/>
        <w:gridCol w:w="48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May 1, 2026, the registrant had 281,313,297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417" w:before="0" w:after="0"/>
        <w:jc w:val="center"/>
        <w:rPr>
          <w:rFonts w:ascii="Times New Roman;serif" w:hAnsi="Times New Roman;serif"/>
          <w:b/>
          <w:color w:val="000000"/>
          <w:sz w:val="20"/>
        </w:rPr>
      </w:pPr>
      <w:bookmarkStart w:id="0" w:name="i78df629b72b742dfadc6a720e4fda6e3"/>
      <w:bookmarkEnd w:id="0"/>
      <w:r>
        <w:rPr>
          <w:rFonts w:ascii="Times New Roman;serif" w:hAnsi="Times New Roman;serif"/>
          <w:b/>
          <w:color w:val="000000"/>
          <w:sz w:val="20"/>
        </w:rPr>
        <w:t>DIAMONDBACK ENERGY, INC.</w:t>
      </w:r>
    </w:p>
    <w:p>
      <w:pPr>
        <w:pStyle w:val="TextBody"/>
        <w:bidi w:val="0"/>
        <w:spacing w:lineRule="auto" w:line="417" w:before="0" w:after="0"/>
        <w:jc w:val="center"/>
        <w:rPr>
          <w:rFonts w:ascii="Times New Roman;serif" w:hAnsi="Times New Roman;serif"/>
          <w:b/>
          <w:color w:val="000000"/>
          <w:sz w:val="20"/>
        </w:rPr>
      </w:pPr>
      <w:bookmarkStart w:id="1" w:name="i6d6bc797b9c940cfa2200fa4214e2420"/>
      <w:bookmarkEnd w:id="1"/>
      <w:r>
        <w:rPr>
          <w:rFonts w:ascii="Times New Roman;serif" w:hAnsi="Times New Roman;serif"/>
          <w:b/>
          <w:color w:val="000000"/>
          <w:sz w:val="20"/>
        </w:rPr>
        <w:t>FORM 10-Q</w:t>
      </w:r>
    </w:p>
    <w:p>
      <w:pPr>
        <w:pStyle w:val="TextBody"/>
        <w:bidi w:val="0"/>
        <w:spacing w:lineRule="auto" w:line="417" w:before="0" w:after="0"/>
        <w:jc w:val="center"/>
        <w:rPr>
          <w:rFonts w:ascii="Times New Roman;serif" w:hAnsi="Times New Roman;serif"/>
          <w:b/>
          <w:color w:val="000000"/>
          <w:sz w:val="20"/>
        </w:rPr>
      </w:pPr>
      <w:bookmarkStart w:id="2" w:name="i41057a8b725a4b6f88b015508ce948a1"/>
      <w:bookmarkEnd w:id="2"/>
      <w:r>
        <w:rPr>
          <w:rFonts w:ascii="Times New Roman;serif" w:hAnsi="Times New Roman;serif"/>
          <w:b/>
          <w:color w:val="000000"/>
          <w:sz w:val="20"/>
        </w:rPr>
        <w:t>FOR THE QUARTER ENDED MARCH 31, 2026</w:t>
      </w:r>
    </w:p>
    <w:p>
      <w:pPr>
        <w:pStyle w:val="TextBody"/>
        <w:bidi w:val="0"/>
        <w:spacing w:lineRule="auto" w:line="417" w:before="0" w:after="0"/>
        <w:jc w:val="center"/>
        <w:rPr>
          <w:rFonts w:ascii="Times New Roman;serif" w:hAnsi="Times New Roman;serif"/>
          <w:b/>
          <w:color w:val="000000"/>
          <w:sz w:val="20"/>
        </w:rPr>
      </w:pPr>
      <w:bookmarkStart w:id="3" w:name="iced604c26e914422a419cbfc4c9c173e"/>
      <w:bookmarkEnd w:id="3"/>
      <w:r>
        <w:rPr>
          <w:rFonts w:ascii="Times New Roman;serif" w:hAnsi="Times New Roman;serif"/>
          <w:b/>
          <w:color w:val="000000"/>
          <w:sz w:val="20"/>
        </w:rPr>
        <w:t>TABLE OF CONTENTS</w:t>
      </w:r>
    </w:p>
    <w:tbl>
      <w:tblPr>
        <w:tblW w:w="7546" w:type="dxa"/>
        <w:jc w:val="left"/>
        <w:tblInd w:w="0" w:type="dxa"/>
        <w:tblLayout w:type="fixed"/>
        <w:tblCellMar>
          <w:top w:w="28" w:type="dxa"/>
          <w:left w:w="28" w:type="dxa"/>
          <w:bottom w:w="28" w:type="dxa"/>
          <w:right w:w="28" w:type="dxa"/>
        </w:tblCellMar>
      </w:tblPr>
      <w:tblGrid>
        <w:gridCol w:w="2550"/>
        <w:gridCol w:w="2246"/>
        <w:gridCol w:w="2254"/>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3">
              <w:r>
                <w:rPr>
                  <w:rStyle w:val="InternetLink"/>
                  <w:rFonts w:ascii="Times New Roman;serif" w:hAnsi="Times New Roman;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64226f89bc01470fb2c113ff5ce9a825_13">
              <w:r>
                <w:rPr>
                  <w:rStyle w:val="InternetLink"/>
                  <w:rFonts w:ascii="Times New Roman;serif" w:hAnsi="Times New Roman;serif"/>
                  <w:b w:val="false"/>
                  <w:color w:val="0000FF"/>
                  <w:sz w:val="18"/>
                  <w:u w:val="single"/>
                </w:rPr>
                <w:t>ii</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6">
              <w:r>
                <w:rPr>
                  <w:rStyle w:val="InternetLink"/>
                  <w:rFonts w:ascii="Times New Roman;serif" w:hAnsi="Times New Roman;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6">
              <w:r>
                <w:rPr>
                  <w:rStyle w:val="InternetLink"/>
                  <w:rFonts w:ascii="Times New Roman;serif" w:hAnsi="Times New Roman;serif"/>
                  <w:b w:val="false"/>
                  <w:color w:val="0000FF"/>
                  <w:sz w:val="18"/>
                  <w:u w:val="single"/>
                </w:rPr>
                <w:t>iv</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9">
              <w:r>
                <w:rPr>
                  <w:rStyle w:val="InternetLink"/>
                  <w:rFonts w:ascii="Times New Roman;serif" w:hAnsi="Times New Roman;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9">
              <w:r>
                <w:rPr>
                  <w:rStyle w:val="InternetLink"/>
                  <w:rFonts w:ascii="Times New Roman;serif" w:hAnsi="Times New Roman;serif"/>
                  <w:b w:val="false"/>
                  <w:color w:val="0000FF"/>
                  <w:sz w:val="18"/>
                  <w:u w:val="single"/>
                </w:rPr>
                <w:t>v</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22">
              <w:r>
                <w:rPr>
                  <w:rStyle w:val="InternetLink"/>
                  <w:rFonts w:ascii="Times New Roman;serif" w:hAnsi="Times New Roman;serif"/>
                  <w:b/>
                  <w:color w:val="0000FF"/>
                  <w:sz w:val="17"/>
                  <w:u w:val="single"/>
                </w:rPr>
                <w:t>PART I. FINANCIAL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22">
              <w:r>
                <w:rPr>
                  <w:rStyle w:val="InternetLink"/>
                  <w:rFonts w:ascii="Times New Roman;serif" w:hAnsi="Times New Roman;serif"/>
                  <w:b w:val="false"/>
                  <w:color w:val="0000FF"/>
                  <w:sz w:val="18"/>
                  <w:u w:val="single"/>
                </w:rPr>
                <w:t>Item 1. Financial Statements (Unaudited)</w:t>
              </w:r>
            </w:hyperlink>
            <w:r>
              <w:rPr>
                <w:color w:val="000000"/>
              </w:rPr>
              <w:t xml:space="preserve"> </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25">
              <w:r>
                <w:rPr>
                  <w:rStyle w:val="InternetLink"/>
                  <w:rFonts w:ascii="Times New Roman;serif" w:hAnsi="Times New Roman;serif"/>
                  <w:b w:val="false"/>
                  <w:color w:val="0000FF"/>
                  <w:sz w:val="18"/>
                  <w:u w:val="single"/>
                </w:rPr>
                <w:t>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28">
              <w:r>
                <w:rPr>
                  <w:rStyle w:val="InternetLink"/>
                  <w:rFonts w:ascii="Times New Roman;serif" w:hAnsi="Times New Roman;serif"/>
                  <w:b w:val="false"/>
                  <w:color w:val="0000FF"/>
                  <w:sz w:val="18"/>
                  <w:u w:val="single"/>
                </w:rPr>
                <w:t>Condensed Consolidated Statements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28">
              <w:r>
                <w:rPr>
                  <w:rStyle w:val="InternetLink"/>
                  <w:rFonts w:ascii="Times New Roman;serif" w:hAnsi="Times New Roman;serif"/>
                  <w:b w:val="false"/>
                  <w:color w:val="0000FF"/>
                  <w:sz w:val="18"/>
                  <w:u w:val="single"/>
                </w:rPr>
                <w:t>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31">
              <w:r>
                <w:rPr>
                  <w:rStyle w:val="InternetLink"/>
                  <w:rFonts w:ascii="Times New Roman;serif" w:hAnsi="Times New Roman;serif"/>
                  <w:b w:val="false"/>
                  <w:color w:val="0000FF"/>
                  <w:sz w:val="18"/>
                  <w:u w:val="single"/>
                </w:rPr>
                <w:t>Condensed Consolidated Balance Sheets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31">
              <w:r>
                <w:rPr>
                  <w:rStyle w:val="InternetLink"/>
                  <w:rFonts w:ascii="Times New Roman;serif" w:hAnsi="Times New Roman;serif"/>
                  <w:b w:val="false"/>
                  <w:color w:val="0000FF"/>
                  <w:sz w:val="18"/>
                  <w:u w:val="single"/>
                </w:rPr>
                <w:t>2</w:t>
              </w:r>
            </w:hyperlink>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37">
              <w:r>
                <w:rPr>
                  <w:rStyle w:val="InternetLink"/>
                  <w:rFonts w:ascii="Times New Roman;serif" w:hAnsi="Times New Roman;serif"/>
                  <w:b w:val="false"/>
                  <w:color w:val="0000FF"/>
                  <w:sz w:val="18"/>
                  <w:u w:val="single"/>
                </w:rPr>
                <w:t>Condensed Consolidated Statements of Cash Flows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37">
              <w:r>
                <w:rPr>
                  <w:rStyle w:val="InternetLink"/>
                  <w:rFonts w:ascii="Times New Roman;serif" w:hAnsi="Times New Roman;serif"/>
                  <w:b w:val="false"/>
                  <w:color w:val="0000FF"/>
                  <w:sz w:val="18"/>
                  <w:u w:val="single"/>
                </w:rPr>
                <w:t>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34">
              <w:r>
                <w:rPr>
                  <w:rStyle w:val="InternetLink"/>
                  <w:rFonts w:ascii="Times New Roman;serif" w:hAnsi="Times New Roman;serif"/>
                  <w:b w:val="false"/>
                  <w:color w:val="0000FF"/>
                  <w:sz w:val="18"/>
                  <w:u w:val="single"/>
                </w:rPr>
                <w:t>Condensed Consolidated Statements of Stockholders’ Equity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34">
              <w:r>
                <w:rPr>
                  <w:rStyle w:val="InternetLink"/>
                  <w:rFonts w:ascii="Times New Roman;serif" w:hAnsi="Times New Roman;serif"/>
                  <w:b w:val="false"/>
                  <w:color w:val="0000FF"/>
                  <w:sz w:val="18"/>
                  <w:u w:val="single"/>
                </w:rPr>
                <w:t>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40">
              <w:r>
                <w:rPr>
                  <w:rStyle w:val="InternetLink"/>
                  <w:rFonts w:ascii="Times New Roman;serif" w:hAnsi="Times New Roman;serif"/>
                  <w:b w:val="false"/>
                  <w:color w:val="0000FF"/>
                  <w:sz w:val="18"/>
                  <w:u w:val="single"/>
                </w:rPr>
                <w:t>Notes to the Condensed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40">
              <w:r>
                <w:rPr>
                  <w:rStyle w:val="InternetLink"/>
                  <w:rFonts w:ascii="Times New Roman;serif" w:hAnsi="Times New Roman;serif"/>
                  <w:b w:val="false"/>
                  <w:color w:val="0000FF"/>
                  <w:sz w:val="18"/>
                  <w:u w:val="single"/>
                </w:rPr>
                <w:t>5</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43">
              <w:r>
                <w:rPr>
                  <w:rStyle w:val="InternetLink"/>
                  <w:rFonts w:ascii="Times New Roman;serif" w:hAnsi="Times New Roman;serif"/>
                  <w:b w:val="false"/>
                  <w:color w:val="0000FF"/>
                  <w:sz w:val="18"/>
                  <w:u w:val="single"/>
                </w:rPr>
                <w:t>1. Description of the Business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43">
              <w:r>
                <w:rPr>
                  <w:rStyle w:val="InternetLink"/>
                  <w:rFonts w:ascii="Times New Roman;serif" w:hAnsi="Times New Roman;serif"/>
                  <w:b w:val="false"/>
                  <w:color w:val="0000FF"/>
                  <w:sz w:val="18"/>
                  <w:u w:val="single"/>
                </w:rPr>
                <w:t>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46">
              <w:r>
                <w:rPr>
                  <w:rStyle w:val="InternetLink"/>
                  <w:rFonts w:ascii="Times New Roman;serif" w:hAnsi="Times New Roman;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46">
              <w:r>
                <w:rPr>
                  <w:rStyle w:val="InternetLink"/>
                  <w:rFonts w:ascii="Times New Roman;serif" w:hAnsi="Times New Roman;serif"/>
                  <w:b w:val="false"/>
                  <w:color w:val="0000FF"/>
                  <w:sz w:val="18"/>
                  <w:u w:val="single"/>
                </w:rPr>
                <w:t>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49">
              <w:r>
                <w:rPr>
                  <w:rStyle w:val="InternetLink"/>
                  <w:rFonts w:ascii="Times New Roman;serif" w:hAnsi="Times New Roman;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49">
              <w:r>
                <w:rPr>
                  <w:rStyle w:val="InternetLink"/>
                  <w:rFonts w:ascii="Times New Roman;serif" w:hAnsi="Times New Roman;serif"/>
                  <w:b w:val="false"/>
                  <w:color w:val="0000FF"/>
                  <w:sz w:val="18"/>
                  <w:u w:val="single"/>
                </w:rPr>
                <w:t>7</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52">
              <w:r>
                <w:rPr>
                  <w:rStyle w:val="InternetLink"/>
                  <w:rFonts w:ascii="Times New Roman;serif" w:hAnsi="Times New Roman;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52">
              <w:r>
                <w:rPr>
                  <w:rStyle w:val="InternetLink"/>
                  <w:rFonts w:ascii="Times New Roman;serif" w:hAnsi="Times New Roman;serif"/>
                  <w:b w:val="false"/>
                  <w:color w:val="0000FF"/>
                  <w:sz w:val="18"/>
                  <w:u w:val="single"/>
                </w:rPr>
                <w:t>8</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61">
              <w:r>
                <w:rPr>
                  <w:rStyle w:val="InternetLink"/>
                  <w:rFonts w:ascii="Times New Roman;serif" w:hAnsi="Times New Roman;serif"/>
                  <w:b w:val="false"/>
                  <w:color w:val="0000FF"/>
                  <w:sz w:val="18"/>
                  <w:u w:val="single"/>
                </w:rPr>
                <w:t>5. Property and Equipment</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61">
              <w:r>
                <w:rPr>
                  <w:rStyle w:val="InternetLink"/>
                  <w:rFonts w:ascii="Times New Roman;serif" w:hAnsi="Times New Roman;serif"/>
                  <w:b w:val="false"/>
                  <w:color w:val="0000FF"/>
                  <w:sz w:val="18"/>
                  <w:u w:val="single"/>
                </w:rPr>
                <w:t>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64">
              <w:r>
                <w:rPr>
                  <w:rStyle w:val="InternetLink"/>
                  <w:rFonts w:ascii="Times New Roman;serif" w:hAnsi="Times New Roman;serif"/>
                  <w:b w:val="false"/>
                  <w:color w:val="0000FF"/>
                  <w:sz w:val="18"/>
                  <w:u w:val="single"/>
                </w:rPr>
                <w:t>6. Asset Retirement Obligations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64">
              <w:r>
                <w:rPr>
                  <w:rStyle w:val="InternetLink"/>
                  <w:rFonts w:ascii="Times New Roman;serif" w:hAnsi="Times New Roman;serif"/>
                  <w:b w:val="false"/>
                  <w:color w:val="0000FF"/>
                  <w:sz w:val="18"/>
                  <w:u w:val="single"/>
                </w:rPr>
                <w:t>10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67">
              <w:r>
                <w:rPr>
                  <w:rStyle w:val="InternetLink"/>
                  <w:rFonts w:ascii="Times New Roman;serif" w:hAnsi="Times New Roman;serif"/>
                  <w:b w:val="false"/>
                  <w:color w:val="0000FF"/>
                  <w:sz w:val="18"/>
                  <w:u w:val="single"/>
                </w:rPr>
                <w:t>7. Related Party Transactions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67">
              <w:r>
                <w:rPr>
                  <w:rStyle w:val="InternetLink"/>
                  <w:rFonts w:ascii="Times New Roman;serif" w:hAnsi="Times New Roman;serif"/>
                  <w:b w:val="false"/>
                  <w:color w:val="0000FF"/>
                  <w:sz w:val="18"/>
                  <w:u w:val="single"/>
                </w:rPr>
                <w:t>10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70">
              <w:r>
                <w:rPr>
                  <w:rStyle w:val="InternetLink"/>
                  <w:rFonts w:ascii="Times New Roman;serif" w:hAnsi="Times New Roman;serif"/>
                  <w:b w:val="false"/>
                  <w:color w:val="0000FF"/>
                  <w:sz w:val="18"/>
                  <w:u w:val="single"/>
                </w:rPr>
                <w:t>8. Debt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70">
              <w:r>
                <w:rPr>
                  <w:rStyle w:val="InternetLink"/>
                  <w:rFonts w:ascii="Times New Roman;serif" w:hAnsi="Times New Roman;serif"/>
                  <w:b w:val="false"/>
                  <w:color w:val="0000FF"/>
                  <w:sz w:val="18"/>
                  <w:u w:val="single"/>
                </w:rPr>
                <w:t>12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73">
              <w:r>
                <w:rPr>
                  <w:rStyle w:val="InternetLink"/>
                  <w:rFonts w:ascii="Times New Roman;serif" w:hAnsi="Times New Roman;serif"/>
                  <w:b w:val="false"/>
                  <w:color w:val="0000FF"/>
                  <w:sz w:val="18"/>
                  <w:u w:val="single"/>
                </w:rPr>
                <w:t>9. Stockholders’ Equity and Earnings (Loss) Per Share</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73">
              <w:r>
                <w:rPr>
                  <w:rStyle w:val="InternetLink"/>
                  <w:rFonts w:ascii="Times New Roman;serif" w:hAnsi="Times New Roman;serif"/>
                  <w:b w:val="false"/>
                  <w:color w:val="0000FF"/>
                  <w:sz w:val="18"/>
                  <w:u w:val="single"/>
                </w:rPr>
                <w:t>13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76">
              <w:r>
                <w:rPr>
                  <w:rStyle w:val="InternetLink"/>
                  <w:rFonts w:ascii="Times New Roman;serif" w:hAnsi="Times New Roman;serif"/>
                  <w:b w:val="false"/>
                  <w:color w:val="0000FF"/>
                  <w:sz w:val="18"/>
                  <w:u w:val="single"/>
                </w:rPr>
                <w:t>10. Equity-Based Compensation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76">
              <w:r>
                <w:rPr>
                  <w:rStyle w:val="InternetLink"/>
                  <w:rFonts w:ascii="Times New Roman;serif" w:hAnsi="Times New Roman;serif"/>
                  <w:b w:val="false"/>
                  <w:color w:val="0000FF"/>
                  <w:sz w:val="18"/>
                  <w:u w:val="single"/>
                </w:rPr>
                <w:t>15</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79">
              <w:r>
                <w:rPr>
                  <w:rStyle w:val="InternetLink"/>
                  <w:rFonts w:ascii="Times New Roman;serif" w:hAnsi="Times New Roman;serif"/>
                  <w:b w:val="false"/>
                  <w:color w:val="0000FF"/>
                  <w:sz w:val="18"/>
                  <w:u w:val="single"/>
                </w:rPr>
                <w:t>11. Income Taxes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79">
              <w:r>
                <w:rPr>
                  <w:rStyle w:val="InternetLink"/>
                  <w:rFonts w:ascii="Times New Roman;serif" w:hAnsi="Times New Roman;serif"/>
                  <w:b w:val="false"/>
                  <w:color w:val="0000FF"/>
                  <w:sz w:val="18"/>
                  <w:u w:val="single"/>
                </w:rPr>
                <w:t>17</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82">
              <w:r>
                <w:rPr>
                  <w:rStyle w:val="InternetLink"/>
                  <w:rFonts w:ascii="Times New Roman;serif" w:hAnsi="Times New Roman;serif"/>
                  <w:b w:val="false"/>
                  <w:color w:val="0000FF"/>
                  <w:sz w:val="18"/>
                  <w:u w:val="single"/>
                </w:rPr>
                <w:t>12. Derivatives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82">
              <w:r>
                <w:rPr>
                  <w:rStyle w:val="InternetLink"/>
                  <w:rFonts w:ascii="Times New Roman;serif" w:hAnsi="Times New Roman;serif"/>
                  <w:b w:val="false"/>
                  <w:color w:val="0000FF"/>
                  <w:sz w:val="18"/>
                  <w:u w:val="single"/>
                </w:rPr>
                <w:t>17</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85">
              <w:r>
                <w:rPr>
                  <w:rStyle w:val="InternetLink"/>
                  <w:rFonts w:ascii="Times New Roman;serif" w:hAnsi="Times New Roman;serif"/>
                  <w:b w:val="false"/>
                  <w:color w:val="0000FF"/>
                  <w:sz w:val="18"/>
                  <w:u w:val="single"/>
                </w:rPr>
                <w:t>13. Fair Value Measurements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85">
              <w:r>
                <w:rPr>
                  <w:rStyle w:val="InternetLink"/>
                  <w:rFonts w:ascii="Times New Roman;serif" w:hAnsi="Times New Roman;serif"/>
                  <w:b w:val="false"/>
                  <w:color w:val="0000FF"/>
                  <w:sz w:val="18"/>
                  <w:u w:val="single"/>
                </w:rPr>
                <w:t>19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88">
              <w:r>
                <w:rPr>
                  <w:rStyle w:val="InternetLink"/>
                  <w:rFonts w:ascii="Times New Roman;serif" w:hAnsi="Times New Roman;serif"/>
                  <w:b w:val="false"/>
                  <w:color w:val="0000FF"/>
                  <w:sz w:val="18"/>
                  <w:u w:val="single"/>
                </w:rPr>
                <w:t>14. Supplemental Information To Statements of Cash Flows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88">
              <w:r>
                <w:rPr>
                  <w:rStyle w:val="InternetLink"/>
                  <w:rFonts w:ascii="Times New Roman;serif" w:hAnsi="Times New Roman;serif"/>
                  <w:b w:val="false"/>
                  <w:color w:val="0000FF"/>
                  <w:sz w:val="18"/>
                  <w:u w:val="single"/>
                </w:rPr>
                <w:t>21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91">
              <w:r>
                <w:rPr>
                  <w:rStyle w:val="InternetLink"/>
                  <w:rFonts w:ascii="Times New Roman;serif" w:hAnsi="Times New Roman;serif"/>
                  <w:b w:val="false"/>
                  <w:color w:val="0000FF"/>
                  <w:sz w:val="18"/>
                  <w:u w:val="single"/>
                </w:rPr>
                <w:t>15. Commitments and Contingencies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91">
              <w:r>
                <w:rPr>
                  <w:rStyle w:val="InternetLink"/>
                  <w:rFonts w:ascii="Times New Roman;serif" w:hAnsi="Times New Roman;serif"/>
                  <w:b w:val="false"/>
                  <w:color w:val="0000FF"/>
                  <w:sz w:val="18"/>
                  <w:u w:val="single"/>
                </w:rPr>
                <w:t>22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94">
              <w:r>
                <w:rPr>
                  <w:rStyle w:val="InternetLink"/>
                  <w:rFonts w:ascii="Times New Roman;serif" w:hAnsi="Times New Roman;serif"/>
                  <w:b w:val="false"/>
                  <w:color w:val="0000FF"/>
                  <w:sz w:val="18"/>
                  <w:u w:val="single"/>
                </w:rPr>
                <w:t>16. Subsequent Events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94">
              <w:r>
                <w:rPr>
                  <w:rStyle w:val="InternetLink"/>
                  <w:rFonts w:ascii="Times New Roman;serif" w:hAnsi="Times New Roman;serif"/>
                  <w:b w:val="false"/>
                  <w:color w:val="0000FF"/>
                  <w:sz w:val="18"/>
                  <w:u w:val="single"/>
                </w:rPr>
                <w:t>22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97">
              <w:r>
                <w:rPr>
                  <w:rStyle w:val="InternetLink"/>
                  <w:rFonts w:ascii="Times New Roman;serif" w:hAnsi="Times New Roman;serif"/>
                  <w:b w:val="false"/>
                  <w:color w:val="0000FF"/>
                  <w:sz w:val="18"/>
                  <w:u w:val="single"/>
                </w:rPr>
                <w:t>17. Segment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97">
              <w:r>
                <w:rPr>
                  <w:rStyle w:val="InternetLink"/>
                  <w:rFonts w:ascii="Times New Roman;serif" w:hAnsi="Times New Roman;serif"/>
                  <w:b w:val="false"/>
                  <w:color w:val="0000FF"/>
                  <w:sz w:val="18"/>
                  <w:u w:val="single"/>
                </w:rPr>
                <w:t>23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00">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00">
              <w:r>
                <w:rPr>
                  <w:rStyle w:val="InternetLink"/>
                  <w:rFonts w:ascii="Times New Roman;serif" w:hAnsi="Times New Roman;serif"/>
                  <w:b w:val="false"/>
                  <w:color w:val="0000FF"/>
                  <w:sz w:val="18"/>
                  <w:u w:val="single"/>
                </w:rPr>
                <w:t>24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60">
              <w:r>
                <w:rPr>
                  <w:rStyle w:val="InternetLink"/>
                  <w:rFonts w:ascii="Times New Roman;serif" w:hAnsi="Times New Roman;serif"/>
                  <w:b w:val="false"/>
                  <w:color w:val="0000FF"/>
                  <w:sz w:val="18"/>
                  <w:u w:val="single"/>
                </w:rPr>
                <w:t>Item 3. Quantitative and Qualitative Disclosures About Market Risk</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60">
              <w:r>
                <w:rPr>
                  <w:rStyle w:val="InternetLink"/>
                  <w:rFonts w:ascii="Times New Roman;serif" w:hAnsi="Times New Roman;serif"/>
                  <w:b w:val="false"/>
                  <w:color w:val="0000FF"/>
                  <w:sz w:val="18"/>
                  <w:u w:val="single"/>
                </w:rPr>
                <w:t>39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63">
              <w:r>
                <w:rPr>
                  <w:rStyle w:val="InternetLink"/>
                  <w:rFonts w:ascii="Times New Roman;serif" w:hAnsi="Times New Roman;serif"/>
                  <w:b w:val="false"/>
                  <w:color w:val="0000FF"/>
                  <w:sz w:val="18"/>
                  <w:u w:val="single"/>
                </w:rPr>
                <w:t>Item 4. Controls and Procedures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63">
              <w:r>
                <w:rPr>
                  <w:rStyle w:val="InternetLink"/>
                  <w:rFonts w:ascii="Times New Roman;serif" w:hAnsi="Times New Roman;serif"/>
                  <w:b w:val="false"/>
                  <w:color w:val="0000FF"/>
                  <w:sz w:val="18"/>
                  <w:u w:val="single"/>
                </w:rPr>
                <w:t>39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66">
              <w:r>
                <w:rPr>
                  <w:rStyle w:val="InternetLink"/>
                  <w:rFonts w:ascii="Times New Roman;serif" w:hAnsi="Times New Roman;serif"/>
                  <w:b/>
                  <w:color w:val="0000FF"/>
                  <w:sz w:val="17"/>
                  <w:u w:val="single"/>
                </w:rPr>
                <w:t>PART II. OTHER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69">
              <w:r>
                <w:rPr>
                  <w:rStyle w:val="InternetLink"/>
                  <w:rFonts w:ascii="Times New Roman;serif" w:hAnsi="Times New Roman;serif"/>
                  <w:b w:val="false"/>
                  <w:color w:val="0000FF"/>
                  <w:sz w:val="18"/>
                  <w:u w:val="single"/>
                </w:rPr>
                <w:t>Item 1. Legal Proceedings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69">
              <w:r>
                <w:rPr>
                  <w:rStyle w:val="InternetLink"/>
                  <w:rFonts w:ascii="Times New Roman;serif" w:hAnsi="Times New Roman;serif"/>
                  <w:b w:val="false"/>
                  <w:color w:val="0000FF"/>
                  <w:sz w:val="18"/>
                  <w:u w:val="single"/>
                </w:rPr>
                <w:t>40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72">
              <w:r>
                <w:rPr>
                  <w:rStyle w:val="InternetLink"/>
                  <w:rFonts w:ascii="Times New Roman;serif" w:hAnsi="Times New Roman;serif"/>
                  <w:b w:val="false"/>
                  <w:color w:val="0000FF"/>
                  <w:sz w:val="18"/>
                  <w:u w:val="single"/>
                </w:rPr>
                <w:t>Item 1A. Risk Factors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72">
              <w:r>
                <w:rPr>
                  <w:rStyle w:val="InternetLink"/>
                  <w:rFonts w:ascii="Times New Roman;serif" w:hAnsi="Times New Roman;serif"/>
                  <w:b w:val="false"/>
                  <w:color w:val="0000FF"/>
                  <w:sz w:val="18"/>
                  <w:u w:val="single"/>
                </w:rPr>
                <w:t>40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75">
              <w:r>
                <w:rPr>
                  <w:rStyle w:val="InternetLink"/>
                  <w:rFonts w:ascii="Times New Roman;serif" w:hAnsi="Times New Roman;serif"/>
                  <w:b w:val="false"/>
                  <w:color w:val="0000FF"/>
                  <w:sz w:val="18"/>
                  <w:u w:val="single"/>
                </w:rPr>
                <w:t>Item 2. Unregistered Sales of Equity Securities and Use of Proceeds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75">
              <w:r>
                <w:rPr>
                  <w:rStyle w:val="InternetLink"/>
                  <w:rFonts w:ascii="Times New Roman;serif" w:hAnsi="Times New Roman;serif"/>
                  <w:b w:val="false"/>
                  <w:color w:val="0000FF"/>
                  <w:sz w:val="18"/>
                  <w:u w:val="single"/>
                </w:rPr>
                <w:t>40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78">
              <w:r>
                <w:rPr>
                  <w:rStyle w:val="InternetLink"/>
                  <w:rFonts w:ascii="Times New Roman;serif" w:hAnsi="Times New Roman;serif"/>
                  <w:b w:val="false"/>
                  <w:color w:val="0000FF"/>
                  <w:sz w:val="18"/>
                  <w:u w:val="single"/>
                </w:rPr>
                <w:t>Item 5. Other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78">
              <w:r>
                <w:rPr>
                  <w:rStyle w:val="InternetLink"/>
                  <w:rFonts w:ascii="Times New Roman;serif" w:hAnsi="Times New Roman;serif"/>
                  <w:b w:val="false"/>
                  <w:color w:val="0000FF"/>
                  <w:sz w:val="18"/>
                  <w:u w:val="single"/>
                </w:rPr>
                <w:t>41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84">
              <w:r>
                <w:rPr>
                  <w:rStyle w:val="InternetLink"/>
                  <w:rFonts w:ascii="Times New Roman;serif" w:hAnsi="Times New Roman;serif"/>
                  <w:b w:val="false"/>
                  <w:color w:val="0000FF"/>
                  <w:sz w:val="18"/>
                  <w:u w:val="single"/>
                </w:rPr>
                <w:t>Item 6. Exhibits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84">
              <w:r>
                <w:rPr>
                  <w:rStyle w:val="InternetLink"/>
                  <w:rFonts w:ascii="Times New Roman;serif" w:hAnsi="Times New Roman;serif"/>
                  <w:b w:val="false"/>
                  <w:color w:val="0000FF"/>
                  <w:sz w:val="18"/>
                  <w:u w:val="single"/>
                </w:rPr>
                <w:t>42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226f89bc01470fb2c113ff5ce9a825_187">
              <w:r>
                <w:rPr>
                  <w:rStyle w:val="InternetLink"/>
                  <w:rFonts w:ascii="Times New Roman;serif" w:hAnsi="Times New Roman;serif"/>
                  <w:b w:val="false"/>
                  <w:color w:val="0000FF"/>
                  <w:sz w:val="18"/>
                  <w:u w:val="single"/>
                </w:rPr>
                <w:t>Signatures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4226f89bc01470fb2c113ff5ce9a825_187">
              <w:r>
                <w:rPr>
                  <w:rStyle w:val="InternetLink"/>
                  <w:rFonts w:ascii="Times New Roman;serif" w:hAnsi="Times New Roman;serif"/>
                  <w:b w:val="false"/>
                  <w:color w:val="0000FF"/>
                  <w:sz w:val="18"/>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4" w:name="i4584f0991ed545819ef0eced6f631f43"/>
      <w:bookmarkEnd w:id="4"/>
      <w:r>
        <w:rPr>
          <w:rFonts w:ascii="Times New Roman;serif" w:hAnsi="Times New Roman;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oil and natural gas industry terms that are used in this Quarterly Report on Form 10-Q (this “report”) and our other periodic reports under the Exchange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2"/>
        <w:gridCol w:w="441"/>
        <w:gridCol w:w="436"/>
        <w:gridCol w:w="2626"/>
        <w:gridCol w:w="2488"/>
        <w:gridCol w:w="3542"/>
      </w:tblGrid>
      <w:tr>
        <w:trPr/>
        <w:tc>
          <w:tcPr>
            <w:tcW w:w="67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Houston, Texas.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Midland, Texas.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Basin</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large depression on the earth’s surface in which sediments accumulate.</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Bbl or barrel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One stock tank barrel, or 42 U.S. gallons liquid volume, used in this report in reference to crude oil or other liquid hydrocarbons.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BO/d</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One barrel of crude oil per day.</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One barrel of crude oil equivalent, with six thousand cubic feet of natural gas being equivalent to one barrel of oil.</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BOE/d</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BOE per day.</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Brent</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major trading classification of light sweet oil that serves as a benchmark price for oil worldwide.</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Completion</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Crude oil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Liquid hydrocarbons retrieved from geological structures underground to be refined into fuel sources.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Capital costs incurred in the acquisition, exploitation and exploration of proved oil and natural gas reserves.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Differential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adjustment to the price of oil or natural gas from an established spot market price to reflect differences in the quality and/or location of oil or natural gas.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Exploitation</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development or other project which may target proven or unproven reserves (such as probable or possible reserves), but which generally has a lower risk than that associated with exploration projects.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Formation</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layer of rock which has distinct characteristics that differ from nearby rock. </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Fracturing</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creating and preserving a fracture or system of fractures in a reservoir rock typically by injecting a fluid under pressure through a wellbore and into the targeted formation.</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Henry Hub</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futures on the NYMEX.</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drilling</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drilling technique used in certain formations where a well is drilled vertically to a certain depth and then drilled at a right angle within a specified interval.</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wells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Wells drilled directionally horizontal to allow for development of structures not reachable through traditional vertical drilling mechanisms.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HSC Hub</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the Houston Ship Channel area.</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MBbls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barrels of crude oil and other liquid hydrocarbons.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One thousand BOE, determined using a ratio of six Mcf of natural gas to one Bbl of crude oil, condensate or natural gas liquids.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MBOE/d</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BOE per day.</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Mcf</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cubic feet of natural gas.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Mineral interests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interests in ownership of the resource and mineral rights, giving an owner the right to profit from the extracted resources.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MMBtu</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million British Thermal Units.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MMcf</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Million cubic feet of natural gas.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acres or net wells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sum of the fractional working interest owned in gross acres.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royalty acres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Net mineral acres multiplied by the average lease royalty interest and other burdens.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Tracts of land consisting of properties to be developed for oil and natural gas resource extraction.</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individual or company responsible for the exploration and/or production of an oil or natural gas well or lease.</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Plugging and abandonment</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Refers to the sealing off of fluids in the reservoir penetrated by a well so that the fluids from one reservoir will not escape into another or to the surface.</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Proved reserves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3"/>
        <w:gridCol w:w="275"/>
        <w:gridCol w:w="278"/>
        <w:gridCol w:w="2732"/>
        <w:gridCol w:w="2732"/>
        <w:gridCol w:w="3875"/>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Reserves</w:t>
            </w:r>
          </w:p>
        </w:tc>
        <w:tc>
          <w:tcPr>
            <w:tcW w:w="9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Reservoir</w:t>
            </w:r>
          </w:p>
        </w:tc>
        <w:tc>
          <w:tcPr>
            <w:tcW w:w="9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interest</w:t>
            </w:r>
          </w:p>
        </w:tc>
        <w:tc>
          <w:tcPr>
            <w:tcW w:w="9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An interest that gives an owner the right to receive a portion of the resources or revenues without having to carry any costs of development, which may be subject to expiration.</w:t>
            </w:r>
          </w:p>
        </w:tc>
      </w:tr>
      <w:tr>
        <w:trPr/>
        <w:tc>
          <w:tcPr>
            <w:tcW w:w="866" w:type="dxa"/>
            <w:gridSpan w:val="3"/>
            <w:tcBorders/>
            <w:vAlign w:val="center"/>
          </w:tcPr>
          <w:p>
            <w:pPr>
              <w:pStyle w:val="TableContents"/>
              <w:bidi w:val="0"/>
              <w:spacing w:before="0" w:after="283"/>
              <w:jc w:val="left"/>
              <w:rPr>
                <w:sz w:val="4"/>
                <w:szCs w:val="4"/>
              </w:rPr>
            </w:pPr>
            <w:r>
              <w:rPr>
                <w:sz w:val="4"/>
                <w:szCs w:val="4"/>
              </w:rPr>
            </w:r>
          </w:p>
        </w:tc>
        <w:tc>
          <w:tcPr>
            <w:tcW w:w="9339" w:type="dxa"/>
            <w:gridSpan w:val="3"/>
            <w:tcBorders/>
            <w:vAlign w:val="center"/>
          </w:tcPr>
          <w:p>
            <w:pPr>
              <w:pStyle w:val="TableContents"/>
              <w:bidi w:val="0"/>
              <w:spacing w:before="0" w:after="283"/>
              <w:jc w:val="left"/>
              <w:rPr>
                <w:sz w:val="4"/>
                <w:szCs w:val="4"/>
              </w:rPr>
            </w:pPr>
            <w:r>
              <w:rPr>
                <w:sz w:val="4"/>
                <w:szCs w:val="4"/>
              </w:rPr>
            </w:r>
          </w:p>
        </w:tc>
      </w:tr>
      <w:tr>
        <w:trPr/>
        <w:tc>
          <w:tcPr>
            <w:tcW w:w="866" w:type="dxa"/>
            <w:gridSpan w:val="3"/>
            <w:tcBorders/>
            <w:vAlign w:val="center"/>
          </w:tcPr>
          <w:p>
            <w:pPr>
              <w:pStyle w:val="TableContents"/>
              <w:bidi w:val="0"/>
              <w:spacing w:before="0" w:after="283"/>
              <w:jc w:val="left"/>
              <w:rPr>
                <w:sz w:val="4"/>
                <w:szCs w:val="4"/>
              </w:rPr>
            </w:pPr>
            <w:r>
              <w:rPr>
                <w:sz w:val="4"/>
                <w:szCs w:val="4"/>
              </w:rPr>
            </w:r>
          </w:p>
        </w:tc>
        <w:tc>
          <w:tcPr>
            <w:tcW w:w="9339" w:type="dxa"/>
            <w:gridSpan w:val="3"/>
            <w:tcBorders/>
            <w:vAlign w:val="center"/>
          </w:tcPr>
          <w:p>
            <w:pPr>
              <w:pStyle w:val="TableContents"/>
              <w:bidi w:val="0"/>
              <w:spacing w:before="0" w:after="283"/>
              <w:jc w:val="left"/>
              <w:rPr>
                <w:sz w:val="4"/>
                <w:szCs w:val="4"/>
              </w:rPr>
            </w:pPr>
            <w:r>
              <w:rPr>
                <w:sz w:val="4"/>
                <w:szCs w:val="4"/>
              </w:rPr>
            </w:r>
          </w:p>
        </w:tc>
      </w:tr>
      <w:tr>
        <w:trPr/>
        <w:tc>
          <w:tcPr>
            <w:tcW w:w="866" w:type="dxa"/>
            <w:gridSpan w:val="3"/>
            <w:tcBorders/>
            <w:vAlign w:val="center"/>
          </w:tcPr>
          <w:p>
            <w:pPr>
              <w:pStyle w:val="TableContents"/>
              <w:bidi w:val="0"/>
              <w:spacing w:before="0" w:after="283"/>
              <w:jc w:val="left"/>
              <w:rPr>
                <w:sz w:val="4"/>
                <w:szCs w:val="4"/>
              </w:rPr>
            </w:pPr>
            <w:r>
              <w:rPr>
                <w:sz w:val="4"/>
                <w:szCs w:val="4"/>
              </w:rPr>
            </w:r>
          </w:p>
        </w:tc>
        <w:tc>
          <w:tcPr>
            <w:tcW w:w="9339" w:type="dxa"/>
            <w:gridSpan w:val="3"/>
            <w:tcBorders/>
            <w:vAlign w:val="center"/>
          </w:tcPr>
          <w:p>
            <w:pPr>
              <w:pStyle w:val="TableContents"/>
              <w:bidi w:val="0"/>
              <w:spacing w:before="0" w:after="283"/>
              <w:jc w:val="left"/>
              <w:rPr>
                <w:sz w:val="4"/>
                <w:szCs w:val="4"/>
              </w:rPr>
            </w:pPr>
            <w:r>
              <w:rPr>
                <w:sz w:val="4"/>
                <w:szCs w:val="4"/>
              </w:rPr>
            </w:r>
          </w:p>
        </w:tc>
      </w:tr>
      <w:tr>
        <w:trPr/>
        <w:tc>
          <w:tcPr>
            <w:tcW w:w="866" w:type="dxa"/>
            <w:gridSpan w:val="3"/>
            <w:tcBorders/>
            <w:vAlign w:val="center"/>
          </w:tcPr>
          <w:p>
            <w:pPr>
              <w:pStyle w:val="TableContents"/>
              <w:bidi w:val="0"/>
              <w:spacing w:before="0" w:after="283"/>
              <w:jc w:val="left"/>
              <w:rPr>
                <w:sz w:val="4"/>
                <w:szCs w:val="4"/>
              </w:rPr>
            </w:pPr>
            <w:r>
              <w:rPr>
                <w:sz w:val="4"/>
                <w:szCs w:val="4"/>
              </w:rPr>
            </w:r>
          </w:p>
        </w:tc>
        <w:tc>
          <w:tcPr>
            <w:tcW w:w="9339" w:type="dxa"/>
            <w:gridSpan w:val="3"/>
            <w:tcBorders/>
            <w:vAlign w:val="center"/>
          </w:tcPr>
          <w:p>
            <w:pPr>
              <w:pStyle w:val="TableContents"/>
              <w:bidi w:val="0"/>
              <w:spacing w:before="0" w:after="283"/>
              <w:jc w:val="left"/>
              <w:rPr>
                <w:sz w:val="4"/>
                <w:szCs w:val="4"/>
              </w:rPr>
            </w:pPr>
            <w:r>
              <w:rPr>
                <w:sz w:val="4"/>
                <w:szCs w:val="4"/>
              </w:rPr>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Waha Hub</w:t>
            </w:r>
          </w:p>
        </w:tc>
        <w:tc>
          <w:tcPr>
            <w:tcW w:w="9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western Texas and New Mexico.</w:t>
            </w:r>
          </w:p>
        </w:tc>
      </w:tr>
      <w:tr>
        <w:trPr/>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Working interest</w:t>
            </w:r>
          </w:p>
        </w:tc>
        <w:tc>
          <w:tcPr>
            <w:tcW w:w="9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WTI</w:t>
            </w:r>
          </w:p>
        </w:tc>
        <w:tc>
          <w:tcPr>
            <w:tcW w:w="9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West Texas Intermediate, a light sweet blend of oil produced from fields in western Texas and is a grade of oil that serves as a benchmark for oil on the NYMEX.</w:t>
            </w:r>
          </w:p>
        </w:tc>
      </w:tr>
      <w:tr>
        <w:trPr/>
        <w:tc>
          <w:tcPr>
            <w:tcW w:w="8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93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5" w:name="ibc0bad225c9e454a97ac14e3f3048d19"/>
      <w:bookmarkEnd w:id="5"/>
      <w:r>
        <w:rPr>
          <w:rFonts w:ascii="Times New Roman;serif" w:hAnsi="Times New Roman;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other terms that are used in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03"/>
        <w:gridCol w:w="443"/>
        <w:gridCol w:w="448"/>
        <w:gridCol w:w="3080"/>
        <w:gridCol w:w="2369"/>
        <w:gridCol w:w="3362"/>
      </w:tblGrid>
      <w:tr>
        <w:trPr/>
        <w:tc>
          <w:tcPr>
            <w:tcW w:w="5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E&amp;P</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Diamondback E&amp;P LLC, a Delaware limited liability company and a wholly owned subsidiary of the Company.</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Plan</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2021 Amended and Restated Equity Incentive Plan.</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non-GAAP financial measure calculated as cash flow from operating activities before changes in working capital in excess of cash capital expenditures.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OPEC</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Organization of the Petroleum Exporting Countries.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 Prices</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Unweighted arithmetic average of the first-day-of-the-month price for each month during the 12-month period prior to the ending date of the period covered by this report.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Act of 1933, as amended.</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Senior Notes</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outstanding senior notes issued by Diamondback Energy, Inc. under indentures where Diamondback E&amp;P is the sole guarantor, consisting of the 3.250% Senior Notes due 2026, 5.200% Senior Notes due 2027, 3.500% Senior Notes due 2029, 5.150% Senior Notes due 2030, 3.125% Senior Notes due 2031, 6.250% Senior Notes due 2033, 5.400% Senior Notes due 2034, 5.550% Senior Notes due 2035, 4.400% Senior Notes due 2051, 4.250% Senior Notes due 2052, 6.250% Senior Notes due 2053, 5.750% Senior Notes due 2054 and 5.900% Senior Notes due 2064.</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TSR</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Total stockholder return of the Company’s common stock.</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w:t>
            </w:r>
          </w:p>
        </w:tc>
        <w:tc>
          <w:tcPr>
            <w:tcW w:w="8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New Viper following the Sitio Acquisition, (ii) Former Viper prior to the Sitio Acquisition but after the Viper Conversion, and (iii) Viper Energy Partners LP prior to the Viper Conversion (each term as defined in Note 1—Description of the Business and Basis of Presentation in Part I. Item 1. Financial Statements and Supplementary Data of this report). </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LLC</w:t>
            </w:r>
          </w:p>
        </w:tc>
        <w:tc>
          <w:tcPr>
            <w:tcW w:w="88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December 23, 2025, Viper Energy Partners LLC, a Delaware limited liability company and a subsidiary of Viper Energy, Inc. and after December 23, 2025, VNOM Holding Company LLC, a Delaware limited liability company and a consolidated subsidiary of Viper Energy, Inc.</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w:t>
            </w:r>
          </w:p>
        </w:tc>
        <w:tc>
          <w:tcPr>
            <w:tcW w:w="88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Wells Fargo Bank, National Association.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6" w:name="i25d17939e79b4f84a8d9385f0dc61615"/>
      <w:bookmarkEnd w:id="6"/>
      <w:r>
        <w:rPr>
          <w:rFonts w:ascii="Times New Roman;serif" w:hAnsi="Times New Roman;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Double Eagle Acquisition and Viper’s Sitio Acquisition (in each case, as defined below) discussed in this report and other acquisitions or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report and detailed under </w:t>
      </w:r>
      <w:hyperlink w:anchor="i64226f89bc01470fb2c113ff5ce9a825_172">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in this report and our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geopolitics and market conditions, including 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actions taken by the members of OPEC and its non-OPEC allies (“OPEC+”)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general economic, business or industry conditions, including changes in foreign currency exchange rates, interest rates, inflation rates and instability in the financial sector;</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physical and transition risks relating to climate change, changing political and social perspectives on climate change and other environmental, social and governance factors, and risks from our publicly disclosed targets related to sustainability and emissions reduction initiatives;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challenges in developing our existing leasehold acreage and finding, developing or acquiring additional reserves;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restrictions on the use of water, including limits on the use of produced water and a moratorium on new produced water disposal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conditions in the capital, financial and credit markets, including the availability and pricing of capital for acquisitions, exploration and development operations;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availability or cost of rigs, equipment, raw materials, supplies and oilfield services;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lack of, or disruption in, access to adequate and reliable electrical power, internet and telecommunication infrastructure, information and computer systems, transportation, processing, storage and other facilities for our oil, natural gas and natural gas liquids;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inability to keep pace with technological developments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to meet our obligations under our oil purchase contracts;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loss of one or more customers or their inability to meet their obligations;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geographical concentration of our primary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risks from our return of capital commitment, and uncertainties over our future dividends and share repurchases;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the financial strength of counterparties to our credit facilities and hedging contracts;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our substantial indebtedness and restrictions to our operating and financial flexibility;</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our credit rating;</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 to identify, complete and successfully integrate acquisitions, including the Double Eagle Acquisition and Sitio Acquisition;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Endeavor equityholders’ ability to significantly influence our business and potential conflicts of interest;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other risks and factors disclosed or incorporated by reference under </w:t>
      </w:r>
      <w:hyperlink w:anchor="i64226f89bc01470fb2c113ff5ce9a825_172">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and our </w:t>
      </w:r>
      <w:hyperlink r:id="rId3">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both"/>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 w:name="i053a5e9416184c7cad3ae6e69c0eef16"/>
      <w:bookmarkEnd w:id="7"/>
      <w:r>
        <w:rPr>
          <w:rFonts w:ascii="Times New Roman;serif" w:hAnsi="Times New Roman;serif"/>
          <w:b/>
          <w:color w:val="000000"/>
          <w:sz w:val="20"/>
        </w:rPr>
        <w:t>ITEM 1.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547"/>
        <w:gridCol w:w="1198"/>
        <w:gridCol w:w="1198"/>
        <w:gridCol w:w="552"/>
        <w:gridCol w:w="552"/>
        <w:gridCol w:w="812"/>
        <w:gridCol w:w="151"/>
        <w:gridCol w:w="479"/>
        <w:gridCol w:w="1399"/>
        <w:gridCol w:w="246"/>
        <w:gridCol w:w="171"/>
        <w:gridCol w:w="171"/>
        <w:gridCol w:w="171"/>
        <w:gridCol w:w="333"/>
        <w:gridCol w:w="974"/>
        <w:gridCol w:w="251"/>
      </w:tblGrid>
      <w:tr>
        <w:trPr/>
        <w:tc>
          <w:tcPr>
            <w:tcW w:w="154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Diamondback Energy, Inc. and Subsidiaries</w:t>
            </w:r>
          </w:p>
        </w:tc>
        <w:tc>
          <w:tcPr>
            <w:tcW w:w="4346" w:type="dxa"/>
            <w:gridSpan w:val="10"/>
            <w:tcBorders/>
          </w:tcPr>
          <w:p>
            <w:pPr>
              <w:pStyle w:val="TableContents"/>
              <w:bidi w:val="0"/>
              <w:spacing w:before="0" w:after="283"/>
              <w:jc w:val="left"/>
              <w:rPr>
                <w:sz w:val="4"/>
                <w:szCs w:val="4"/>
              </w:rPr>
            </w:pPr>
            <w:r>
              <w:rPr>
                <w:sz w:val="4"/>
                <w:szCs w:val="4"/>
              </w:rPr>
            </w:r>
          </w:p>
        </w:tc>
      </w:tr>
      <w:tr>
        <w:trPr/>
        <w:tc>
          <w:tcPr>
            <w:tcW w:w="58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tc>
        <w:tc>
          <w:tcPr>
            <w:tcW w:w="4346" w:type="dxa"/>
            <w:gridSpan w:val="10"/>
            <w:tcBorders/>
          </w:tcPr>
          <w:p>
            <w:pPr>
              <w:pStyle w:val="TableContents"/>
              <w:bidi w:val="0"/>
              <w:spacing w:before="0" w:after="283"/>
              <w:jc w:val="left"/>
              <w:rPr>
                <w:sz w:val="4"/>
                <w:szCs w:val="4"/>
              </w:rPr>
            </w:pPr>
            <w:r>
              <w:rPr>
                <w:sz w:val="4"/>
                <w:szCs w:val="4"/>
              </w:rPr>
            </w:r>
          </w:p>
        </w:tc>
      </w:tr>
      <w:tr>
        <w:trPr/>
        <w:tc>
          <w:tcPr>
            <w:tcW w:w="58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4346" w:type="dxa"/>
            <w:gridSpan w:val="10"/>
            <w:tcBorders/>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08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071" w:type="dxa"/>
            <w:gridSpan w:val="6"/>
            <w:tcBorders/>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Oil sales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3,445 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Natural gas sales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Natural gas liquid sales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Sales of purchased oil</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income</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4,240 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4,048 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Lease operating expenses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547 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Production and ad valorem taxes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Gathering, processing and transportation</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Purchased oil expense</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depletion, amortization and accretion</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Impairment of oil and natural gas properties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 expenses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expenses, net</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costs and expenses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4,124 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2,375 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1,673 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Gain (loss) on derivative instruments, net</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Gain (loss) on extinguishment of debt, net</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income (expense), net</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1,894 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1,491 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 attributable to non-controlling interest</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Diamondback Energy, Inc.</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0.08 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0.08 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4.83 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282,792 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289,612 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282,792 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289,612 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9"/>
        </w:rPr>
      </w:pPr>
      <w:r>
        <w:rPr>
          <w:rFonts w:ascii="Times New Roman;serif" w:hAnsi="Times New Roman;serif"/>
          <w:b w:val="false"/>
          <w:color w:val="000000"/>
          <w:sz w:val="19"/>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24"/>
        <w:gridCol w:w="2264"/>
        <w:gridCol w:w="2210"/>
        <w:gridCol w:w="247"/>
        <w:gridCol w:w="844"/>
        <w:gridCol w:w="127"/>
        <w:gridCol w:w="127"/>
        <w:gridCol w:w="127"/>
        <w:gridCol w:w="127"/>
        <w:gridCol w:w="253"/>
        <w:gridCol w:w="865"/>
        <w:gridCol w:w="190"/>
      </w:tblGrid>
      <w:tr>
        <w:trPr/>
        <w:tc>
          <w:tcPr>
            <w:tcW w:w="282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values and share data)</w:t>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2907"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Cash and cash equivalents ($28 million and $13 million related to Viper)</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Joint interest and other,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Oil and natural gas sales, net ($383 million and $262 million related to Viper)</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1,128 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1,915 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Property and equipment:</w:t>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Oil and natural gas properties: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Proved properties ($9,514 million and $9,746 million related to Viper)</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72,688 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71,588 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Unproved properties ($4,562 million and $4,910 million related to Viper)</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23,497 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23,941 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property, equipment and land</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874 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Accumulated depletion, depreciation, amortization and impairment ($2,662 million and $2,455 million related to Viper)</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(30,461)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(27,782)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66,613 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68,621 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70,080 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71,059 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capital expenditures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1,168 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Current maturities of debt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1,108 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Revenues and royalties payable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1,397 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instruments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4,816 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Long-term debt ($1,603 million and $2,186 million related to Viper)</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13,149 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13,726 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9,141 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27,440 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28,092 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15)</w:t>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$0.01 par value; 800,000,000 shares authorized; 281,311,730 and 284,594,908 shares issued and outstanding at March 31, 2026, and December 31, 2025, respectively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32,010 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32,236 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 (accumulated deficit)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Diamondback Energy, Inc. stockholders’ equity</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36,473 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36,972 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5,995 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42,640 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42,967 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70,080 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71,059 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9"/>
        </w:rPr>
      </w:pPr>
      <w:r>
        <w:rPr>
          <w:rFonts w:ascii="Times New Roman;serif" w:hAnsi="Times New Roman;serif"/>
          <w:b w:val="false"/>
          <w:color w:val="000000"/>
          <w:sz w:val="19"/>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237" w:type="dxa"/>
        <w:jc w:val="left"/>
        <w:tblInd w:w="0" w:type="dxa"/>
        <w:tblLayout w:type="fixed"/>
        <w:tblCellMar>
          <w:top w:w="28" w:type="dxa"/>
          <w:left w:w="28" w:type="dxa"/>
          <w:bottom w:w="28" w:type="dxa"/>
          <w:right w:w="28" w:type="dxa"/>
        </w:tblCellMar>
      </w:tblPr>
      <w:tblGrid>
        <w:gridCol w:w="2462"/>
        <w:gridCol w:w="2157"/>
        <w:gridCol w:w="2175"/>
        <w:gridCol w:w="244"/>
        <w:gridCol w:w="525"/>
        <w:gridCol w:w="136"/>
        <w:gridCol w:w="136"/>
        <w:gridCol w:w="136"/>
        <w:gridCol w:w="136"/>
        <w:gridCol w:w="244"/>
        <w:gridCol w:w="694"/>
        <w:gridCol w:w="192"/>
      </w:tblGrid>
      <w:tr>
        <w:trPr/>
        <w:tc>
          <w:tcPr>
            <w:tcW w:w="2462"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operating activities:</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income (loss) </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income (loss) to net cash provided by (used in) operating activities:</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(benefit from) deferred income taxes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depletion, amortization and accretion</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1,097 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oil and natural gas properties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extinguishment of debt, net</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derivative instruments, net</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received (paid) on settlement of derivative instruments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liabilities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and royalties payable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operating activities</w:t>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1,828 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2,355 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investing activities:</w:t>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Additions to oil and natural gas properties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acquisitions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 of assets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investing activities</w:t>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(1,653)</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financing activities:</w:t>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debt</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3,477 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debt</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repurchase program</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 related party</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shares/units under Viper’s repurchase program</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proceeds from Viper’s issuance of common stock</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 of Viper's common stock</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 to stockholders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Dividends/distributions to non-controlling interest</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financing activities</w:t>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increase (decrease) in cash, cash equivalents and restricted cash</w:t>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1,877 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at beginning of period</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at end of period</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2,041 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9"/>
        </w:rPr>
      </w:pPr>
      <w:r>
        <w:rPr>
          <w:rFonts w:ascii="Times New Roman;serif" w:hAnsi="Times New Roman;serif"/>
          <w:b w:val="false"/>
          <w:color w:val="000000"/>
          <w:sz w:val="19"/>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284,595 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repurchase program, including excise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 related party, including excise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Viper’s repurchase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sale of Viper's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281,312 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4,467 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6,167 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290,984 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repurchase program, including excise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LLC’s units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proceeds from Viper’s issuance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287,288 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5,352 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3,270 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41,743 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Diamondback Energy,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8" w:name="i3415f245f28740c4bd7c04450bb2c296"/>
      <w:bookmarkEnd w:id="8"/>
      <w:r>
        <w:rPr>
          <w:rFonts w:ascii="Times New Roman;serif" w:hAnsi="Times New Roman;serif"/>
          <w:b/>
          <w:color w:val="000000"/>
          <w:sz w:val="20"/>
        </w:rPr>
        <w:t>1.    DESCRIPTION OF THE BUSINESS AND 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9" w:name="i78477a99e6934fbd92de437464b96239"/>
      <w:bookmarkEnd w:id="9"/>
      <w:r>
        <w:rPr>
          <w:rFonts w:ascii="Times New Roman;serif" w:hAnsi="Times New Roman;serif"/>
          <w:b/>
          <w:color w:val="000000"/>
          <w:sz w:val="20"/>
        </w:rPr>
        <w:t>Organization and Description of the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Energy, Inc., together with its subsidiaries (collectively referred to as “Diamondback,” the “Company,” “we” or “our”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wholly owned subsidiaries of Diamondback include Diamondback E&amp;P, a Delaware limited liability company, Rattler Midstream GP LLC, a Delaware limited liability company, Rattler Midstream LP, a Delaware limited partnership, QEP Resources, Inc., a Delaware corporation, Diamondback RE Holdco LLC, a Delaware limited liability company and Eclipse Merger Sub II, LLC, a Delaware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10" w:name="i2060c967903942298bb425596b28fdf7"/>
      <w:bookmarkEnd w:id="10"/>
      <w:r>
        <w:rPr>
          <w:rFonts w:ascii="Times New Roman;serif" w:hAnsi="Times New Roman;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subsidiaries, including its publicly-traded subsidiary, Viper Energy, Inc., after all significant intercompany balances and transactions have been eliminated upon consolidation. As of March 31, 2026, the Company is managed as one operating and reportable segment, the upstream segment, which is engaged in the acquisition, development, exploration and exploitation of unconventional, onshore oil and natural gas reserves primarily in the Permian Basin in West Texas and includes the activities of Viper as well as the Company’s remaining midstream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upon completion of Viper’s Sitio Acquisition (as defined and discussed in Note 4—</w:t>
      </w:r>
      <w:hyperlink w:anchor="i64226f89bc01470fb2c113ff5ce9a825_52">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VNOM Sub, Inc., (formerly Viper Energy, Inc., “Former Viper”) became a wholly owned subsidiary of Viper Energy, Inc. (formerly New Cobra Pubco, Inc., “New 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March 31, 2026, the Company owned approximately 39% of Viper’s combined outstanding Class A common stock and Class B common stock on a fully diluted basis, after giving effect to an option for certain Viper LLC equity holders to purchase and exchange up to 6,746,384 of Class B common stock paired with an equivalent number of units representing limited liability company interests in Viper’s operating subsidiary (“Viper LLC Units”) into Viper Class A common stock. The Company determined that it controls the activities of Viper in accordance with the guidance for variable interest entities in Accounting Standards Codification (“ASC”) Topic 810, “Consolidation,” and therefore continues to consolidate Viper in the Company’s financial statements at March 31, 2026. See further discussion of the Company’s determination that Viper is a variable interest entity (“VIE”) in Note 2—</w:t>
      </w:r>
      <w:hyperlink w:anchor="i64226f89bc01470fb2c113ff5ce9a825_46">
        <w:r>
          <w:rPr>
            <w:rStyle w:val="InternetLink"/>
            <w:rFonts w:ascii="Times New Roman;serif" w:hAnsi="Times New Roman;serif"/>
            <w:b w:val="false"/>
            <w:color w:val="0000FF"/>
            <w:sz w:val="20"/>
            <w:u w:val="single"/>
          </w:rPr>
          <w:t>Summary of Significant Accounting Policies</w:t>
        </w:r>
      </w:hyperlink>
      <w:r>
        <w:rPr>
          <w:rFonts w:ascii="Times New Roman;serif" w:hAnsi="Times New Roman;serif"/>
          <w:b w:val="false"/>
          <w:color w:val="000000"/>
          <w:sz w:val="20"/>
        </w:rPr>
        <w:t>.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4">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 which contains a summary of the Company’s significant accounting policies and other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1" w:name="i306ff407af514c26852575e296647e8a"/>
      <w:bookmarkEnd w:id="11"/>
      <w:r>
        <w:rPr>
          <w:rFonts w:ascii="Times New Roman;serif" w:hAnsi="Times New Roman;serif"/>
          <w:b/>
          <w:color w:val="000000"/>
          <w:sz w:val="20"/>
        </w:rPr>
        <w:t>Reclassifications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12" w:name="i00641f6f23434dd49a746d05d3e1ac66"/>
      <w:bookmarkEnd w:id="12"/>
      <w:r>
        <w:rPr>
          <w:rFonts w:ascii="Times New Roman;serif" w:hAnsi="Times New Roman;serif"/>
          <w:b/>
          <w:color w:val="000000"/>
          <w:sz w:val="20"/>
        </w:rPr>
        <w:t>2.    SUMMARY OF SIGNIFICANT ACCOUNTING POLICIES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3" w:name="i489d1088fc794a5080e46892a3c6eaf2"/>
      <w:bookmarkEnd w:id="13"/>
      <w:r>
        <w:rPr>
          <w:rFonts w:ascii="Times New Roman;serif" w:hAnsi="Times New Roman;serif"/>
          <w:b/>
          <w:color w:val="000000"/>
          <w:sz w:val="20"/>
        </w:rPr>
        <w:t>Use of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liabilities as of the date of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Making accurate estimates and assumptions is particularly difficult in the oil and natural gas industry given the challenges resulting from volatility in oil and natural gas prices. For instance, geopolitical conflicts, elevated interest rates, effects of tariffs, actions taken by OPEC and its non-OPEC allies, global supply chain disruptions, measures to combat persistent inflation and instability in the financial sector have contributed to recent economic and pricing volatility. The financial results of companies in the oil and natural gas industry have been and may continue to be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the fair value determination of assets acquired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4" w:name="i6539658649d647eb925a4d2523bdb12d"/>
      <w:bookmarkEnd w:id="14"/>
      <w:r>
        <w:rPr>
          <w:rFonts w:ascii="Times New Roman;serif" w:hAnsi="Times New Roman;serif"/>
          <w:b/>
          <w:color w:val="000000"/>
          <w:sz w:val="20"/>
        </w:rPr>
        <w:t>Variable Interest Entity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Viper meets the definition of a VIE under ASC Topic 810, “Consolidation,” and the Company continues to be the primary beneficiary of the VIE through its ability, via existing contractual agreements, to direct the activities that most significantly affect Viper’s economic performance. The Company also has the obligation to absorb losses and the right to receive benefits that could be significant to Viper. As such, the Company continues to consolidate the activity of Viper.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2026, Viper completed a secondary public offering with the Company and certain other Viper stockholders, along with J.P. Morgan Securities LLC and Goldman Sachs &amp; Co. LLC as underwriters (the “Underwriters”) (the “Secondary Offering”). The Company exchanged approximately 12.39 million shares of Viper Class B common stock and an equivalent number of Viper LLC Units for an equivalent number of shares of Viper Class A common stock and subsequently sold such shares in the Secondary Offering. On March 19, 2026, the Underwriters exercised an option to purchase approximately 0.51 million additional shares of Viper Class A common stock from the Company for aggregate cash proceeds of approximately $589 million. The Company’s proceeds from the Secondary Offering were used for general corporate purposes and to accelerate debt reduction.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2025 Drop Down, the Sitio Acquisition (each as defined and discussed in Note 4—</w:t>
      </w:r>
      <w:hyperlink w:anchor="i64226f89bc01470fb2c113ff5ce9a825_52">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and the Secondary Offering were evaluated and determined not to be events that would cause the Company to change its conclusion regarding Viper’s status as a VIE, and the Company continues to be the primary beneficiary.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Viper maintains its own capital structure that is separate from the Company, and the Company is not under any obligation to provide additional financial support or investment to Viper. Viper’s assets cannot be used by the Company for general corporate purposes and the creditors of Viper’s liabilities do not have recourse to the Company’s assets. The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liabilities of Viper are included in the Company’s condensed consolidated balance sheets and disclosed parenthetically, if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5" w:name="i061a143fd911405b835f47fbc8977380"/>
      <w:bookmarkEnd w:id="15"/>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6" w:name="icb4ed330a4aa494081042b4414d03f68"/>
      <w:bookmarkEnd w:id="16"/>
      <w:r>
        <w:rPr>
          <w:rFonts w:ascii="Times New Roman;serif" w:hAnsi="Times New Roman;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pronouncements adopted during the three months ended March 31,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7" w:name="i35c1dbb110ce4b429b6a4e45c8c5f275"/>
      <w:bookmarkEnd w:id="17"/>
      <w:r>
        <w:rPr>
          <w:rFonts w:ascii="Times New Roman;serif" w:hAnsi="Times New Roman;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8" w:name="ie79db0e4e7e94c75aec8d66e2deb8616"/>
      <w:bookmarkEnd w:id="18"/>
      <w:r>
        <w:rPr>
          <w:rFonts w:ascii="Times New Roman;serif" w:hAnsi="Times New Roman;serif"/>
          <w:b/>
          <w:color w:val="000000"/>
          <w:sz w:val="20"/>
        </w:rPr>
        <w:t>3.    REVENUE FROM CONTRACTS WITH CUSTOMERS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9" w:name="ib233c60743b743e1b4da2f1797c4bf9a"/>
      <w:bookmarkEnd w:id="19"/>
      <w:r>
        <w:rPr>
          <w:rFonts w:ascii="Times New Roman;serif" w:hAnsi="Times New Roman;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8483" w:type="dxa"/>
        <w:jc w:val="left"/>
        <w:tblInd w:w="0" w:type="dxa"/>
        <w:tblLayout w:type="fixed"/>
        <w:tblCellMar>
          <w:top w:w="28" w:type="dxa"/>
          <w:left w:w="28" w:type="dxa"/>
          <w:bottom w:w="28" w:type="dxa"/>
          <w:right w:w="28" w:type="dxa"/>
        </w:tblCellMar>
      </w:tblPr>
      <w:tblGrid>
        <w:gridCol w:w="1585"/>
        <w:gridCol w:w="1389"/>
        <w:gridCol w:w="1406"/>
        <w:gridCol w:w="109"/>
        <w:gridCol w:w="109"/>
        <w:gridCol w:w="243"/>
        <w:gridCol w:w="243"/>
        <w:gridCol w:w="471"/>
        <w:gridCol w:w="1377"/>
        <w:gridCol w:w="243"/>
        <w:gridCol w:w="109"/>
        <w:gridCol w:w="109"/>
        <w:gridCol w:w="109"/>
        <w:gridCol w:w="211"/>
        <w:gridCol w:w="61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66"/>
        <w:gridCol w:w="320"/>
        <w:gridCol w:w="250"/>
        <w:gridCol w:w="222"/>
        <w:gridCol w:w="650"/>
        <w:gridCol w:w="115"/>
        <w:gridCol w:w="109"/>
        <w:gridCol w:w="109"/>
        <w:gridCol w:w="109"/>
        <w:gridCol w:w="244"/>
        <w:gridCol w:w="541"/>
        <w:gridCol w:w="128"/>
        <w:gridCol w:w="109"/>
        <w:gridCol w:w="109"/>
        <w:gridCol w:w="109"/>
        <w:gridCol w:w="211"/>
        <w:gridCol w:w="361"/>
        <w:gridCol w:w="109"/>
        <w:gridCol w:w="109"/>
        <w:gridCol w:w="109"/>
        <w:gridCol w:w="109"/>
        <w:gridCol w:w="211"/>
        <w:gridCol w:w="616"/>
        <w:gridCol w:w="109"/>
        <w:gridCol w:w="109"/>
        <w:gridCol w:w="109"/>
        <w:gridCol w:w="109"/>
        <w:gridCol w:w="222"/>
        <w:gridCol w:w="650"/>
        <w:gridCol w:w="115"/>
        <w:gridCol w:w="109"/>
        <w:gridCol w:w="109"/>
        <w:gridCol w:w="109"/>
        <w:gridCol w:w="244"/>
        <w:gridCol w:w="541"/>
        <w:gridCol w:w="128"/>
        <w:gridCol w:w="109"/>
        <w:gridCol w:w="109"/>
        <w:gridCol w:w="109"/>
        <w:gridCol w:w="211"/>
        <w:gridCol w:w="256"/>
        <w:gridCol w:w="109"/>
        <w:gridCol w:w="109"/>
        <w:gridCol w:w="109"/>
        <w:gridCol w:w="109"/>
        <w:gridCol w:w="211"/>
        <w:gridCol w:w="616"/>
        <w:gridCol w:w="160"/>
      </w:tblGrid>
      <w:tr>
        <w:trPr/>
        <w:tc>
          <w:tcPr>
            <w:tcW w:w="3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7042" w:type="dxa"/>
            <w:gridSpan w:val="36"/>
            <w:tcBorders/>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8282" w:type="dxa"/>
            <w:gridSpan w:val="42"/>
            <w:tcBorders/>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20" w:name="i96909e4e4e9649688c312371365657ab"/>
      <w:bookmarkEnd w:id="20"/>
      <w:r>
        <w:rPr>
          <w:rFonts w:ascii="Times New Roman;serif" w:hAnsi="Times New Roman;serif"/>
          <w:b/>
          <w:color w:val="000000"/>
          <w:sz w:val="20"/>
        </w:rPr>
        <w:t>4.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21" w:name="id068eca3080749e9a75f4cc374365ead"/>
      <w:bookmarkEnd w:id="21"/>
      <w:r>
        <w:rPr>
          <w:rFonts w:ascii="Times New Roman;serif" w:hAnsi="Times New Roman;serif"/>
          <w:b/>
          <w:color w:val="000000"/>
          <w:sz w:val="20"/>
        </w:rPr>
        <w:t>2026 Activity</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bookmarkStart w:id="22" w:name="ibb8763218e8f4f33a291b564ff6fc2da"/>
      <w:bookmarkEnd w:id="22"/>
      <w:r>
        <w:rPr>
          <w:rFonts w:ascii="Times New Roman;serif" w:hAnsi="Times New Roman;serif"/>
          <w:b/>
          <w:i/>
          <w:color w:val="000000"/>
          <w:sz w:val="20"/>
        </w:rPr>
        <w:t>Viper Divestiture</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bookmarkStart w:id="23" w:name="i23cb2d255521440c8c3aa7250f68b99c"/>
      <w:bookmarkEnd w:id="23"/>
      <w:r>
        <w:rPr>
          <w:rFonts w:ascii="Times New Roman;serif" w:hAnsi="Times New Roman;serif"/>
          <w:b w:val="false"/>
          <w:i/>
          <w:color w:val="000000"/>
          <w:sz w:val="20"/>
        </w:rPr>
        <w:t>Viper Divestiture of Non-Permian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February 9, 2026, Viper divested all of its non-Permian assets, including those acquired from Sitio Royalties Corp. (“Sitio”), to an affiliate of GRP Energy Capital LLC and Warwick Capital Partners LLP for net cash proceeds of approximately $610 million, including transaction costs and customary post-closing adjustments (the “Viper Non-Permian Divestiture”). The divested properties consisted of approximately 9,400 net royalty acres in the Denver-Julesburg, Eagle Ford and Williston basins with current production of approximately 4,750 BO/d. Proceeds from the divestiture were used to (i) repay the Viper 2025 Term Loan (as defined and discussed in Note 8—</w:t>
      </w:r>
      <w:hyperlink w:anchor="i64226f89bc01470fb2c113ff5ce9a825_7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of $500 million in full, (ii) repay the outstanding borrowings under the Viper Revolving Credit Facility (as defined and discussed in Note 8—</w:t>
      </w:r>
      <w:hyperlink w:anchor="i64226f89bc01470fb2c113ff5ce9a825_7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(iii)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24" w:name="ieb05f19aa0af41f393820424d7ed7b5a"/>
      <w:bookmarkEnd w:id="24"/>
      <w:r>
        <w:rPr>
          <w:rFonts w:ascii="Times New Roman;serif" w:hAnsi="Times New Roman;serif"/>
          <w:b/>
          <w:color w:val="000000"/>
          <w:sz w:val="20"/>
        </w:rPr>
        <w:t>2025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bookmarkStart w:id="25" w:name="i2a1e881dc43a4ff698779aed12973eec"/>
      <w:bookmarkEnd w:id="25"/>
      <w:r>
        <w:rPr>
          <w:rFonts w:ascii="Times New Roman;serif" w:hAnsi="Times New Roman;serif"/>
          <w:b/>
          <w:i/>
          <w:color w:val="000000"/>
          <w:sz w:val="20"/>
        </w:rPr>
        <w:t>Diamondback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6" w:name="i870dcebd2acc4b0297c7ba57d2fc111d"/>
      <w:bookmarkEnd w:id="26"/>
      <w:r>
        <w:rPr>
          <w:rFonts w:ascii="Times New Roman;serif" w:hAnsi="Times New Roman;serif"/>
          <w:b w:val="false"/>
          <w:i/>
          <w:color w:val="000000"/>
          <w:sz w:val="20"/>
        </w:rPr>
        <w:t>EPIC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divested its 27.5% equity interest in EPIC Crude Holdings, LP (“EPIC”) pursuant to a definitive purchase and sale agreement with Plains All American Pipeline, L.P. and Plains GP Holdings for approximately $504 million in cash and an additional $96 million in unrecognized potential contingent consideration (the “EPIC Divestiture”). The EPIC Divestiture resulted in a gain on the sale of equity method investments of approximately $299 million. The contingent cash payment is due to the Company should the capacity expansion of EPIC be formally sanctioned before year-end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7" w:name="i93a45d988c134cc2b327aef23629d09e"/>
      <w:bookmarkEnd w:id="27"/>
      <w:r>
        <w:rPr>
          <w:rFonts w:ascii="Times New Roman;serif" w:hAnsi="Times New Roman;serif"/>
          <w:b w:val="false"/>
          <w:i/>
          <w:color w:val="000000"/>
          <w:sz w:val="20"/>
        </w:rPr>
        <w:t>Divestiture of Water Assets to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October 1, 2025, the Company divested its subsidiary, Environmental Disposal Systems, LLC, to Deep Blue Midland Basin LLC (“Deep Blue”), in exchange for upfront net cash proceeds of $694 million, subject to transaction costs and customary post-closing adjustments, and approximately $34 million of additional equity interests issued by Deep Blue as non-cash consideration. The transaction provides for the potential for the Company to earn up to an additional $200 million. If certain completion thresholds are not met, the Company could owe up to $150 million in contingent consideration for the years 2026 through 2028. The Company will recognize any contingent gains when realizable at the end of each annual measurement period, or will accrue a contingent loss if at any time a payable to Deep Blue becomes probable and reasonably estimable. The divestiture resulted in an aggregate gain of approximately $167 million, which includes a loss of approximately $1 million recognized during the three months ended March 31, 2026 as a result of customary post-closing adjustments. The gain (loss) is included in the caption “Other income (expense), net” in the condensed consolidated statement of operations. As part of the divestiture, the Company renewed its 15-year dedication to Deep Blue for its produced water and supply water within a 12-county area of mutual interest in the Midland Basin. The Company’s equity ownership interest in Deep Blue remained at 30% following the closing of the transaction. The cash proceeds from the divestiture were used to repay borrowings under the Revolving Credit Facility (as defined and discussed in Note 8—</w:t>
      </w:r>
      <w:hyperlink w:anchor="i64226f89bc01470fb2c113ff5ce9a825_7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8" w:name="i767931f33bd940c0a87277ec0471d895"/>
      <w:bookmarkEnd w:id="28"/>
      <w:r>
        <w:rPr>
          <w:rFonts w:ascii="Times New Roman;serif" w:hAnsi="Times New Roman;serif"/>
          <w:b w:val="false"/>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the Company’s wholly owned subsidiary Endeavor Energy Resources, LP divested all of the issued and outstanding equity interests in 1979 Royalties, LP and 1979 Royalties GP, LLC, each of which was a subsidiary of the Company, pursuant to a definitive equity purchase agreement with Viper and Viper LLC in exchange for consideration consisting of (i) $873 million in cash, including customary post-closing adjustments, and (ii) the issuance of 69.63 million Viper LLC Units and an equivalent number of shares of Viper’s Class B common stock (the “2025 Drop Down”). The 2025 Drop Down was accounted for as a transaction between entities under common control.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i/>
          <w:color w:val="000000"/>
          <w:sz w:val="20"/>
        </w:rPr>
      </w:pPr>
      <w:bookmarkStart w:id="29" w:name="i3fba348c135a437484e7164dbb6475d9"/>
      <w:bookmarkEnd w:id="29"/>
      <w:r>
        <w:rPr>
          <w:rFonts w:ascii="Times New Roman;serif" w:hAnsi="Times New Roman;serif"/>
          <w:b w:val="false"/>
          <w:i/>
          <w:color w:val="000000"/>
          <w:sz w:val="20"/>
        </w:rPr>
        <w:t>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April 1, 2025, the Company completed its acquisition of all of the issued and outstanding interests of DE Permian, LLC, DE IV Combo, LLC and DE IV Operating, LLC, each of which were wholly owned subsidiaries of Double Eagle IV Midco, LLC (the “Double Eagle Acquisition”) for consideration of $3.1 billion in cash and approximately 6.84 million shares of the Company’s common stock, including transaction costs and subject to customary post-closing adjustments. The assets acquired in the Double Eagle Acquisition consisted of approximately 67,700 gross (40,000 net) acres, which are primarily located in the Midland Basin and approximately 407 gross (342 net) horizontal locations in primary development targets. The Company funded the cash portion of the Double Eagle Acquisition through a combination of proceeds from the issuance of the $1.2 billion aggregate principal amount of 5.550% Senior Notes due 2035 (the “2035 Notes”), proceeds from the 2025 Term Loan (as defined and discussed in Note 8—</w:t>
      </w:r>
      <w:hyperlink w:anchor="i64226f89bc01470fb2c113ff5ce9a825_70">
        <w:r>
          <w:rPr>
            <w:rStyle w:val="InternetLink"/>
          </w:rPr>
          <w:t>D</w:t>
        </w:r>
      </w:hyperlink>
      <w:hyperlink w:anchor="i64226f89bc01470fb2c113ff5ce9a825_70">
        <w:r>
          <w:rPr>
            <w:rStyle w:val="InternetLink"/>
          </w:rPr>
          <w:t>e</w:t>
        </w:r>
      </w:hyperlink>
      <w:hyperlink w:anchor="i64226f89bc01470fb2c113ff5ce9a825_70">
        <w:r>
          <w:rPr>
            <w:rStyle w:val="InternetLink"/>
          </w:rPr>
          <w:t>b</w:t>
        </w:r>
      </w:hyperlink>
      <w:hyperlink w:anchor="i64226f89bc01470fb2c113ff5ce9a825_70">
        <w:r>
          <w:rPr>
            <w:rStyle w:val="InternetLink"/>
          </w:rPr>
          <w:t>t</w:t>
        </w:r>
      </w:hyperlink>
      <w:r>
        <w:rPr>
          <w:rFonts w:ascii="Times New Roman;serif" w:hAnsi="Times New Roman;serif"/>
          <w:b w:val="false"/>
          <w:color w:val="000000"/>
          <w:sz w:val="20"/>
        </w:rPr>
        <w:t>) and borrowings under the Revolving Credit Facility. The Double Eagle Acquisition was accounted for as an asset acquisition in accordance with ASC Topic 805, “Business Combinations.”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bookmarkStart w:id="30" w:name="ife61dbdb170d4da489bf82258d115f02"/>
      <w:bookmarkEnd w:id="30"/>
      <w:r>
        <w:rPr>
          <w:rFonts w:ascii="Times New Roman;serif" w:hAnsi="Times New Roman;serif"/>
          <w:b/>
          <w:i/>
          <w:color w:val="000000"/>
          <w:sz w:val="20"/>
        </w:rPr>
        <w:t>Viper Acquisition</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bookmarkStart w:id="31" w:name="i1fcdd29cebc548bb86a8923333d9eea7"/>
      <w:bookmarkEnd w:id="31"/>
      <w:r>
        <w:rPr>
          <w:rFonts w:ascii="Times New Roman;serif" w:hAnsi="Times New Roman;serif"/>
          <w:b w:val="false"/>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Viper completed a series of transactions in which New Viper acquired Sitio, Sitio Royalties Operating Partnership, LP (“Sitio OpCo”) and their respective subsidiaries, pursuant to the Agreement and Plan of Merger, dated June 2, 2025, by and among Former Viper, Viper LLC, Sitio, Sitio OpCo, New Viper, Cobra Merger Sub, Inc. and Scorpion Merger Sub, Inc. (the “Sitio Acquisition”). The Sitio Acquisition was an all-equity transaction valued at approximately $4.0 billion, including transaction costs and customary post-closing adjustments and the retirement of Sitio’s net debt of approximately $1.2 billion.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 See “</w:t>
      </w:r>
      <w:hyperlink w:anchor="i64226f89bc01470fb2c113ff5ce9a825_52">
        <w:r>
          <w:rPr>
            <w:rStyle w:val="InternetLink"/>
            <w:color w:val="0000FF"/>
            <w:u w:val="single"/>
          </w:rPr>
          <w:t>—</w:t>
        </w:r>
      </w:hyperlink>
      <w:hyperlink w:anchor="i64226f89bc01470fb2c113ff5ce9a825_52">
        <w:bookmarkStart w:id="32" w:name="i0da02d5bb84c471696d5bff7c92a6e92"/>
        <w:bookmarkEnd w:id="32"/>
        <w:r>
          <w:rPr>
            <w:rStyle w:val="InternetLink"/>
            <w:rFonts w:ascii="Times New Roman;serif" w:hAnsi="Times New Roman;serif"/>
            <w:b w:val="false"/>
            <w:i/>
            <w:color w:val="0000FF"/>
            <w:sz w:val="20"/>
            <w:u w:val="single"/>
          </w:rPr>
          <w:t>Viper Divestiture of Non-Permian Assets</w:t>
        </w:r>
      </w:hyperlink>
      <w:r>
        <w:rPr>
          <w:color w:val="000000"/>
        </w:rPr>
        <w:t xml:space="preserve">” </w:t>
      </w:r>
      <w:r>
        <w:rPr>
          <w:rFonts w:ascii="Times New Roman;serif" w:hAnsi="Times New Roman;serif"/>
          <w:b w:val="false"/>
          <w:color w:val="000000"/>
          <w:sz w:val="20"/>
        </w:rPr>
        <w:t>above for discussion of the divestiture of Viper’s non-Permian acreage in the first quarter of 2026. The Sitio Acquisition was accounted for as an asset acquisition in accordance with ASC Topic 805, “Business Combinations.”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33" w:name="iba390a2fef364f599edb0e54b9b736a3"/>
      <w:bookmarkEnd w:id="33"/>
      <w:r>
        <w:rPr>
          <w:rFonts w:ascii="Times New Roman;serif" w:hAnsi="Times New Roman;serif"/>
          <w:b/>
          <w:color w:val="000000"/>
          <w:sz w:val="20"/>
        </w:rPr>
        <w:t>5.    PROPERTY AND EQUIPMENT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103"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Unproved properties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95,529 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    </w:t>
      </w:r>
      <w:r>
        <w:rPr>
          <w:rFonts w:ascii="Times New Roman;serif" w:hAnsi="Times New Roman;serif"/>
          <w:b w:val="false"/>
          <w:color w:val="000000"/>
          <w:sz w:val="20"/>
        </w:rPr>
        <w:t>Unevaluated properties not subject to depletion under full cost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full cost method of accounting, the Company is required to perform a ceiling test each quarter which determines a limit, or ceiling, on the book value of proved oil and natural gas properties. The Company recorded a non-cash ceiling test impairment of $1.4 billion during the three months ended March 31, 2026, which is included in the caption “Accumulated depletion, depreciation, amortization and impairment” on the condensed consolidated balance sheet. No impairment expense was recorded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34" w:name="ib15c3d8281654cf88e6ed23fcbadaba1"/>
      <w:bookmarkEnd w:id="34"/>
      <w:r>
        <w:rPr>
          <w:rFonts w:ascii="Times New Roman;serif" w:hAnsi="Times New Roman;serif"/>
          <w:b/>
          <w:color w:val="000000"/>
          <w:sz w:val="20"/>
        </w:rPr>
        <w:t>6.    ASSET RETIREMENT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the changes to the Company’s asset retirement obligations liability for the following periods:</w:t>
      </w:r>
    </w:p>
    <w:p>
      <w:pPr>
        <w:pStyle w:val="TextBody"/>
        <w:bidi w:val="0"/>
        <w:spacing w:before="0" w:after="0"/>
        <w:ind w:left="0" w:right="0" w:firstLine="720"/>
        <w:jc w:val="both"/>
        <w:rPr/>
      </w:pPr>
      <w:r>
        <w:rPr/>
      </w:r>
    </w:p>
    <w:tbl>
      <w:tblPr>
        <w:tblW w:w="6734" w:type="dxa"/>
        <w:jc w:val="left"/>
        <w:tblInd w:w="0" w:type="dxa"/>
        <w:tblLayout w:type="fixed"/>
        <w:tblCellMar>
          <w:top w:w="28" w:type="dxa"/>
          <w:left w:w="28" w:type="dxa"/>
          <w:bottom w:w="28" w:type="dxa"/>
          <w:right w:w="28" w:type="dxa"/>
        </w:tblCellMar>
      </w:tblPr>
      <w:tblGrid>
        <w:gridCol w:w="1489"/>
        <w:gridCol w:w="1309"/>
        <w:gridCol w:w="1312"/>
        <w:gridCol w:w="285"/>
        <w:gridCol w:w="629"/>
        <w:gridCol w:w="147"/>
        <w:gridCol w:w="147"/>
        <w:gridCol w:w="147"/>
        <w:gridCol w:w="147"/>
        <w:gridCol w:w="285"/>
        <w:gridCol w:w="629"/>
        <w:gridCol w:w="208"/>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Asset retirement obligations, beginning of period</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542 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592 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liabilities incurred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 acquired</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 settled and divested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expense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Revisions in estimated liabilities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Asset retirement obligations, end of period</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547 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9"/>
              </w:rPr>
              <w:t>Less current portion</w:t>
            </w:r>
            <w:r>
              <w:rPr>
                <w:rFonts w:ascii="Times New Roman;serif" w:hAnsi="Times New Roman;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9"/>
              </w:rPr>
              <w:t>Asset retirement obligations - long-term</w:t>
            </w:r>
            <w:r>
              <w:rPr>
                <w:rFonts w:ascii="Times New Roman;serif" w:hAnsi="Times New Roman;serif"/>
                <w:b w:val="false"/>
                <w:color w:val="000000"/>
                <w:sz w:val="13"/>
              </w:rPr>
              <w:t>(2)</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current portion of the asset retirement obligation is included in the caption “Other accrued liabilities” in the Company’s condensed consolidated balance sheets.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long-term portion of the asset retirement obligation is included in the caption “Other long-term liabilities” in the Company’s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35" w:name="i922423920ddb4b38819263c26228f40f"/>
      <w:bookmarkEnd w:id="35"/>
      <w:r>
        <w:rPr>
          <w:rFonts w:ascii="Times New Roman;serif" w:hAnsi="Times New Roman;serif"/>
          <w:b/>
          <w:color w:val="000000"/>
          <w:sz w:val="20"/>
        </w:rPr>
        <w:t>7.    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36" w:name="i3acc0abb2d3c4bb9b327618d39c42514"/>
      <w:bookmarkEnd w:id="36"/>
      <w:r>
        <w:rPr>
          <w:rFonts w:ascii="Times New Roman;serif" w:hAnsi="Times New Roman;serif"/>
          <w:b/>
          <w:color w:val="000000"/>
          <w:sz w:val="20"/>
        </w:rPr>
        <w:t>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Five Point Energy LLC have a joint venture, Deep Blue, in which the Company owned a 30% equity ownership interest as of March 31, 2026. The equity ownership interest is included in the caption “Other assets” on the Company’s consolidated balance sheets. Additionally, the Company has other related party transactions with Deep Blue in the ordinary course of business, which result in (i) certain accounts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further discussion on the additional transaction with Deep Blue, see Note 4—</w:t>
      </w:r>
      <w:hyperlink w:anchor="i64226f89bc01470fb2c113ff5ce9a825_52">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related party balances that pertain to Deep Blue which are included in the condensed consolidated balance sheets as of the dates indicated:</w:t>
      </w:r>
    </w:p>
    <w:p>
      <w:pPr>
        <w:pStyle w:val="TextBody"/>
        <w:bidi w:val="0"/>
        <w:spacing w:before="0" w:after="0"/>
        <w:ind w:left="0" w:right="0" w:firstLine="720"/>
        <w:jc w:val="both"/>
        <w:rPr/>
      </w:pPr>
      <w:r>
        <w:rPr/>
      </w:r>
    </w:p>
    <w:tbl>
      <w:tblPr>
        <w:tblW w:w="6686" w:type="dxa"/>
        <w:jc w:val="left"/>
        <w:tblInd w:w="0" w:type="dxa"/>
        <w:tblLayout w:type="fixed"/>
        <w:tblCellMar>
          <w:top w:w="28" w:type="dxa"/>
          <w:left w:w="28" w:type="dxa"/>
          <w:bottom w:w="28" w:type="dxa"/>
          <w:right w:w="28" w:type="dxa"/>
        </w:tblCellMar>
      </w:tblPr>
      <w:tblGrid>
        <w:gridCol w:w="1549"/>
        <w:gridCol w:w="1362"/>
        <w:gridCol w:w="1379"/>
        <w:gridCol w:w="237"/>
        <w:gridCol w:w="525"/>
        <w:gridCol w:w="122"/>
        <w:gridCol w:w="109"/>
        <w:gridCol w:w="109"/>
        <w:gridCol w:w="109"/>
        <w:gridCol w:w="300"/>
        <w:gridCol w:w="664"/>
        <w:gridCol w:w="221"/>
      </w:tblGrid>
      <w:tr>
        <w:trPr/>
        <w:tc>
          <w:tcPr>
            <w:tcW w:w="154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capital expenditures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incurred approximately $67 million and $47 million, respectively, for water services provided by Deep Blue, which were capitalized and are included in the caption “Proved properties”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related party transactions included in the condensed consolidated statements of operations for the periods indicated:</w:t>
      </w:r>
    </w:p>
    <w:p>
      <w:pPr>
        <w:pStyle w:val="TextBody"/>
        <w:bidi w:val="0"/>
        <w:spacing w:before="0" w:after="0"/>
        <w:ind w:left="0" w:right="0" w:firstLine="720"/>
        <w:jc w:val="both"/>
        <w:rPr/>
      </w:pPr>
      <w:r>
        <w:rPr/>
      </w:r>
    </w:p>
    <w:tbl>
      <w:tblPr>
        <w:tblW w:w="6037" w:type="dxa"/>
        <w:jc w:val="left"/>
        <w:tblInd w:w="0" w:type="dxa"/>
        <w:tblLayout w:type="fixed"/>
        <w:tblCellMar>
          <w:top w:w="28" w:type="dxa"/>
          <w:left w:w="28" w:type="dxa"/>
          <w:bottom w:w="28" w:type="dxa"/>
          <w:right w:w="28" w:type="dxa"/>
        </w:tblCellMar>
      </w:tblPr>
      <w:tblGrid>
        <w:gridCol w:w="792"/>
        <w:gridCol w:w="697"/>
        <w:gridCol w:w="700"/>
        <w:gridCol w:w="109"/>
        <w:gridCol w:w="109"/>
        <w:gridCol w:w="312"/>
        <w:gridCol w:w="312"/>
        <w:gridCol w:w="605"/>
        <w:gridCol w:w="1036"/>
        <w:gridCol w:w="312"/>
        <w:gridCol w:w="109"/>
        <w:gridCol w:w="109"/>
        <w:gridCol w:w="109"/>
        <w:gridCol w:w="211"/>
        <w:gridCol w:w="361"/>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37" w:name="i44e5eff0e208425f82aa98dd204234ff"/>
      <w:bookmarkEnd w:id="37"/>
      <w:r>
        <w:rPr>
          <w:rFonts w:ascii="Times New Roman;serif" w:hAnsi="Times New Roman;serif"/>
          <w:b/>
          <w:color w:val="000000"/>
          <w:sz w:val="20"/>
        </w:rPr>
        <w:t>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discussion on related party transactions with Viper, see Note 4—</w:t>
      </w:r>
      <w:hyperlink w:anchor="i64226f89bc01470fb2c113ff5ce9a825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- 2025 Drop Down.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38" w:name="ibe63e7124d7a4f91961c4542a1b0c661"/>
      <w:bookmarkEnd w:id="38"/>
      <w:r>
        <w:rPr>
          <w:rFonts w:ascii="Times New Roman;serif" w:hAnsi="Times New Roman;serif"/>
          <w:b/>
          <w:i/>
          <w:color w:val="000000"/>
          <w:sz w:val="20"/>
        </w:rPr>
        <w:t>SGF Common Stock Repurchases and Secondary Offering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2024, the Company completed the acquisition of 100% of the equity interests of Endeavor Parent, LLC (“Endeavor”) (the “Endeavor Acquisition”). As partial consideration for the Endeavor Acquisition, the Company issued 117.27 million shares, or 39.8% of its then-outstanding common stock to the former owners of Endeavor (the “Endeavor equityholders”), the majority of which are currently held by SGF FANG Holdings, LP (“SGF”). Additionally, pursuant to a stockholders agreement executed with the Endeavor equityholders, the Endeavor equityholders have the right to propose for nomination between one and four directors for election to the Company’s board of directors as long as certain established ownership thresholds are maintained. As a result, SGF is considered a related party of the Company under ASC Topic 850 “Related Party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November 28, 2025, the Company entered into a letter agreement with SGF, which provides SGF with the right, but not the obligation, to sell up to 3.0 million shares of the Company’s common stock to the Company per quarter through December 31, 2026 at the most recent Nasdaq closing price of such transaction, pursuant to the letter agreement. During the three months ended March 31, 2026, the Company repurchased 3.0 million shares from SGF for approximately $509 million, excluding excise taxes. Repurchases under the letter agreement are pursuant to the Company’s existing share repurchase program, and have been approved by the audit committee of the Company’s board of directors. For details on the Company’s existing share repurchase program, see Note 9—</w:t>
      </w:r>
      <w:hyperlink w:anchor="i64226f89bc01470fb2c113ff5ce9a825_73">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2026, SGF completed a secondary public offering with Evercore Group L.L.C., Citigroup Global Markets Inc., and J.P. Morgan Securities LLC, as representatives of the several underwriters named therein (the “SGF Underwriters”), providing for the sale of 12.65 million shares of the Company’s common stock to the SGF Underwriters at $170.18875 per share.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Giving effect to the repurchases and secondary offering discussed above, as of March 31, 2026, the Endeavor equityholders held approximately 30.2% of the Company’s 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39" w:name="i517f3534a9794d1386f24e7cf1f2443a"/>
      <w:bookmarkEnd w:id="39"/>
      <w:r>
        <w:rPr>
          <w:rFonts w:ascii="Times New Roman;serif" w:hAnsi="Times New Roman;serif"/>
          <w:b/>
          <w:color w:val="000000"/>
          <w:sz w:val="20"/>
        </w:rPr>
        <w:t>8.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8853" w:type="dxa"/>
        <w:jc w:val="left"/>
        <w:tblInd w:w="0" w:type="dxa"/>
        <w:tblLayout w:type="fixed"/>
        <w:tblCellMar>
          <w:top w:w="28" w:type="dxa"/>
          <w:left w:w="28" w:type="dxa"/>
          <w:bottom w:w="28" w:type="dxa"/>
          <w:right w:w="28" w:type="dxa"/>
        </w:tblCellMar>
      </w:tblPr>
      <w:tblGrid>
        <w:gridCol w:w="2282"/>
        <w:gridCol w:w="2005"/>
        <w:gridCol w:w="2013"/>
        <w:gridCol w:w="211"/>
        <w:gridCol w:w="721"/>
        <w:gridCol w:w="109"/>
        <w:gridCol w:w="109"/>
        <w:gridCol w:w="109"/>
        <w:gridCol w:w="109"/>
        <w:gridCol w:w="230"/>
        <w:gridCol w:w="787"/>
        <w:gridCol w:w="168"/>
      </w:tblGrid>
      <w:tr>
        <w:trPr/>
        <w:tc>
          <w:tcPr>
            <w:tcW w:w="2282"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3.250% Senior Notes due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5.200% Senior Notes due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7.125% Medium-term Notes, Series B,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3.125%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5.400% Senior Notes due 2034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5.550% Senior Notes due 2035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4.400% Senior Notes due 2051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4.250% Senior Notes due 2052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2053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5.750% Senior Notes due 2054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5.900% Senior Notes due 2064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basis adjustment of dedesignated interest rate swap agreements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4.900%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5.700% Senior Notes due 2035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2025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in this section to the Company shall mean Diamondback Energy, Inc. and Diamondback E&amp;P, collectively, unless otherwise specified.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40" w:name="id0a83c5e5fbe4b5ab6f48be854dae6a8"/>
      <w:bookmarkEnd w:id="40"/>
      <w:r>
        <w:rPr>
          <w:rFonts w:ascii="Times New Roman;serif" w:hAnsi="Times New Roman;serif"/>
          <w:b/>
          <w:color w:val="000000"/>
          <w:sz w:val="20"/>
        </w:rPr>
        <w:t>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 as borrower, and Diamondback Energy, Inc., as parent guarantor, have a credit agreement (as amended, the “Credit Agreement”), which provides the Company with a credit facility with a maximum credit amount of $2.5 billion and a maturity date of June 12, 2030 (such facility, the “Revolving Credit Facility”). As of March 31, 2026, the Company had no outstanding borrowings under the Revolving Credit Facility and approximately $2.5 billion available for future borrowings. During the three months ended March 31, 2026 and March 31, 2025, the weighted average interest rate on borrowings under the Revolving Credit Facility was 5.00% and 5.92%,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was in compliance with all financial maintenance covenants under the Credit Agreement.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41" w:name="i394347289ff148649eb7f0f29c811e29"/>
      <w:bookmarkEnd w:id="41"/>
      <w:r>
        <w:rPr>
          <w:rFonts w:ascii="Times New Roman;serif" w:hAnsi="Times New Roman;serif"/>
          <w:b/>
          <w:color w:val="000000"/>
          <w:sz w:val="20"/>
        </w:rPr>
        <w:t>Viper’s Revolving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Former Viper, as guarantor, has a credit agreement with Viper LLC, as borrower, and Wells Fargo, as the administrative agent (as amended, the “Viper Revolving Credit Agreement”). The Viper Revolving Credit Agreement provides the borrower with a senior unsecured revolving credit facility with a commitment of $1.5 billion and a maturity date of June 12, 2030 (such facility, the “Viper Revolving Credit Facility”). As of March 31, 2026, there were $20 million in outstanding borrowings and approximately $1.48 billion available for future borrowings under the Viper Revolving Credit Facility. The weighted average interest rates on borrowings under Viper LLC’s respective revolving credit facilities were 5.19% and 6.57% for the three months ended March 31, 2026 and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Viper LLC was in compliance with all financial maintenance covenants under the Viper Revolving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42" w:name="i850b0284ae3545db90f05621932f4ff0"/>
      <w:bookmarkEnd w:id="42"/>
      <w:r>
        <w:rPr>
          <w:rFonts w:ascii="Times New Roman;serif" w:hAnsi="Times New Roman;serif"/>
          <w:b/>
          <w:color w:val="000000"/>
          <w:sz w:val="20"/>
        </w:rPr>
        <w:t>Term Loan Agreements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43" w:name="i09691a933b1d4608beb0d97fbefde283"/>
      <w:bookmarkEnd w:id="43"/>
      <w:r>
        <w:rPr>
          <w:rFonts w:ascii="Times New Roman;serif" w:hAnsi="Times New Roman;serif"/>
          <w:b/>
          <w:i/>
          <w:color w:val="000000"/>
          <w:sz w:val="20"/>
        </w:rPr>
        <w:t>Diamondback Term Loan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Double Eagle Acquisition, Diamondback Energy, Inc., as guarantor, entered into a term loan credit agreement with Diamondback E&amp;P, as borrower, and Bank of America, N.A., as administrative agent (the “2025 Term Loan”) on March 21,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Term Loan provided the Company with the ability to borrow up to $1.5 billion on an unsecured basis to fund a portion of the cash consideration and expenses for the Double Eagle Acquisition. On April 1, 2025, the date of closing of the Double Eagle Acquisition, the 2025 Term Loan was fully drawn in a single borrowing. Any then-outstanding amounts will mature and be payable in full on the second anniversary of the initial funding date. During the three months ended March 31, 2026, the weighted average interest rate on borrowings under the 2025 Term Loan was 5.03%.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bookmarkStart w:id="44" w:name="if9d2956b9ed448f28891de00a93034df"/>
      <w:bookmarkEnd w:id="44"/>
      <w:r>
        <w:rPr>
          <w:rFonts w:ascii="Times New Roman;serif" w:hAnsi="Times New Roman;serif"/>
          <w:b/>
          <w:i/>
          <w:color w:val="000000"/>
          <w:sz w:val="20"/>
        </w:rPr>
        <w:t>Viper Term Loan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in connection with the Sitio Acquisition, Former Viper, as guarantor, entered into a $500 million term loan credit agreement with Viper LLC, as borrower, and Goldman Sachs Bank USA, as administrative agent (the “Viper 2025 Term Loan”). On August 19, 2025, the Viper 2025 Term Loan was fully drawn and New Viper became a co-guarantor of the Viper 2025 Term Loan. On February 13, 2026, Viper used the cash proceeds received from the Viper Non-Permian Divestiture to repay in full the $500 million remaining outstanding and terminate the Viper 2025 Term Loan.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5" w:name="id67938bbc57048f083eadef7720623e0"/>
      <w:bookmarkEnd w:id="45"/>
      <w:r>
        <w:rPr>
          <w:rFonts w:ascii="Times New Roman;serif" w:hAnsi="Times New Roman;serif"/>
          <w:b/>
          <w:color w:val="000000"/>
          <w:sz w:val="20"/>
        </w:rPr>
        <w:t>9.    STOCKHOLDERS’ EQUITY AND EARNINGS (LOSS)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6" w:name="i7269d6f73b97493fbe99a618fb4fe1e7"/>
      <w:bookmarkEnd w:id="46"/>
      <w:r>
        <w:rPr>
          <w:rFonts w:ascii="Times New Roman;serif" w:hAnsi="Times New Roman;serif"/>
          <w:b/>
          <w:color w:val="000000"/>
          <w:sz w:val="20"/>
        </w:rPr>
        <w:t>Common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board of directors has approved a common stock repurchase program to acquire up to $8.0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March 31, 2026, and 2025, the Company repurchased approximately $548 million of common stock, which includes approximately $509 million for the repurchases from SGF, and $575 million of common stock under the repurchase program, respectively, in each case excluding excise tax. For further discussion on the repurchases from SGF, see Note 7—</w:t>
      </w:r>
      <w:hyperlink w:anchor="i64226f89bc01470fb2c113ff5ce9a825_67">
        <w:r>
          <w:rPr>
            <w:rStyle w:val="InternetLink"/>
            <w:rFonts w:ascii="Times New Roman;serif" w:hAnsi="Times New Roman;serif"/>
            <w:b w:val="false"/>
            <w:color w:val="0000FF"/>
            <w:sz w:val="20"/>
            <w:u w:val="single"/>
          </w:rPr>
          <w:t>Related Party Transactions</w:t>
        </w:r>
      </w:hyperlink>
      <w:r>
        <w:rPr>
          <w:rFonts w:ascii="Times New Roman;serif" w:hAnsi="Times New Roman;serif"/>
          <w:b w:val="false"/>
          <w:color w:val="000000"/>
          <w:sz w:val="20"/>
        </w:rPr>
        <w:t>. As of March 31, 2026, approximately $2.1 billion remained available for future repurchases under the Company’s common stock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7" w:name="i1a8f9553c8cc4612b94726bd740aadff"/>
      <w:bookmarkEnd w:id="47"/>
      <w:r>
        <w:rPr>
          <w:rFonts w:ascii="Times New Roman;serif" w:hAnsi="Times New Roman;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Non-controlling interests in the accompanying condensed consolidated financial statements represent ownership interests in Viper, which are held by parties other than the Company and are presented as a component of equity. When the Company’s relative ownership interests in Viper change, adjustments to non-controlling interest and additional paid-in-capital, tax effected, will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changes in the ownership interest in consolidated subsidiaries during the respective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29"/>
        <w:gridCol w:w="2059"/>
        <w:gridCol w:w="2075"/>
        <w:gridCol w:w="109"/>
        <w:gridCol w:w="109"/>
        <w:gridCol w:w="218"/>
        <w:gridCol w:w="218"/>
        <w:gridCol w:w="423"/>
        <w:gridCol w:w="935"/>
        <w:gridCol w:w="218"/>
        <w:gridCol w:w="109"/>
        <w:gridCol w:w="109"/>
        <w:gridCol w:w="109"/>
        <w:gridCol w:w="211"/>
        <w:gridCol w:w="616"/>
        <w:gridCol w:w="158"/>
      </w:tblGrid>
      <w:tr>
        <w:trPr/>
        <w:tc>
          <w:tcPr>
            <w:tcW w:w="252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Transfers (to) from the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additional paid-in-capital due to proceeds from the sale of Viper's common stock,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transfers (to) from the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the Company’s stockholders and transfers with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48" w:name="i9c8606985b6e42eb849e8c56966eee1f"/>
      <w:bookmarkEnd w:id="48"/>
      <w:r>
        <w:rPr>
          <w:rFonts w:ascii="Times New Roman;serif" w:hAnsi="Times New Roman;serif"/>
          <w:b/>
          <w:color w:val="000000"/>
          <w:sz w:val="20"/>
        </w:rPr>
        <w:t>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erif" w:hAnsi="Times New Roman;serif"/>
          <w:b w:val="false"/>
          <w:color w:val="000000"/>
          <w:sz w:val="20"/>
          <w:shd w:fill="FFFFFF" w:val="clear"/>
        </w:rPr>
        <w:t>respective periods</w:t>
      </w:r>
      <w:r>
        <w:rPr>
          <w:rFonts w:ascii="Times New Roman;serif" w:hAnsi="Times New Roman;serif"/>
          <w:b w:val="false"/>
          <w:color w:val="000000"/>
          <w:sz w:val="20"/>
        </w:rPr>
        <w:t>:</w:t>
      </w:r>
    </w:p>
    <w:p>
      <w:pPr>
        <w:pStyle w:val="TextBody"/>
        <w:bidi w:val="0"/>
        <w:spacing w:before="0" w:after="0"/>
        <w:ind w:left="0" w:right="0" w:firstLine="720"/>
        <w:jc w:val="both"/>
        <w:rPr/>
      </w:pPr>
      <w:r>
        <w:rPr/>
      </w:r>
    </w:p>
    <w:tbl>
      <w:tblPr>
        <w:tblW w:w="4677" w:type="dxa"/>
        <w:jc w:val="left"/>
        <w:tblInd w:w="0" w:type="dxa"/>
        <w:tblLayout w:type="fixed"/>
        <w:tblCellMar>
          <w:top w:w="28" w:type="dxa"/>
          <w:left w:w="28" w:type="dxa"/>
          <w:bottom w:w="28" w:type="dxa"/>
          <w:right w:w="28" w:type="dxa"/>
        </w:tblCellMar>
      </w:tblPr>
      <w:tblGrid>
        <w:gridCol w:w="394"/>
        <w:gridCol w:w="347"/>
        <w:gridCol w:w="353"/>
        <w:gridCol w:w="109"/>
        <w:gridCol w:w="109"/>
        <w:gridCol w:w="109"/>
        <w:gridCol w:w="109"/>
        <w:gridCol w:w="464"/>
        <w:gridCol w:w="1126"/>
        <w:gridCol w:w="239"/>
        <w:gridCol w:w="124"/>
        <w:gridCol w:w="124"/>
        <w:gridCol w:w="124"/>
        <w:gridCol w:w="240"/>
        <w:gridCol w:w="531"/>
        <w:gridCol w:w="175"/>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Dividend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9" w:name="i971d62b45a254b8a9e7ea815721454d0"/>
      <w:bookmarkEnd w:id="49"/>
      <w:r>
        <w:rPr>
          <w:rFonts w:ascii="Times New Roman;serif" w:hAnsi="Times New Roman;serif"/>
          <w:b/>
          <w:color w:val="000000"/>
          <w:sz w:val="20"/>
        </w:rPr>
        <w:t>Earnings (Loss)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shares outstanding for the period, if any. Additionally, the per share earnings of Viper are included in the consolidated earnings per share computation based on the consolidated group’s holdings of the subsidiaries.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components of basic and diluted earnings (loss) per common share is presented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90"/>
        <w:gridCol w:w="1659"/>
        <w:gridCol w:w="1666"/>
        <w:gridCol w:w="109"/>
        <w:gridCol w:w="109"/>
        <w:gridCol w:w="226"/>
        <w:gridCol w:w="226"/>
        <w:gridCol w:w="629"/>
        <w:gridCol w:w="1458"/>
        <w:gridCol w:w="310"/>
        <w:gridCol w:w="142"/>
        <w:gridCol w:w="142"/>
        <w:gridCol w:w="142"/>
        <w:gridCol w:w="277"/>
        <w:gridCol w:w="810"/>
        <w:gridCol w:w="210"/>
      </w:tblGrid>
      <w:tr>
        <w:trPr/>
        <w:tc>
          <w:tcPr>
            <w:tcW w:w="209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723" w:type="dxa"/>
            <w:gridSpan w:val="6"/>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distributed and undistributed earnings allocated to participating securities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282,792 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289,612 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potential common shares issuable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282,792 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289,612 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Unvested restricted stock units and performance-based restricted stock unit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0" w:name="i752b120a51d145418184a9f00ee350df"/>
      <w:bookmarkEnd w:id="50"/>
      <w:r>
        <w:rPr>
          <w:rFonts w:ascii="Times New Roman;serif" w:hAnsi="Times New Roman;serif"/>
          <w:b/>
          <w:color w:val="000000"/>
          <w:sz w:val="20"/>
        </w:rPr>
        <w:t>10.    EQUITY-BASED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March 31, 2026, approximately 3.0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financial statement impacts of equity compensation plans and related costs on the Company’s financial statements: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497"/>
        <w:gridCol w:w="2193"/>
        <w:gridCol w:w="2198"/>
        <w:gridCol w:w="109"/>
        <w:gridCol w:w="109"/>
        <w:gridCol w:w="247"/>
        <w:gridCol w:w="247"/>
        <w:gridCol w:w="479"/>
        <w:gridCol w:w="821"/>
        <w:gridCol w:w="247"/>
        <w:gridCol w:w="109"/>
        <w:gridCol w:w="109"/>
        <w:gridCol w:w="109"/>
        <w:gridCol w:w="211"/>
        <w:gridCol w:w="361"/>
        <w:gridCol w:w="159"/>
      </w:tblGrid>
      <w:tr>
        <w:trPr/>
        <w:tc>
          <w:tcPr>
            <w:tcW w:w="249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58" w:type="dxa"/>
            <w:gridSpan w:val="6"/>
            <w:tcBorders/>
          </w:tcPr>
          <w:p>
            <w:pPr>
              <w:pStyle w:val="TableContents"/>
              <w:bidi w:val="0"/>
              <w:spacing w:before="0" w:after="283"/>
              <w:jc w:val="left"/>
              <w:rPr>
                <w:sz w:val="4"/>
                <w:szCs w:val="4"/>
              </w:rPr>
            </w:pPr>
            <w:r>
              <w:rPr>
                <w:sz w:val="4"/>
                <w:szCs w:val="4"/>
              </w:rPr>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capitalized pursuant to full cost method of accounting for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51" w:name="i658caad4b1ee4c2485f9dced89f92a8c"/>
      <w:bookmarkEnd w:id="51"/>
      <w:r>
        <w:rPr>
          <w:rFonts w:ascii="Times New Roman;serif" w:hAnsi="Times New Roman;serif"/>
          <w:b/>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restricted stock unit activity during the three months ended March 31, 2026, under the Equity Plan:</w:t>
      </w:r>
    </w:p>
    <w:p>
      <w:pPr>
        <w:pStyle w:val="TextBody"/>
        <w:bidi w:val="0"/>
        <w:spacing w:before="0" w:after="0"/>
        <w:ind w:left="0" w:right="0" w:firstLine="720"/>
        <w:jc w:val="both"/>
        <w:rPr/>
      </w:pPr>
      <w:r>
        <w:rPr/>
      </w:r>
    </w:p>
    <w:tbl>
      <w:tblPr>
        <w:tblW w:w="6952" w:type="dxa"/>
        <w:jc w:val="left"/>
        <w:tblInd w:w="0" w:type="dxa"/>
        <w:tblLayout w:type="fixed"/>
        <w:tblCellMar>
          <w:top w:w="28" w:type="dxa"/>
          <w:left w:w="28" w:type="dxa"/>
          <w:bottom w:w="28" w:type="dxa"/>
          <w:right w:w="28" w:type="dxa"/>
        </w:tblCellMar>
      </w:tblPr>
      <w:tblGrid>
        <w:gridCol w:w="978"/>
        <w:gridCol w:w="860"/>
        <w:gridCol w:w="862"/>
        <w:gridCol w:w="526"/>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890,062 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153.87 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535,716 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177.83 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(118,272)</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(14,398)</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1,293,108 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162.59 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grant date fair value of restricted stock units that vested during the three months ended March 31, 2026, was $20 million. As of March 31, 2026, the Company’s unrecognized compensation cost related to unvested restricted stock units was $179 million, which is expected to be recognized over a weighted-average period of 2.4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52" w:name="if05abbbf2aae4564b137c69abbc265eb"/>
      <w:bookmarkEnd w:id="52"/>
      <w:r>
        <w:rPr>
          <w:rFonts w:ascii="Times New Roman;serif" w:hAnsi="Times New Roman;serif"/>
          <w:b/>
          <w:color w:val="000000"/>
          <w:sz w:val="20"/>
        </w:rPr>
        <w:t>Performance-Based 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performance-based restricted stock units activity under the Equity Plan for the three months ended March 31, 2026:</w:t>
      </w:r>
    </w:p>
    <w:p>
      <w:pPr>
        <w:pStyle w:val="TextBody"/>
        <w:bidi w:val="0"/>
        <w:spacing w:before="0" w:after="0"/>
        <w:ind w:left="0" w:right="0" w:firstLine="720"/>
        <w:jc w:val="both"/>
        <w:rPr/>
      </w:pPr>
      <w:r>
        <w:rPr/>
      </w:r>
    </w:p>
    <w:tbl>
      <w:tblPr>
        <w:tblW w:w="9746" w:type="dxa"/>
        <w:jc w:val="left"/>
        <w:tblInd w:w="0" w:type="dxa"/>
        <w:tblLayout w:type="fixed"/>
        <w:tblCellMar>
          <w:top w:w="28" w:type="dxa"/>
          <w:left w:w="28" w:type="dxa"/>
          <w:bottom w:w="28" w:type="dxa"/>
          <w:right w:w="28" w:type="dxa"/>
        </w:tblCellMar>
      </w:tblPr>
      <w:tblGrid>
        <w:gridCol w:w="978"/>
        <w:gridCol w:w="860"/>
        <w:gridCol w:w="862"/>
        <w:gridCol w:w="1124"/>
        <w:gridCol w:w="1124"/>
        <w:gridCol w:w="1126"/>
        <w:gridCol w:w="109"/>
        <w:gridCol w:w="109"/>
        <w:gridCol w:w="109"/>
        <w:gridCol w:w="650"/>
        <w:gridCol w:w="2221"/>
        <w:gridCol w:w="47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2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327,931 </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170,279 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235.63 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(16,072)</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(2,426)</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at March 31, 2026</w:t>
            </w:r>
            <w:r>
              <w:rPr>
                <w:rFonts w:ascii="Times New Roman;serif" w:hAnsi="Times New Roman;serif"/>
                <w:b w:val="false"/>
                <w:color w:val="000000"/>
                <w:sz w:val="13"/>
              </w:rPr>
              <w:t>(1)</w:t>
            </w:r>
          </w:p>
        </w:tc>
        <w:tc>
          <w:tcPr>
            <w:tcW w:w="22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479,712 </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 maximum of 1,172,580 units could be awarded based upon the Company’s final TSR ranking.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unrecognized compensation cost related to unvested performance-based restricted stock units was $74 million, which is expected to be recognized over a weighted-average period of 1.9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2026, eligible employees received performance-based restricted stock unit awards totaling 170,279 units from which a minimum of 0% and a maximum of 200% of the units could be awarded based upon the measurement of TSR of the Company’s common stock as compared to a designated peer group during the three-year performance period of January 1, 2026, to December 31, 2028, and cliff vest at December 31, 2028, subject to continued employment. The initial payout of the March 2026 awards will be further adjusted by a TSR modifier that may reduce the payout or increase the payout up to a maximum of 250%.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performance-based restricted stock unit issuance is estimated at the date of grant using a Monte Carlo simulation, which results in an expected percentage of units to be earned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grant-date fair values of performance-based restricted stock units granted and the related assumptions for the awards granted during the periods presented:</w:t>
      </w:r>
    </w:p>
    <w:p>
      <w:pPr>
        <w:pStyle w:val="TextBody"/>
        <w:bidi w:val="0"/>
        <w:spacing w:before="0" w:after="0"/>
        <w:ind w:left="0" w:right="0" w:firstLine="720"/>
        <w:jc w:val="both"/>
        <w:rPr/>
      </w:pPr>
      <w:r>
        <w:rPr/>
      </w:r>
    </w:p>
    <w:tbl>
      <w:tblPr>
        <w:tblW w:w="3250" w:type="dxa"/>
        <w:jc w:val="left"/>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March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3" w:name="i5ee174820d9243ef8fd7cd1ac3437af8"/>
      <w:bookmarkEnd w:id="53"/>
      <w:r>
        <w:rPr>
          <w:rFonts w:ascii="Times New Roman;serif" w:hAnsi="Times New Roman;serif"/>
          <w:b/>
          <w:color w:val="000000"/>
          <w:sz w:val="20"/>
        </w:rPr>
        <w:t>11.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7553" w:type="dxa"/>
        <w:jc w:val="left"/>
        <w:tblInd w:w="0" w:type="dxa"/>
        <w:tblLayout w:type="fixed"/>
        <w:tblCellMar>
          <w:top w:w="28" w:type="dxa"/>
          <w:left w:w="28" w:type="dxa"/>
          <w:bottom w:w="28" w:type="dxa"/>
          <w:right w:w="28" w:type="dxa"/>
        </w:tblCellMar>
      </w:tblPr>
      <w:tblGrid>
        <w:gridCol w:w="1243"/>
        <w:gridCol w:w="1094"/>
        <w:gridCol w:w="1098"/>
        <w:gridCol w:w="109"/>
        <w:gridCol w:w="109"/>
        <w:gridCol w:w="265"/>
        <w:gridCol w:w="265"/>
        <w:gridCol w:w="513"/>
        <w:gridCol w:w="878"/>
        <w:gridCol w:w="659"/>
        <w:gridCol w:w="109"/>
        <w:gridCol w:w="109"/>
        <w:gridCol w:w="109"/>
        <w:gridCol w:w="211"/>
        <w:gridCol w:w="466"/>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20"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income tax expense from continuing operations for the three months ended March 31, 2026, differed from amounts computed by applying the U.S. federal statutory tax rate to pre-tax income primarily due to (i) state income taxes, net of federal benefit, (ii) the effect of research and development tax credits, and (iii) other permanent differences between book and taxable income. For the three months ended March 31, 2025, total income tax expense from continuing operations differed from amounts computed by applying the U.S. federal statutory tax rate to pre-tax income primarily due to (i) state income taxes, net of federal benefit, (ii) the effect of research and development tax credits, (iii) limitations on the deduction of certain permanent items, and (iv) other permanent differences between book and taxable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Secondary Offering, the Company recognized an $88 million increase in income taxes payable and a $26 million decrease in its liability for deferred income taxes through additional paid-in capital, as well as a $61 million increase in Viper’s deferred tax asset through non-controlling interest on the Company’s condensed consolidated balance sheet as of March 31,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4" w:name="idd1f318e992644509083ebea47ceb17b"/>
      <w:bookmarkEnd w:id="54"/>
      <w:r>
        <w:rPr>
          <w:rFonts w:ascii="Times New Roman;serif" w:hAnsi="Times New Roman;serif"/>
          <w:b/>
          <w:color w:val="000000"/>
          <w:sz w:val="20"/>
        </w:rPr>
        <w:t>12.    DERIVATIVES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March 31, 2026, the Company only had commodity derivative contracts outstanding, which are recorded at fair value in the condensed consolidated balance sheet.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5" w:name="ief777c46037e4aad86c9b8468e119abf"/>
      <w:bookmarkEnd w:id="55"/>
      <w:r>
        <w:rPr>
          <w:rFonts w:ascii="Times New Roman;serif" w:hAnsi="Times New Roman;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66"/>
        <w:gridCol w:w="321"/>
        <w:gridCol w:w="322"/>
        <w:gridCol w:w="321"/>
        <w:gridCol w:w="321"/>
        <w:gridCol w:w="322"/>
        <w:gridCol w:w="406"/>
        <w:gridCol w:w="303"/>
        <w:gridCol w:w="304"/>
        <w:gridCol w:w="320"/>
        <w:gridCol w:w="297"/>
        <w:gridCol w:w="299"/>
        <w:gridCol w:w="314"/>
        <w:gridCol w:w="303"/>
        <w:gridCol w:w="308"/>
        <w:gridCol w:w="423"/>
        <w:gridCol w:w="423"/>
        <w:gridCol w:w="428"/>
        <w:gridCol w:w="109"/>
        <w:gridCol w:w="109"/>
        <w:gridCol w:w="109"/>
        <w:gridCol w:w="109"/>
        <w:gridCol w:w="423"/>
        <w:gridCol w:w="423"/>
        <w:gridCol w:w="424"/>
        <w:gridCol w:w="385"/>
        <w:gridCol w:w="385"/>
        <w:gridCol w:w="387"/>
        <w:gridCol w:w="359"/>
        <w:gridCol w:w="359"/>
        <w:gridCol w:w="523"/>
      </w:tblGrid>
      <w:tr>
        <w:trPr/>
        <w:tc>
          <w:tcPr>
            <w:tcW w:w="3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Swaps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Collars</w:t>
            </w:r>
          </w:p>
        </w:tc>
        <w:tc>
          <w:tcPr>
            <w:tcW w:w="1241" w:type="dxa"/>
            <w:gridSpan w:val="3"/>
            <w:tcBorders/>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Month</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Year</w:t>
            </w:r>
          </w:p>
        </w:tc>
        <w:tc>
          <w:tcPr>
            <w:tcW w:w="10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Type of Contract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Bbls/MMBtu Per Day</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Index</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Weighted Average Sub-Floor Price</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Floor Price</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Ceiling Price</w:t>
            </w:r>
          </w:p>
        </w:tc>
      </w:tr>
      <w:tr>
        <w:trPr/>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OIL</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45,000</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$0.92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Roll Swap</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135,055</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Dec.</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Three-Way Collar</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$155.00</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Dec.</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Three-Way Collar</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$121.20</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70,000</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$0.97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Roll Swap</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140,000</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$2.71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NATURAL GAS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Sep.</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650,000</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Dec.</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Two-Way Collar</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840,000</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$2.87</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$6.35</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Dec.</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HSC Hub</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$(0.35)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650,000</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Two-Way Collar</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720,000</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$2.88</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$6.37</w:t>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360,000</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280,000</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HSC Hub</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 has fixed price basis swaps for the spread between the Cushing crude oil price and the Midland WTI crude oil price as well as the spread between the Henry Hub natural gas price, the Waha Hub and the HSC Hub natural gas price. The weighted average differential represents the amount of reduction to the Cushing, Oklahoma oil price and the Waha Hub and HSC Hub natural gas price for the notional volumes covered by the basis swap contracts.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66"/>
        <w:gridCol w:w="409"/>
        <w:gridCol w:w="410"/>
        <w:gridCol w:w="392"/>
        <w:gridCol w:w="392"/>
        <w:gridCol w:w="394"/>
        <w:gridCol w:w="407"/>
        <w:gridCol w:w="407"/>
        <w:gridCol w:w="409"/>
        <w:gridCol w:w="349"/>
        <w:gridCol w:w="315"/>
        <w:gridCol w:w="301"/>
        <w:gridCol w:w="459"/>
        <w:gridCol w:w="459"/>
        <w:gridCol w:w="467"/>
        <w:gridCol w:w="314"/>
        <w:gridCol w:w="286"/>
        <w:gridCol w:w="288"/>
        <w:gridCol w:w="430"/>
        <w:gridCol w:w="430"/>
        <w:gridCol w:w="432"/>
        <w:gridCol w:w="297"/>
        <w:gridCol w:w="276"/>
        <w:gridCol w:w="278"/>
        <w:gridCol w:w="343"/>
        <w:gridCol w:w="322"/>
        <w:gridCol w:w="473"/>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Put Spread</w:t>
            </w:r>
          </w:p>
        </w:tc>
      </w:tr>
      <w:tr>
        <w:trPr/>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Month</w:t>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Year</w:t>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Type of Contract</w:t>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Bbls Per Day</w:t>
            </w:r>
          </w:p>
        </w:tc>
        <w:tc>
          <w:tcPr>
            <w:tcW w:w="1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Index</w:t>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Strike Price</w:t>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Deferred Premium</w:t>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Floor Price</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Short Put Price</w:t>
            </w:r>
          </w:p>
        </w:tc>
      </w:tr>
      <w:tr>
        <w:trPr/>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OIL</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37,000</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Brent</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$52.50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$1.70</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115,000</w:t>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$1.57</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190,000</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$51.64</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Basis 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115,000</w:t>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 Brent</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$(41.09)</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$1.16</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20,000</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Brent</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$52.50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85,000</w:t>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$1.42</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160,000</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$51.80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$1.29</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 Spread</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15,000</w:t>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Brent</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35,000</w:t>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$1.31</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120,000</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$1.29</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15,000</w:t>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$1.28</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35,000</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$1.39</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Put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10,000</w:t>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56" w:name="ib28c31d072e043c6bd09303eee865c38"/>
      <w:bookmarkEnd w:id="56"/>
      <w:r>
        <w:rPr>
          <w:rFonts w:ascii="Times New Roman;serif" w:hAnsi="Times New Roman;serif"/>
          <w:b/>
          <w:color w:val="000000"/>
          <w:sz w:val="20"/>
        </w:rPr>
        <w:t>Interest Rate Swaps and Treasury Locks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57" w:name="i395db762797347a789a9bbd665434b7c"/>
      <w:bookmarkEnd w:id="57"/>
      <w:r>
        <w:rPr>
          <w:rFonts w:ascii="Times New Roman;serif" w:hAnsi="Times New Roman;serif"/>
          <w:b/>
          <w:i/>
          <w:color w:val="000000"/>
          <w:sz w:val="20"/>
        </w:rPr>
        <w:t>Interest Rate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two receive-fixed, pay-variable interest rate swap agreements for notional amounts of $150 million each, which were considered economic hedges of the Company’s 3.500% fixed rate senior notes due 2029. During the three months ended March 31, 2026, the Company fully terminated and settled the remaining aggregate $300 million notional amount of interest rate swaps for cash payments of approximately $27 million. The loss on the termination of interest rate swaps is recognized in the caption “Gain (loss) on derivative instruments, net” on the condensed consolidated statement of operations for the three months ended March 31,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8" w:name="if7a23fcaa50748f1b3812d1c5dda6d04"/>
      <w:bookmarkEnd w:id="58"/>
      <w:r>
        <w:rPr>
          <w:rFonts w:ascii="Times New Roman;serif" w:hAnsi="Times New Roman;serif"/>
          <w:b/>
          <w:color w:val="000000"/>
          <w:sz w:val="20"/>
        </w:rPr>
        <w:t>Balance Sheet Offsetting of Derivative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13—</w:t>
      </w:r>
      <w:hyperlink w:anchor="i64226f89bc01470fb2c113ff5ce9a825_85">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9" w:name="i5bfe63c868ce408ca2a13a673ee85d70"/>
      <w:bookmarkEnd w:id="59"/>
      <w:r>
        <w:rPr>
          <w:rFonts w:ascii="Times New Roman;serif" w:hAnsi="Times New Roman;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included in the condensed consolidated statements of operations:</w:t>
      </w:r>
    </w:p>
    <w:p>
      <w:pPr>
        <w:pStyle w:val="TextBody"/>
        <w:bidi w:val="0"/>
        <w:spacing w:before="0" w:after="0"/>
        <w:ind w:left="0" w:right="0" w:firstLine="720"/>
        <w:jc w:val="both"/>
        <w:rPr/>
      </w:pPr>
      <w:r>
        <w:rPr/>
      </w:r>
    </w:p>
    <w:tbl>
      <w:tblPr>
        <w:tblW w:w="7464" w:type="dxa"/>
        <w:jc w:val="left"/>
        <w:tblInd w:w="0" w:type="dxa"/>
        <w:tblLayout w:type="fixed"/>
        <w:tblCellMar>
          <w:top w:w="28" w:type="dxa"/>
          <w:left w:w="28" w:type="dxa"/>
          <w:bottom w:w="28" w:type="dxa"/>
          <w:right w:w="28" w:type="dxa"/>
        </w:tblCellMar>
      </w:tblPr>
      <w:tblGrid>
        <w:gridCol w:w="1270"/>
        <w:gridCol w:w="1118"/>
        <w:gridCol w:w="1121"/>
        <w:gridCol w:w="109"/>
        <w:gridCol w:w="109"/>
        <w:gridCol w:w="280"/>
        <w:gridCol w:w="280"/>
        <w:gridCol w:w="542"/>
        <w:gridCol w:w="1197"/>
        <w:gridCol w:w="280"/>
        <w:gridCol w:w="109"/>
        <w:gridCol w:w="109"/>
        <w:gridCol w:w="109"/>
        <w:gridCol w:w="211"/>
        <w:gridCol w:w="46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(paid) on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60" w:name="ib8b69545db1f412da108471ff65dd2ff"/>
      <w:bookmarkEnd w:id="60"/>
      <w:r>
        <w:rPr>
          <w:rFonts w:ascii="Times New Roman;serif" w:hAnsi="Times New Roman;serif"/>
          <w:b/>
          <w:color w:val="000000"/>
          <w:sz w:val="20"/>
        </w:rPr>
        <w:t>13.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1" w:name="i9dafc44be564471087efbd6044e7046b"/>
      <w:bookmarkEnd w:id="61"/>
      <w:r>
        <w:rPr>
          <w:rFonts w:ascii="Times New Roman;serif" w:hAnsi="Times New Roman;serif"/>
          <w:b/>
          <w:color w:val="000000"/>
          <w:sz w:val="20"/>
        </w:rPr>
        <w:t>Assets and Liabilities Measured at Fair Value on a 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discussed in </w:t>
      </w:r>
      <w:r>
        <w:fldChar w:fldCharType="begin"/>
      </w:r>
      <w:r>
        <w:rPr>
          <w:rStyle w:val="InternetLink"/>
        </w:rPr>
        <w:instrText xml:space="preserve"> HYPERLINK "https://www.sec.gov/ix?doc=/Archives/edgar/data/1539838/000153983826000010/fang-20251231.htm" \l "i27ba2a247b584e1aae74c0210baff60c_190"</w:instrText>
      </w:r>
      <w:r>
        <w:rPr>
          <w:rStyle w:val="InternetLink"/>
        </w:rPr>
        <w:fldChar w:fldCharType="separate"/>
      </w:r>
      <w:r>
        <w:rPr>
          <w:rStyle w:val="InternetLink"/>
        </w:rPr>
        <w:t>Note 1</w:t>
      </w:r>
      <w:r>
        <w:rPr>
          <w:rStyle w:val="InternetLink"/>
        </w:rPr>
        <w:fldChar w:fldCharType="end"/>
      </w:r>
      <w:r>
        <w:fldChar w:fldCharType="begin"/>
      </w:r>
      <w:r>
        <w:rPr>
          <w:rStyle w:val="InternetLink"/>
        </w:rPr>
        <w:instrText xml:space="preserve"> HYPERLINK "https://www.sec.gov/ix?doc=/Archives/edgar/data/1539838/000153983826000010/fang-20251231.htm" \l "i27ba2a247b584e1aae74c0210baff60c_190"</w:instrText>
      </w:r>
      <w:r>
        <w:rPr>
          <w:rStyle w:val="InternetLink"/>
        </w:rPr>
        <w:fldChar w:fldCharType="separate"/>
      </w:r>
      <w:r>
        <w:rPr>
          <w:rStyle w:val="InternetLink"/>
        </w:rPr>
        <w:t>3</w:t>
      </w:r>
      <w:r>
        <w:rPr>
          <w:rStyle w:val="InternetLink"/>
        </w:rPr>
        <w:fldChar w:fldCharType="end"/>
      </w:r>
      <w:r>
        <w:fldChar w:fldCharType="begin"/>
      </w:r>
      <w:r>
        <w:rPr>
          <w:rStyle w:val="InternetLink"/>
        </w:rPr>
        <w:instrText xml:space="preserve"> HYPERLINK "https://www.sec.gov/ix?doc=/Archives/edgar/data/1539838/000153983826000010/fang-20251231.htm" \l "i27ba2a247b584e1aae74c0210baff60c_190"</w:instrText>
      </w:r>
      <w:r>
        <w:rPr>
          <w:rStyle w:val="InternetLink"/>
        </w:rPr>
        <w:fldChar w:fldCharType="separate"/>
      </w:r>
      <w:r>
        <w:rPr>
          <w:rStyle w:val="InternetLink"/>
        </w:rPr>
        <w:t>—Fair Value Measurements in the Company’s Annual Report on Form 10-K</w:t>
      </w:r>
      <w:r>
        <w:rPr>
          <w:rStyle w:val="InternetLink"/>
        </w:rPr>
        <w:fldChar w:fldCharType="end"/>
      </w:r>
      <w:r>
        <w:rPr>
          <w:color w:val="000000"/>
        </w:rPr>
        <w:t xml:space="preserve"> </w:t>
      </w:r>
      <w:r>
        <w:rPr>
          <w:rFonts w:ascii="Times New Roman;serif" w:hAnsi="Times New Roman;serif"/>
          <w:b w:val="false"/>
          <w:color w:val="000000"/>
          <w:sz w:val="20"/>
        </w:rPr>
        <w:t>for the year ended December 31, 2025, certain financial instruments of the Company are reported at fair value on the Company’s condensed consolidated balance sheets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net amounts of derivative instruments are classified as current or noncurrent based on their anticipated settlement dates. The Company has an immaterial investment in the Class A common stock of Verde Clean Fuels, Inc., which is reported at fair value using observable, quoted stock prices and is included in “Other assets” on the Company’s condensed consolidated balance sheets at March 31, 2026, and December 31,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LLC completed multiple acquisitions during 2024 with Tumbleweed Royalty IV, LLC, TWR IV SellCo Parent, LLC, Tumbleweed-Q Royalties, LLC, MC TWR Royalties, LP and MC TWR Intermediate, LLC. The terms of these acquisitions included provisions for contingent cash consideration based on the average price of WTI sweet crude oil prompt month futures contracts for the calendar year 2025 (the “2026 WTI Contingent Liability”), which resulted in an aggregate payment of $20 million in January 2026. The 2026 WTI Contingent Liability was reported at fair value using observable market data inputs and a Monte Carlo pricing model, which are considered Level 2 inputs within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following table provides the fair value of financial instruments that are recorded at fair value in the condensed consolidated balance sheets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 and December 31,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10"/>
        <w:gridCol w:w="781"/>
        <w:gridCol w:w="789"/>
        <w:gridCol w:w="211"/>
        <w:gridCol w:w="406"/>
        <w:gridCol w:w="109"/>
        <w:gridCol w:w="211"/>
        <w:gridCol w:w="466"/>
        <w:gridCol w:w="109"/>
        <w:gridCol w:w="211"/>
        <w:gridCol w:w="406"/>
        <w:gridCol w:w="109"/>
        <w:gridCol w:w="352"/>
        <w:gridCol w:w="778"/>
        <w:gridCol w:w="182"/>
        <w:gridCol w:w="484"/>
        <w:gridCol w:w="1223"/>
        <w:gridCol w:w="250"/>
        <w:gridCol w:w="535"/>
        <w:gridCol w:w="1185"/>
        <w:gridCol w:w="398"/>
      </w:tblGrid>
      <w:tr>
        <w:trPr/>
        <w:tc>
          <w:tcPr>
            <w:tcW w:w="101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3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1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2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 Prepaid expenses and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(238)</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27"/>
        <w:gridCol w:w="716"/>
        <w:gridCol w:w="723"/>
        <w:gridCol w:w="211"/>
        <w:gridCol w:w="406"/>
        <w:gridCol w:w="109"/>
        <w:gridCol w:w="211"/>
        <w:gridCol w:w="466"/>
        <w:gridCol w:w="109"/>
        <w:gridCol w:w="211"/>
        <w:gridCol w:w="406"/>
        <w:gridCol w:w="109"/>
        <w:gridCol w:w="362"/>
        <w:gridCol w:w="801"/>
        <w:gridCol w:w="187"/>
        <w:gridCol w:w="504"/>
        <w:gridCol w:w="1277"/>
        <w:gridCol w:w="260"/>
        <w:gridCol w:w="557"/>
        <w:gridCol w:w="1235"/>
        <w:gridCol w:w="418"/>
      </w:tblGrid>
      <w:tr>
        <w:trPr/>
        <w:tc>
          <w:tcPr>
            <w:tcW w:w="92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3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2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2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2026 WTI Contingent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62" w:name="i5633d76a8b8c47f7bd64c8565ec6cc81"/>
      <w:bookmarkEnd w:id="62"/>
      <w:r>
        <w:rPr>
          <w:rFonts w:ascii="Times New Roman;serif" w:hAnsi="Times New Roman;serif"/>
          <w:b/>
          <w:color w:val="000000"/>
          <w:sz w:val="20"/>
        </w:rPr>
        <w:t>Assets and Liabilities Not Recorded at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6227" w:type="dxa"/>
        <w:jc w:val="left"/>
        <w:tblInd w:w="0" w:type="dxa"/>
        <w:tblLayout w:type="fixed"/>
        <w:tblCellMar>
          <w:top w:w="28" w:type="dxa"/>
          <w:left w:w="28" w:type="dxa"/>
          <w:bottom w:w="28" w:type="dxa"/>
          <w:right w:w="28" w:type="dxa"/>
        </w:tblCellMar>
      </w:tblPr>
      <w:tblGrid>
        <w:gridCol w:w="185"/>
        <w:gridCol w:w="162"/>
        <w:gridCol w:w="164"/>
        <w:gridCol w:w="264"/>
        <w:gridCol w:w="904"/>
        <w:gridCol w:w="136"/>
        <w:gridCol w:w="109"/>
        <w:gridCol w:w="109"/>
        <w:gridCol w:w="109"/>
        <w:gridCol w:w="211"/>
        <w:gridCol w:w="721"/>
        <w:gridCol w:w="109"/>
        <w:gridCol w:w="109"/>
        <w:gridCol w:w="109"/>
        <w:gridCol w:w="109"/>
        <w:gridCol w:w="264"/>
        <w:gridCol w:w="904"/>
        <w:gridCol w:w="136"/>
        <w:gridCol w:w="109"/>
        <w:gridCol w:w="109"/>
        <w:gridCol w:w="109"/>
        <w:gridCol w:w="211"/>
        <w:gridCol w:w="72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borrowings under the Revolving Credit Facility, the Viper Revolving Credit Facility, the 2025 Term Loan and Viper 2025 Term Loan (prior to repayment and termination)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3" w:name="i2ba31c807ee44febafafbd948c743c6b"/>
      <w:bookmarkEnd w:id="63"/>
      <w:r>
        <w:rPr>
          <w:rFonts w:ascii="Times New Roman;serif" w:hAnsi="Times New Roman;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natural gas properties, equity method investments, asset retirement obligations and other long-lived assets that are written down to fair value when impaired or held for sale. Refer to Note 4—</w:t>
      </w:r>
      <w:hyperlink w:anchor="i64226f89bc01470fb2c113ff5ce9a825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and Note 5—</w:t>
      </w:r>
      <w:hyperlink w:anchor="i64226f89bc01470fb2c113ff5ce9a825_61">
        <w:r>
          <w:rPr>
            <w:rStyle w:val="InternetLink"/>
            <w:rFonts w:ascii="Times New Roman;serif" w:hAnsi="Times New Roman;serif"/>
            <w:b w:val="false"/>
            <w:color w:val="0000FF"/>
            <w:sz w:val="20"/>
            <w:u w:val="single"/>
          </w:rPr>
          <w:t>Property and Equipment</w:t>
        </w:r>
      </w:hyperlink>
      <w:r>
        <w:rPr>
          <w:color w:val="000000"/>
        </w:rPr>
        <w:t xml:space="preserve"> </w:t>
      </w:r>
      <w:r>
        <w:rPr>
          <w:rFonts w:ascii="Times New Roman;serif" w:hAnsi="Times New Roman;serif"/>
          <w:b w:val="false"/>
          <w:color w:val="000000"/>
          <w:sz w:val="20"/>
        </w:rPr>
        <w:t>for additional discussion of nonrecurring fair value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4" w:name="i86b3a9488a4d4e53b09c0a3922820fc1"/>
      <w:bookmarkEnd w:id="64"/>
      <w:r>
        <w:rPr>
          <w:rFonts w:ascii="Times New Roman;serif" w:hAnsi="Times New Roman;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 of cash and cash equivalents, accounts receivable, prepaid expenses and other current assets, accounts payable and accrued capital expenditures and other accrued liabilities approximate their fair value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65" w:name="i45911074ee8b4bf898679c7d58aeeec0"/>
      <w:bookmarkEnd w:id="65"/>
      <w:r>
        <w:rPr>
          <w:rFonts w:ascii="Times New Roman;serif" w:hAnsi="Times New Roman;serif"/>
          <w:b/>
          <w:color w:val="000000"/>
          <w:sz w:val="20"/>
        </w:rPr>
        <w:t>14.    SUPPLEMENTAL INFORMATION TO STATEMENTS OF CASH FLOWS</w:t>
      </w:r>
    </w:p>
    <w:p>
      <w:pPr>
        <w:pStyle w:val="TextBody"/>
        <w:bidi w:val="0"/>
        <w:spacing w:before="0" w:after="0"/>
        <w:ind w:left="0" w:right="0" w:firstLine="720"/>
        <w:jc w:val="both"/>
        <w:rPr/>
      </w:pPr>
      <w:r>
        <w:rPr/>
      </w:r>
    </w:p>
    <w:tbl>
      <w:tblPr>
        <w:tblW w:w="9341" w:type="dxa"/>
        <w:jc w:val="left"/>
        <w:tblInd w:w="0" w:type="dxa"/>
        <w:tblLayout w:type="fixed"/>
        <w:tblCellMar>
          <w:top w:w="28" w:type="dxa"/>
          <w:left w:w="28" w:type="dxa"/>
          <w:bottom w:w="28" w:type="dxa"/>
          <w:right w:w="28" w:type="dxa"/>
        </w:tblCellMar>
      </w:tblPr>
      <w:tblGrid>
        <w:gridCol w:w="2436"/>
        <w:gridCol w:w="2136"/>
        <w:gridCol w:w="2148"/>
        <w:gridCol w:w="274"/>
        <w:gridCol w:w="606"/>
        <w:gridCol w:w="141"/>
        <w:gridCol w:w="141"/>
        <w:gridCol w:w="141"/>
        <w:gridCol w:w="141"/>
        <w:gridCol w:w="274"/>
        <w:gridCol w:w="703"/>
        <w:gridCol w:w="200"/>
      </w:tblGrid>
      <w:tr>
        <w:trPr/>
        <w:tc>
          <w:tcPr>
            <w:tcW w:w="24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for income taxes, net of refunds: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transactions: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 included in accounts payable and accrued expenses</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LLC Units issued for acquisition</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66" w:name="i98512dff309e434a8efded350ceecbf0"/>
      <w:bookmarkEnd w:id="66"/>
      <w:r>
        <w:rPr>
          <w:rFonts w:ascii="Times New Roman;serif" w:hAnsi="Times New Roman;serif"/>
          <w:b/>
          <w:color w:val="000000"/>
          <w:sz w:val="20"/>
        </w:rPr>
        <w:t>15.    COMMITMENTS AND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7" w:name="i34db3b7298884a78ad8450df7cb03fc9"/>
      <w:bookmarkEnd w:id="67"/>
      <w:r>
        <w:rPr>
          <w:rFonts w:ascii="Times New Roman;serif" w:hAnsi="Times New Roman;serif"/>
          <w:b/>
          <w:color w:val="000000"/>
          <w:sz w:val="20"/>
        </w:rPr>
        <w:t>Environmental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68" w:name="i9e98a4db85c4442897fc6cab2f77ecab"/>
      <w:bookmarkEnd w:id="68"/>
      <w:r>
        <w:rPr>
          <w:rFonts w:ascii="Times New Roman;serif" w:hAnsi="Times New Roman;serif"/>
          <w:b/>
          <w:color w:val="000000"/>
          <w:sz w:val="20"/>
        </w:rPr>
        <w:t>16.    SUBSEQUENT EVENTS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bookmarkStart w:id="69" w:name="ic8e46c3bf9bc44e6bec2b033f7518c5f"/>
      <w:bookmarkEnd w:id="69"/>
      <w:r>
        <w:rPr>
          <w:rFonts w:ascii="Times New Roman;serif" w:hAnsi="Times New Roman;serif"/>
          <w:b/>
          <w:color w:val="000000"/>
          <w:sz w:val="20"/>
        </w:rPr>
        <w:t>Pending Viper 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2026, Viper entered into a definitive purchase and sale agreement to acquire all of the equity interests of Riverbend Oil &amp; Gas IX, L.L.C., an entity owning certain mineral and royalty interests, from Riverbend Oil &amp; Gas IX (AIV), L.L.C. and ROG IX, L.L.C. (collectively, “Riverbend”) for consideration consisting of approximately (i) $337 million in cash and (ii) 3.69 million shares of Viper’s Class A Common Stock, in each case, subject to customary closing adjustments (the pending “Viper Riverbend Acquisition”). The pending Viper Riverbend Acquisition is expected to close during the third quarter of 2026, subject to customary closing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70" w:name="ie88d031fad1f40b080db861b9417182d"/>
      <w:bookmarkEnd w:id="70"/>
      <w:r>
        <w:rPr>
          <w:rFonts w:ascii="Times New Roman;serif" w:hAnsi="Times New Roman;serif"/>
          <w:b/>
          <w:color w:val="000000"/>
          <w:sz w:val="20"/>
        </w:rPr>
        <w:t>First Quarter 2026 Dividend Declaration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29, 2026, the board of directors of the Company approved an increase in the Company’s annual base dividend to $4.40 per share of common stock and declared a base cash dividend for the first quarter of 2026 of $1.10 per share of common stock, payable on May 21, 2026, to its stockholders of record at the close of business on May 14, 2026. Future dividends are at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71" w:name="ic89d8ebdbfa748d2b2bdbca84f9eead5"/>
      <w:bookmarkEnd w:id="71"/>
      <w:r>
        <w:rPr>
          <w:rFonts w:ascii="Times New Roman;serif" w:hAnsi="Times New Roman;serif"/>
          <w:b/>
          <w:color w:val="000000"/>
          <w:sz w:val="20"/>
        </w:rPr>
        <w:t>Repayments of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22, 2026, the Company paid in full the remaining $550 million outstanding principal and terminated the 2025 Term Loan.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13, 2026, the Company completed a tender offer to repurchase an aggregate principal amount of $777 million of its senior notes, which consisted of $283 million of the 4.400% Senior Notes due 2051 and $494 million of the 4.250% Senior Notes due 2052 for total cash consideration, including accrued interest, of approximately $632 million, at an average of 81.1% of par value.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2" w:name="i33a402918dfe499590d9b860217f84ba"/>
      <w:bookmarkEnd w:id="72"/>
      <w:r>
        <w:rPr>
          <w:rFonts w:ascii="Times New Roman;serif" w:hAnsi="Times New Roman;serif"/>
          <w:b/>
          <w:color w:val="000000"/>
          <w:sz w:val="20"/>
        </w:rPr>
        <w:t>17.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is managed on a consolidated basis as one operating segment and one reportable segment, the upstream segment, which is engaged in the acquisition, development, exploration and exploitation of unconventional, onshore oil and natural gas reserves primarily in the Permian Basin in West Texas. This singular operating and reportable segment is comprised of (i) the Company and its wholly owned subsidiaries, and (ii) Viper and its consolidated subsidiaries, which have been aggregated due to the similarity in their economic characteristics, products and services, processes, type of customers, method of distribution for their products and the regulatory environment in which they operate. The upstream segment derives its revenue from customers through the sale of oil and natural gas products as well as other immaterial service contracts. See Note 3—</w:t>
      </w:r>
      <w:hyperlink w:anchor="i64226f89bc01470fb2c113ff5ce9a825_49">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a senior executive committee that is comprised of the Company’s Chief Executive Officer, Chief Financial Officer and Chief Operating Officer, uses the Company’s condensed consolidated financial results to make key operating decisions, assess performance and to allocate resources.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73" w:name="ia1c4f16de800482090ebeb7d3eb36d21"/>
      <w:bookmarkEnd w:id="73"/>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5">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 xml:space="preserve">for the year ended December 31, 2025.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64226f89bc01470fb2c113ff5ce9a825_172">
        <w:r>
          <w:rPr>
            <w:rStyle w:val="InternetLink"/>
            <w:rFonts w:ascii="Times New Roman;serif" w:hAnsi="Times New Roman;serif"/>
            <w:b w:val="false"/>
            <w:i/>
            <w:color w:val="0000FF"/>
            <w:sz w:val="20"/>
            <w:u w:val="single"/>
          </w:rPr>
          <w:t>Part II. Item 1A. Risk Factors</w:t>
        </w:r>
      </w:hyperlink>
      <w:r>
        <w:rPr>
          <w:rFonts w:ascii="Times New Roman;serif" w:hAnsi="Times New Roman;serif"/>
          <w:b w:val="false"/>
          <w:i/>
          <w:color w:val="000000"/>
          <w:sz w:val="20"/>
        </w:rPr>
        <w:t xml:space="preserve">, </w:t>
      </w:r>
      <w:r>
        <w:fldChar w:fldCharType="begin"/>
      </w:r>
      <w:r>
        <w:rPr>
          <w:rStyle w:val="InternetLink"/>
        </w:rPr>
        <w:instrText xml:space="preserve"> HYPERLINK "https://www.sec.gov/ix?doc=/Archives/edgar/data/1539838/000153983826000010/fang-20251231.htm" \l "i27ba2a247b584e1aae74c0210baff60c_46"</w:instrText>
      </w:r>
      <w:r>
        <w:rPr>
          <w:rStyle w:val="InternetLink"/>
        </w:rPr>
        <w:fldChar w:fldCharType="separate"/>
      </w:r>
      <w:r>
        <w:rPr>
          <w:rStyle w:val="InternetLink"/>
        </w:rPr>
        <w:t>Part I. Item 1A. Risk Factors of our Annual Report on Form 10-K</w:t>
      </w:r>
      <w:r>
        <w:rPr>
          <w:rStyle w:val="InternetLink"/>
        </w:rPr>
        <w:fldChar w:fldCharType="end"/>
      </w:r>
      <w:r>
        <w:fldChar w:fldCharType="begin"/>
      </w:r>
      <w:r>
        <w:rPr>
          <w:rStyle w:val="InternetLink"/>
        </w:rPr>
        <w:instrText xml:space="preserve"> HYPERLINK "https://www.sec.gov/ix?doc=/Archives/edgar/data/1539838/000153983826000010/fang-20251231.htm" \l "i27ba2a247b584e1aae74c0210baff60c_46"</w:instrText>
      </w:r>
      <w:r>
        <w:rPr>
          <w:rStyle w:val="InternetLink"/>
        </w:rPr>
        <w:fldChar w:fldCharType="separate"/>
      </w:r>
      <w:r>
        <w:rPr>
          <w:rStyle w:val="InternetLink"/>
        </w:rPr>
        <w:t xml:space="preserve"> for the year ended December 31, 2025</w:t>
      </w:r>
      <w:r>
        <w:rPr>
          <w:rStyle w:val="InternetLink"/>
        </w:rPr>
        <w:fldChar w:fldCharType="end"/>
      </w:r>
      <w:r>
        <w:rPr>
          <w:color w:val="000000"/>
        </w:rPr>
        <w:t xml:space="preserve"> </w:t>
      </w:r>
      <w:r>
        <w:rPr>
          <w:rFonts w:ascii="Times New Roman;serif" w:hAnsi="Times New Roman;serif"/>
          <w:b w:val="false"/>
          <w:i/>
          <w:color w:val="000000"/>
          <w:sz w:val="20"/>
        </w:rPr>
        <w:t xml:space="preserve">and </w:t>
      </w:r>
      <w:hyperlink w:anchor="i64226f89bc01470fb2c113ff5ce9a825_19">
        <w:r>
          <w:rPr>
            <w:rStyle w:val="InternetLink"/>
            <w:rFonts w:ascii="Times New Roman;serif" w:hAnsi="Times New Roman;serif"/>
            <w:b w:val="false"/>
            <w:i/>
            <w:color w:val="0000FF"/>
            <w:sz w:val="20"/>
            <w:u w:val="single"/>
          </w:rPr>
          <w:t>Cautionary Statement Regarding Forward-Looking Statements</w:t>
        </w:r>
      </w:hyperlink>
      <w:r>
        <w:rPr>
          <w:rFonts w:ascii="Times New Roman;serif" w:hAnsi="Times New Roman;serif"/>
          <w:b w:val="false"/>
          <w:i/>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74" w:name="i391cc85c087045cc99c011b67a19e23a"/>
      <w:bookmarkEnd w:id="74"/>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64226f89bc01470fb2c113ff5ce9a825_43">
        <w:r>
          <w:rPr>
            <w:rStyle w:val="InternetLink"/>
            <w:rFonts w:ascii="Times New Roman;serif" w:hAnsi="Times New Roman;serif"/>
            <w:b w:val="false"/>
            <w:color w:val="0000FF"/>
            <w:sz w:val="20"/>
            <w:u w:val="single"/>
          </w:rPr>
          <w:t>Description of the Business and Basis of Presentation</w:t>
        </w:r>
      </w:hyperlink>
      <w:r>
        <w:rPr>
          <w:color w:val="000000"/>
        </w:rPr>
        <w:t xml:space="preserve"> </w:t>
      </w:r>
      <w:r>
        <w:rPr>
          <w:rFonts w:ascii="Times New Roman;serif" w:hAnsi="Times New Roman;serif"/>
          <w:b w:val="false"/>
          <w:color w:val="000000"/>
          <w:sz w:val="20"/>
        </w:rPr>
        <w:t>and Note 17—</w:t>
      </w:r>
      <w:hyperlink w:anchor="i64226f89bc01470fb2c113ff5ce9a825_97">
        <w:r>
          <w:rPr>
            <w:rStyle w:val="InternetLink"/>
            <w:rFonts w:ascii="Times New Roman;serif" w:hAnsi="Times New Roman;serif"/>
            <w:b w:val="false"/>
            <w:color w:val="0000FF"/>
            <w:sz w:val="20"/>
            <w:u w:val="single"/>
          </w:rPr>
          <w:t>Segment Information</w:t>
        </w:r>
      </w:hyperlink>
      <w:r>
        <w:rPr>
          <w:color w:val="000000"/>
        </w:rPr>
        <w:t xml:space="preserve"> </w:t>
      </w:r>
      <w:r>
        <w:rPr>
          <w:rFonts w:ascii="Times New Roman;serif" w:hAnsi="Times New Roman;serif"/>
          <w:b w:val="false"/>
          <w:color w:val="000000"/>
          <w:sz w:val="20"/>
        </w:rPr>
        <w:t>of the notes to the condensed consolidated financial statements, as of March 31, 2026, we have one reportable segment, the upstream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75" w:name="idb1713971b8946e7912127f40bcc60c6"/>
      <w:bookmarkEnd w:id="75"/>
      <w:r>
        <w:rPr>
          <w:rFonts w:ascii="Times New Roman;serif" w:hAnsi="Times New Roman;serif"/>
          <w:b/>
          <w:color w:val="000000"/>
          <w:sz w:val="20"/>
        </w:rPr>
        <w:t>First Quarter 2026 Financial and Operating Highlights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Recorded net income of $25 million, which includes impairment of approximately $1.4 billion recorded on our proved oil and natural gas properties.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cash operating costs were $11.26 per BOE, including lease operating expenses of $6.21 per BOE, cash general and administrative expenses of $0.65 per BOE, production and ad valorem taxes of $3.04 per BOE and gathering, processing and transportation expenses of $1.36 per BOE.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Incurred cash capital expenditures, excluding acquisitions, of $933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Paid dividends to stockholders of $295 million, or $1.05 per share, during the first quarter of 2026 and declared a base cash dividend payable in the second quarter of 2026 of $1.10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Repurchased $548 million of our common stock, excluding excise taxes, leaving approximately $2.1 billion available for future repurchases at March 31, 2026.</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average production was 979.4 MBOE/d.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Drilled 118 gross horizontal wells in the Midland Basin and turned 147 gross operated horizontal wells in the Midland Basin to production.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76" w:name="i4497bc527cbf4e018fd5a8ba1e795c5e"/>
      <w:bookmarkEnd w:id="76"/>
      <w:r>
        <w:rPr>
          <w:rFonts w:ascii="Times New Roman;serif" w:hAnsi="Times New Roman;serif"/>
          <w:b/>
          <w:color w:val="000000"/>
          <w:sz w:val="20"/>
        </w:rPr>
        <w:t>Transactions and Recent Developments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77" w:name="i46398a9eb1db484faee2c89458a2d718"/>
      <w:bookmarkEnd w:id="77"/>
      <w:r>
        <w:rPr>
          <w:rFonts w:ascii="Times New Roman;serif" w:hAnsi="Times New Roman;serif"/>
          <w:b/>
          <w:i/>
          <w:color w:val="000000"/>
          <w:sz w:val="20"/>
        </w:rPr>
        <w:t>Divestiture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78" w:name="ia5ae0f8596f74d8fb15a32947e1f2d5f"/>
      <w:bookmarkEnd w:id="78"/>
      <w:r>
        <w:rPr>
          <w:rFonts w:ascii="Times New Roman;serif" w:hAnsi="Times New Roman;serif"/>
          <w:b w:val="false"/>
          <w:i/>
          <w:color w:val="000000"/>
          <w:sz w:val="20"/>
        </w:rPr>
        <w:t>Viper Divestiture</w:t>
      </w:r>
      <w:bookmarkStart w:id="79" w:name="i477fee4c3b5349d8bb2730d1f82eb741"/>
      <w:bookmarkEnd w:id="79"/>
      <w:r>
        <w:rPr>
          <w:rFonts w:ascii="Times New Roman;serif" w:hAnsi="Times New Roman;serif"/>
          <w:b w:val="false"/>
          <w:i/>
          <w:color w:val="000000"/>
          <w:sz w:val="20"/>
        </w:rPr>
        <w:t xml:space="preserv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Viper completed the Viper Non-Permian Divestiture for net cash proceeds of approximately $610 million, including transaction costs and customary post-closing adjustments. The divested properties consisted of approximately 9,400 net royalty acres in the Denver-Julesburg, Eagle Ford and Williston basins with current production of approximately 4,750 BO/d. Proceeds from the Viper Non-Permian Divestiture were used to repay amounts outstanding under the Viper 2025 Term Loan and the Viper Revolving Credit Facility and for general corporate purposes.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bookmarkStart w:id="80" w:name="if22b122a1d0b4e8997f300875a689af5"/>
      <w:bookmarkEnd w:id="80"/>
      <w:r>
        <w:rPr>
          <w:rFonts w:ascii="Times New Roman;serif" w:hAnsi="Times New Roman;serif"/>
          <w:b/>
          <w:i/>
          <w:color w:val="000000"/>
          <w:sz w:val="20"/>
        </w:rPr>
        <w:t>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Prices for oil, natural gas and natural gas liquids are determined primarily by prevailing market conditions. Geopolitical global conflicts, tariffs or other trade barriers and any resulting trade tensions, regional and worldwide economic activity, changes in trade or other government policies or regulations, including with respect to U.S. energy and monetary policies, extreme weather conditions and other substantially variable factors influence market conditions for these products. For example, in the last quarter the global crude oil market shifted from a supply-demand surplus to a deficit, materially reducing crude oil and refined products from the markets, and increasing benchmark crude oil prices. These factors are beyond our control and are difficult to predict. OPEC+ continues to meet regularly to evaluate the state of global oil supply, demand and inventory levels and can heavily influence volatility in oil prices. During the three months ended March 31, 2026 and 2025, WTI prices averaged $72.67 and $71.42 per Bbl, respectively, and Henry Hub prices averaged $3.47 and $3.87 per MMBtu,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bookmarkStart w:id="81" w:name="iaa838acc7afa431b82d332f2b997977f"/>
      <w:bookmarkEnd w:id="81"/>
      <w:r>
        <w:rPr>
          <w:rFonts w:ascii="Times New Roman;serif" w:hAnsi="Times New Roman;serif"/>
          <w:b/>
          <w:i/>
          <w:color w:val="000000"/>
          <w:sz w:val="20"/>
        </w:rPr>
        <w:t>Upstream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activities are primarily directed at the horizontal development of the Wolfcamp and Spraberry formations with exploratory development in the Barnett and Woodford shales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approximately 890,496 net acres in the Permian Basin, which primarily consisted of approximately 797,074 net acres in the Midland Basin and 93,422 net acres in the Delaware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number of operated horizontal wells drilled and completed during the periods indicated:</w:t>
      </w:r>
    </w:p>
    <w:p>
      <w:pPr>
        <w:pStyle w:val="TextBody"/>
        <w:bidi w:val="0"/>
        <w:spacing w:before="0" w:after="0"/>
        <w:ind w:left="0" w:right="0" w:firstLine="720"/>
        <w:jc w:val="both"/>
        <w:rPr/>
      </w:pPr>
      <w:r>
        <w:rPr/>
      </w:r>
    </w:p>
    <w:tbl>
      <w:tblPr>
        <w:tblW w:w="6044" w:type="dxa"/>
        <w:jc w:val="left"/>
        <w:tblInd w:w="0" w:type="dxa"/>
        <w:tblLayout w:type="fixed"/>
        <w:tblCellMar>
          <w:top w:w="28" w:type="dxa"/>
          <w:left w:w="28" w:type="dxa"/>
          <w:bottom w:w="28" w:type="dxa"/>
          <w:right w:w="28" w:type="dxa"/>
        </w:tblCellMar>
      </w:tblPr>
      <w:tblGrid>
        <w:gridCol w:w="481"/>
        <w:gridCol w:w="425"/>
        <w:gridCol w:w="428"/>
        <w:gridCol w:w="233"/>
        <w:gridCol w:w="233"/>
        <w:gridCol w:w="186"/>
        <w:gridCol w:w="142"/>
        <w:gridCol w:w="142"/>
        <w:gridCol w:w="142"/>
        <w:gridCol w:w="247"/>
        <w:gridCol w:w="219"/>
        <w:gridCol w:w="142"/>
        <w:gridCol w:w="142"/>
        <w:gridCol w:w="142"/>
        <w:gridCol w:w="142"/>
        <w:gridCol w:w="243"/>
        <w:gridCol w:w="223"/>
        <w:gridCol w:w="181"/>
        <w:gridCol w:w="142"/>
        <w:gridCol w:w="142"/>
        <w:gridCol w:w="142"/>
        <w:gridCol w:w="247"/>
        <w:gridCol w:w="219"/>
        <w:gridCol w:w="142"/>
        <w:gridCol w:w="109"/>
        <w:gridCol w:w="109"/>
        <w:gridCol w:w="109"/>
        <w:gridCol w:w="109"/>
        <w:gridCol w:w="109"/>
        <w:gridCol w:w="109"/>
        <w:gridCol w:w="109"/>
        <w:gridCol w:w="154"/>
      </w:tblGrid>
      <w:tr>
        <w:trPr/>
        <w:tc>
          <w:tcPr>
            <w:tcW w:w="4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Completed</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average lateral length for the wells completed during the first quarter of 2026 was 11,332 feet. Operated completions during the first quarter of 2026 consisted of 32 Lower Spraberry wells, 31 Wolfcamp A wells, 31 Jo Mill wells, 30 Wolfcamp B wells, eight Wolfcamp D wells, seven Middle Spraberry wells, six Dean wells and two Upper Spraberry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we operated the following wells:</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we and Viper held interests in 44,552 gross (9,679 net) wells, including 1,863 gross (319 net) wells in which we have a non-operated working interest.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82" w:name="i1cf02be1a73045c9825505f8dffe65c0"/>
      <w:bookmarkEnd w:id="82"/>
      <w:r>
        <w:rPr>
          <w:rFonts w:ascii="Times New Roman;serif" w:hAnsi="Times New Roman;serif"/>
          <w:b/>
          <w:color w:val="000000"/>
          <w:sz w:val="20"/>
        </w:rPr>
        <w:t>Outlook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response to growing global oil supply constraints and the improved commodity pricing environment that began in March of 2026, we have increased our annual production guidance by 3% to approximately 972 MBOE/d, which we expect to achieve in part by working down our drilled but uncompleted well balance.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bookmarkStart w:id="83" w:name="iad8c07ff630242ae8373970a001f00e1"/>
      <w:bookmarkEnd w:id="83"/>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84" w:name="i1584ef029c0c4b6eb864f8a353dd676b"/>
      <w:bookmarkEnd w:id="84"/>
      <w:r>
        <w:rPr>
          <w:rFonts w:ascii="Times New Roman;serif" w:hAnsi="Times New Roman;serif"/>
          <w:b/>
          <w:i/>
          <w:color w:val="000000"/>
          <w:sz w:val="20"/>
        </w:rPr>
        <w:t>Comparison of the Three Months Ended March 31, 2026, and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noted in “</w:t>
      </w:r>
      <w:r>
        <w:rPr>
          <w:color w:val="000000"/>
        </w:rPr>
        <w:t>—</w:t>
      </w:r>
      <w:hyperlink w:anchor="i64226f89bc01470fb2c113ff5ce9a825_112">
        <w:r>
          <w:rPr>
            <w:rStyle w:val="InternetLink"/>
            <w:rFonts w:ascii="Times New Roman;serif" w:hAnsi="Times New Roman;serif"/>
            <w:b w:val="false"/>
            <w:i/>
            <w:color w:val="0000FF"/>
            <w:sz w:val="20"/>
            <w:u w:val="single"/>
          </w:rPr>
          <w:t>Commodity Prices</w:t>
        </w:r>
      </w:hyperlink>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operating data for the periods indicated:</w:t>
      </w:r>
    </w:p>
    <w:p>
      <w:pPr>
        <w:pStyle w:val="TextBody"/>
        <w:bidi w:val="0"/>
        <w:spacing w:before="0" w:after="0"/>
        <w:ind w:left="0" w:right="0" w:firstLine="720"/>
        <w:jc w:val="both"/>
        <w:rPr/>
      </w:pPr>
      <w:r>
        <w:rPr/>
      </w:r>
    </w:p>
    <w:tbl>
      <w:tblPr>
        <w:tblW w:w="7587" w:type="dxa"/>
        <w:jc w:val="left"/>
        <w:tblInd w:w="0" w:type="dxa"/>
        <w:tblLayout w:type="fixed"/>
        <w:tblCellMar>
          <w:top w:w="28" w:type="dxa"/>
          <w:left w:w="28" w:type="dxa"/>
          <w:bottom w:w="28" w:type="dxa"/>
          <w:right w:w="28" w:type="dxa"/>
        </w:tblCellMar>
      </w:tblPr>
      <w:tblGrid>
        <w:gridCol w:w="1587"/>
        <w:gridCol w:w="1391"/>
        <w:gridCol w:w="1402"/>
        <w:gridCol w:w="291"/>
        <w:gridCol w:w="849"/>
        <w:gridCol w:w="150"/>
        <w:gridCol w:w="109"/>
        <w:gridCol w:w="109"/>
        <w:gridCol w:w="109"/>
        <w:gridCol w:w="342"/>
        <w:gridCol w:w="999"/>
        <w:gridCol w:w="249"/>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(In millions):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121,805 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89,159 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512,761 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979,356 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969,120 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Data. </w:t>
      </w:r>
      <w:r>
        <w:rPr>
          <w:rFonts w:ascii="Times New Roman;serif" w:hAnsi="Times New Roman;serif"/>
          <w:b w:val="false"/>
          <w:color w:val="000000"/>
          <w:sz w:val="20"/>
        </w:rPr>
        <w:t>Substantially all of our revenues are generated through the sale of oil, natural gas and natural gas liquids production. The following tables provide information on the mix of our production for the periods indicated:</w:t>
      </w:r>
    </w:p>
    <w:p>
      <w:pPr>
        <w:pStyle w:val="TextBody"/>
        <w:bidi w:val="0"/>
        <w:spacing w:before="0" w:after="0"/>
        <w:ind w:left="0" w:right="0" w:firstLine="720"/>
        <w:jc w:val="both"/>
        <w:rPr/>
      </w:pPr>
      <w:r>
        <w:rPr/>
      </w:r>
    </w:p>
    <w:tbl>
      <w:tblPr>
        <w:tblW w:w="5684" w:type="dxa"/>
        <w:jc w:val="left"/>
        <w:tblInd w:w="0" w:type="dxa"/>
        <w:tblLayout w:type="fixed"/>
        <w:tblCellMar>
          <w:top w:w="28" w:type="dxa"/>
          <w:left w:w="28" w:type="dxa"/>
          <w:bottom w:w="28" w:type="dxa"/>
          <w:right w:w="28" w:type="dxa"/>
        </w:tblCellMar>
      </w:tblPr>
      <w:tblGrid>
        <w:gridCol w:w="857"/>
        <w:gridCol w:w="753"/>
        <w:gridCol w:w="760"/>
        <w:gridCol w:w="287"/>
        <w:gridCol w:w="287"/>
        <w:gridCol w:w="715"/>
        <w:gridCol w:w="145"/>
        <w:gridCol w:w="145"/>
        <w:gridCol w:w="145"/>
        <w:gridCol w:w="323"/>
        <w:gridCol w:w="323"/>
        <w:gridCol w:w="94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tbl>
      <w:tblPr>
        <w:tblW w:w="11082" w:type="dxa"/>
        <w:jc w:val="left"/>
        <w:tblInd w:w="0" w:type="dxa"/>
        <w:tblLayout w:type="fixed"/>
        <w:tblCellMar>
          <w:top w:w="28" w:type="dxa"/>
          <w:left w:w="28" w:type="dxa"/>
          <w:bottom w:w="28" w:type="dxa"/>
          <w:right w:w="28" w:type="dxa"/>
        </w:tblCellMar>
      </w:tblPr>
      <w:tblGrid>
        <w:gridCol w:w="353"/>
        <w:gridCol w:w="311"/>
        <w:gridCol w:w="312"/>
        <w:gridCol w:w="414"/>
        <w:gridCol w:w="412"/>
        <w:gridCol w:w="256"/>
        <w:gridCol w:w="109"/>
        <w:gridCol w:w="109"/>
        <w:gridCol w:w="109"/>
        <w:gridCol w:w="434"/>
        <w:gridCol w:w="287"/>
        <w:gridCol w:w="276"/>
        <w:gridCol w:w="109"/>
        <w:gridCol w:w="109"/>
        <w:gridCol w:w="109"/>
        <w:gridCol w:w="308"/>
        <w:gridCol w:w="308"/>
        <w:gridCol w:w="186"/>
        <w:gridCol w:w="109"/>
        <w:gridCol w:w="109"/>
        <w:gridCol w:w="109"/>
        <w:gridCol w:w="412"/>
        <w:gridCol w:w="414"/>
        <w:gridCol w:w="171"/>
        <w:gridCol w:w="109"/>
        <w:gridCol w:w="109"/>
        <w:gridCol w:w="109"/>
        <w:gridCol w:w="414"/>
        <w:gridCol w:w="412"/>
        <w:gridCol w:w="256"/>
        <w:gridCol w:w="109"/>
        <w:gridCol w:w="109"/>
        <w:gridCol w:w="109"/>
        <w:gridCol w:w="434"/>
        <w:gridCol w:w="287"/>
        <w:gridCol w:w="276"/>
        <w:gridCol w:w="109"/>
        <w:gridCol w:w="109"/>
        <w:gridCol w:w="109"/>
        <w:gridCol w:w="308"/>
        <w:gridCol w:w="308"/>
        <w:gridCol w:w="186"/>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121,805 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89,159 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Oil, Natural Gas and Natural Gas Liquids Revenues.</w:t>
      </w:r>
      <w:r>
        <w:rPr>
          <w:color w:val="000000"/>
        </w:rPr>
        <w:t xml:space="preserve"> </w:t>
      </w:r>
      <w:r>
        <w:rPr>
          <w:rFonts w:ascii="Times New Roman;serif" w:hAnsi="Times New Roman;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oil, natural gas and natural gas liquids revenues for the first quarter of 2026 increased by $792 million to $3.8 billion compared to the fourth quarter of 2025. The increase consisted of an additional $811 million attributable to higher average prices received primarily for our oil production, which was partially offset by a $19 million reduction attributable to two fewer days of production during the first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Net Sales of Purchased Oil</w:t>
      </w:r>
      <w:r>
        <w:rPr>
          <w:rFonts w:ascii="Times New Roman;serif" w:hAnsi="Times New Roman;serif"/>
          <w:b w:val="false"/>
          <w:color w:val="000000"/>
          <w:sz w:val="20"/>
        </w:rPr>
        <w:t>. We enter into purchase transactions and separate sales transactions with third parties to satisfy certain of our unused oil pipeline capacity commitments. The following table presents the net sales of purchased oil from third parties for the periods indicated:</w:t>
      </w:r>
    </w:p>
    <w:p>
      <w:pPr>
        <w:pStyle w:val="TextBody"/>
        <w:bidi w:val="0"/>
        <w:spacing w:before="0" w:after="0"/>
        <w:ind w:left="0" w:right="0" w:firstLine="720"/>
        <w:jc w:val="both"/>
        <w:rPr/>
      </w:pPr>
      <w:r>
        <w:rPr/>
      </w:r>
    </w:p>
    <w:tbl>
      <w:tblPr>
        <w:tblW w:w="5397" w:type="dxa"/>
        <w:jc w:val="left"/>
        <w:tblInd w:w="0" w:type="dxa"/>
        <w:tblLayout w:type="fixed"/>
        <w:tblCellMar>
          <w:top w:w="28" w:type="dxa"/>
          <w:left w:w="28" w:type="dxa"/>
          <w:bottom w:w="28" w:type="dxa"/>
          <w:right w:w="28" w:type="dxa"/>
        </w:tblCellMar>
      </w:tblPr>
      <w:tblGrid>
        <w:gridCol w:w="793"/>
        <w:gridCol w:w="695"/>
        <w:gridCol w:w="702"/>
        <w:gridCol w:w="346"/>
        <w:gridCol w:w="765"/>
        <w:gridCol w:w="179"/>
        <w:gridCol w:w="109"/>
        <w:gridCol w:w="109"/>
        <w:gridCol w:w="109"/>
        <w:gridCol w:w="402"/>
        <w:gridCol w:w="891"/>
        <w:gridCol w:w="297"/>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oil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of purchased oil</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Revenues.</w:t>
      </w:r>
      <w:r>
        <w:rPr>
          <w:color w:val="000000"/>
        </w:rPr>
        <w:t xml:space="preserve"> </w:t>
      </w:r>
      <w:r>
        <w:rPr>
          <w:rFonts w:ascii="Times New Roman;serif" w:hAnsi="Times New Roman;serif"/>
          <w:b w:val="false"/>
          <w:color w:val="000000"/>
          <w:sz w:val="20"/>
        </w:rPr>
        <w:t>The following table presents other insignificant revenue for the periods indicated:</w:t>
      </w:r>
    </w:p>
    <w:p>
      <w:pPr>
        <w:pStyle w:val="TextBody"/>
        <w:bidi w:val="0"/>
        <w:spacing w:before="0" w:after="0"/>
        <w:ind w:left="0" w:right="0" w:firstLine="720"/>
        <w:jc w:val="both"/>
        <w:rPr/>
      </w:pPr>
      <w:r>
        <w:rPr/>
      </w:r>
    </w:p>
    <w:tbl>
      <w:tblPr>
        <w:tblW w:w="5258" w:type="dxa"/>
        <w:jc w:val="left"/>
        <w:tblInd w:w="0" w:type="dxa"/>
        <w:tblLayout w:type="fixed"/>
        <w:tblCellMar>
          <w:top w:w="28" w:type="dxa"/>
          <w:left w:w="28" w:type="dxa"/>
          <w:bottom w:w="28" w:type="dxa"/>
          <w:right w:w="28" w:type="dxa"/>
        </w:tblCellMar>
      </w:tblPr>
      <w:tblGrid>
        <w:gridCol w:w="738"/>
        <w:gridCol w:w="648"/>
        <w:gridCol w:w="654"/>
        <w:gridCol w:w="400"/>
        <w:gridCol w:w="683"/>
        <w:gridCol w:w="206"/>
        <w:gridCol w:w="113"/>
        <w:gridCol w:w="113"/>
        <w:gridCol w:w="113"/>
        <w:gridCol w:w="462"/>
        <w:gridCol w:w="790"/>
        <w:gridCol w:w="338"/>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Lease Operating Expenses.</w:t>
      </w:r>
      <w:r>
        <w:rPr>
          <w:color w:val="000000"/>
        </w:rPr>
        <w:t xml:space="preserve"> </w:t>
      </w:r>
      <w:r>
        <w:rPr>
          <w:rFonts w:ascii="Times New Roman;serif" w:hAnsi="Times New Roman;serif"/>
          <w:b w:val="false"/>
          <w:color w:val="000000"/>
          <w:sz w:val="20"/>
        </w:rPr>
        <w:t>The following table shows lease operating expenses for the periods indicated:</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operating expenses increased for the first quarter of 2026 compared to the fourth quarter of 2025 primarily due to additional costs incurred on non-operated properties, for weather-related events in January 2026 and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Production and Ad Valorem Tax Expense.</w:t>
      </w:r>
      <w:r>
        <w:rPr>
          <w:color w:val="000000"/>
        </w:rPr>
        <w:t xml:space="preserve"> </w:t>
      </w:r>
      <w:r>
        <w:rPr>
          <w:rFonts w:ascii="Times New Roman;serif" w:hAnsi="Times New Roman;serif"/>
          <w:b w:val="false"/>
          <w:color w:val="000000"/>
          <w:sz w:val="20"/>
        </w:rPr>
        <w:t>The following table shows production and ad valorem tax expense for the periods indicated: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Production taxes as a percentage of oil, natural gas and natural gas liquids revenue remained consistent from the fourth quarter of 2025 to the first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 valorem taxes are based, among other factors, on property values driven by prior year commodity prices. Ad valorem taxes during the first quarter of 2026 compared to the fourth quarter of 2025 reflect a slight increase in expected tax rates for 2026 compared to 2025 as well as a $13 million adjustment recorded in the first quarter of 2026 for actual billings received related to prior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Gathering, Processing and Transportation Expense.</w:t>
      </w:r>
      <w:r>
        <w:rPr>
          <w:color w:val="000000"/>
        </w:rPr>
        <w:t xml:space="preserve"> </w:t>
      </w:r>
      <w:r>
        <w:rPr>
          <w:rFonts w:ascii="Times New Roman;serif" w:hAnsi="Times New Roman;serif"/>
          <w:b w:val="false"/>
          <w:color w:val="000000"/>
          <w:sz w:val="20"/>
        </w:rPr>
        <w:t>The following table shows gathering, processing and transportation expenses for the periods indicated:</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gathering, processing and transportation expenses primarily reflects a $19 million reduction in transportation costs incurred to meet our minimum volume commitments on certain pipelines, partially offset by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Depreciation, Depletion, Amortization and Accretion.</w:t>
      </w:r>
      <w:r>
        <w:rPr>
          <w:color w:val="000000"/>
        </w:rPr>
        <w:t xml:space="preserve"> </w:t>
      </w:r>
      <w:r>
        <w:rPr>
          <w:rFonts w:ascii="Times New Roman;serif" w:hAnsi="Times New Roman;serif"/>
          <w:b w:val="false"/>
          <w:color w:val="000000"/>
          <w:sz w:val="20"/>
        </w:rPr>
        <w:t>The following table provides the components of our depreciation, depletion, amortization and accretion expense for the periods indicated:</w:t>
      </w:r>
    </w:p>
    <w:p>
      <w:pPr>
        <w:pStyle w:val="TextBody"/>
        <w:bidi w:val="0"/>
        <w:spacing w:before="0" w:after="0"/>
        <w:ind w:left="0" w:right="0" w:firstLine="720"/>
        <w:jc w:val="both"/>
        <w:rPr/>
      </w:pPr>
      <w:r>
        <w:rPr/>
      </w:r>
    </w:p>
    <w:tbl>
      <w:tblPr>
        <w:tblW w:w="8472" w:type="dxa"/>
        <w:jc w:val="left"/>
        <w:tblInd w:w="0" w:type="dxa"/>
        <w:tblLayout w:type="fixed"/>
        <w:tblCellMar>
          <w:top w:w="28" w:type="dxa"/>
          <w:left w:w="28" w:type="dxa"/>
          <w:bottom w:w="28" w:type="dxa"/>
          <w:right w:w="28" w:type="dxa"/>
        </w:tblCellMar>
      </w:tblPr>
      <w:tblGrid>
        <w:gridCol w:w="1905"/>
        <w:gridCol w:w="1673"/>
        <w:gridCol w:w="1687"/>
        <w:gridCol w:w="291"/>
        <w:gridCol w:w="849"/>
        <w:gridCol w:w="150"/>
        <w:gridCol w:w="109"/>
        <w:gridCol w:w="109"/>
        <w:gridCol w:w="109"/>
        <w:gridCol w:w="342"/>
        <w:gridCol w:w="999"/>
        <w:gridCol w:w="249"/>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BOE amounts)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proved oil and natural gas properties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other property and equipment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accretion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depletion rate per BOE</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 per BOE</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depletion of proved oil and natural gas properties of $96 million for the first quarter of 2026 as compared to the fourth quarter of 2025 primarily consists of an $81 million reduction from the decline in depletion rate following the ceiling test impairment recorded in the fourth quarter of 2025 and a $15 million reduction due to the slight decline in quarterly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Impairment of Oil and Natural Gas Properties.</w:t>
      </w:r>
      <w:r>
        <w:rPr>
          <w:color w:val="000000"/>
        </w:rPr>
        <w:t xml:space="preserve"> </w:t>
      </w:r>
      <w:r>
        <w:rPr>
          <w:rFonts w:ascii="Times New Roman;serif" w:hAnsi="Times New Roman;serif"/>
          <w:b w:val="false"/>
          <w:color w:val="000000"/>
          <w:sz w:val="20"/>
        </w:rPr>
        <w:t>The following table shows impairment of oil and natural gas properties for the periods indicated:</w:t>
      </w:r>
    </w:p>
    <w:p>
      <w:pPr>
        <w:pStyle w:val="TextBody"/>
        <w:bidi w:val="0"/>
        <w:spacing w:before="0" w:after="0"/>
        <w:ind w:left="0" w:right="0" w:firstLine="720"/>
        <w:jc w:val="both"/>
        <w:rPr/>
      </w:pPr>
      <w:r>
        <w:rPr/>
      </w:r>
    </w:p>
    <w:tbl>
      <w:tblPr>
        <w:tblW w:w="6866" w:type="dxa"/>
        <w:jc w:val="left"/>
        <w:tblInd w:w="0" w:type="dxa"/>
        <w:tblLayout w:type="fixed"/>
        <w:tblCellMar>
          <w:top w:w="28" w:type="dxa"/>
          <w:left w:w="28" w:type="dxa"/>
          <w:bottom w:w="28" w:type="dxa"/>
          <w:right w:w="28" w:type="dxa"/>
        </w:tblCellMar>
      </w:tblPr>
      <w:tblGrid>
        <w:gridCol w:w="1324"/>
        <w:gridCol w:w="1162"/>
        <w:gridCol w:w="1173"/>
        <w:gridCol w:w="291"/>
        <w:gridCol w:w="849"/>
        <w:gridCol w:w="150"/>
        <w:gridCol w:w="109"/>
        <w:gridCol w:w="109"/>
        <w:gridCol w:w="109"/>
        <w:gridCol w:w="342"/>
        <w:gridCol w:w="999"/>
        <w:gridCol w:w="249"/>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non-cash ceiling test impairment charges in both the first quarter of 2026 and the fourth quarter of 2025 primarily resulted from the decline in SEC Prices applicable to each period. Impairment charges affect our results of operations but do not reduce our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commodity prices, our production rates, levels of proved reserves, future development costs, transfers of unevaluated properties, income tax rate assumptions and other factors will determine our actual ceiling test calculation and impairment analysis in future periods. If the trailing 12-month commodity prices fall as compared to the commodity prices used in prior quarters, we may have material write-downs in subsequent quarters. We currently do not expect to record additional impairment of our assets in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The following table shows the cash and non-cash general and administrative expenses incurred in the periods indicated:</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Operating Expenses, Net.</w:t>
      </w:r>
      <w:r>
        <w:rPr>
          <w:color w:val="000000"/>
        </w:rPr>
        <w:t xml:space="preserve"> </w:t>
      </w:r>
      <w:r>
        <w:rPr>
          <w:rFonts w:ascii="Times New Roman;serif" w:hAnsi="Times New Roman;serif"/>
          <w:b w:val="false"/>
          <w:color w:val="000000"/>
          <w:sz w:val="20"/>
        </w:rPr>
        <w:t>The following table shows other operating expenses for the periods indicated:</w:t>
      </w:r>
    </w:p>
    <w:p>
      <w:pPr>
        <w:pStyle w:val="TextBody"/>
        <w:bidi w:val="0"/>
        <w:spacing w:before="0" w:after="0"/>
        <w:ind w:left="0" w:right="0" w:firstLine="720"/>
        <w:jc w:val="both"/>
        <w:rPr/>
      </w:pPr>
      <w:r>
        <w:rPr/>
      </w:r>
    </w:p>
    <w:tbl>
      <w:tblPr>
        <w:tblW w:w="5726" w:type="dxa"/>
        <w:jc w:val="left"/>
        <w:tblInd w:w="0" w:type="dxa"/>
        <w:tblLayout w:type="fixed"/>
        <w:tblCellMar>
          <w:top w:w="28" w:type="dxa"/>
          <w:left w:w="28" w:type="dxa"/>
          <w:bottom w:w="28" w:type="dxa"/>
          <w:right w:w="28" w:type="dxa"/>
        </w:tblCellMar>
      </w:tblPr>
      <w:tblGrid>
        <w:gridCol w:w="912"/>
        <w:gridCol w:w="800"/>
        <w:gridCol w:w="807"/>
        <w:gridCol w:w="400"/>
        <w:gridCol w:w="684"/>
        <w:gridCol w:w="206"/>
        <w:gridCol w:w="109"/>
        <w:gridCol w:w="109"/>
        <w:gridCol w:w="109"/>
        <w:gridCol w:w="387"/>
        <w:gridCol w:w="918"/>
        <w:gridCol w:w="285"/>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other operating expenses, net during the first quarter of 2026 compared to the fourth quarter of 2025 was primarily due to (i) a reduction in the gain on sale of other property, plant and equipment of $140 million due largely to the fourth quarter of 2025 including the $167 million gain on the divestiture of the Company’s Environmental Disposal Systems, LLC subsidiary, (ii) a $13 million increase in impairment of certain midstream assets, and (iii) other insignificant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following table shows the net gain (loss) on derivative instruments and the net cash receipts (payments) on settlements of derivative instruments for the periods indicated:</w:t>
      </w:r>
    </w:p>
    <w:p>
      <w:pPr>
        <w:pStyle w:val="TextBody"/>
        <w:bidi w:val="0"/>
        <w:spacing w:before="0" w:after="0"/>
        <w:ind w:left="0" w:right="0" w:firstLine="720"/>
        <w:jc w:val="both"/>
        <w:rPr/>
      </w:pPr>
      <w:r>
        <w:rPr/>
      </w:r>
    </w:p>
    <w:tbl>
      <w:tblPr>
        <w:tblW w:w="6821" w:type="dxa"/>
        <w:jc w:val="left"/>
        <w:tblInd w:w="0" w:type="dxa"/>
        <w:tblLayout w:type="fixed"/>
        <w:tblCellMar>
          <w:top w:w="28" w:type="dxa"/>
          <w:left w:w="28" w:type="dxa"/>
          <w:bottom w:w="28" w:type="dxa"/>
          <w:right w:w="28" w:type="dxa"/>
        </w:tblCellMar>
      </w:tblPr>
      <w:tblGrid>
        <w:gridCol w:w="1308"/>
        <w:gridCol w:w="1145"/>
        <w:gridCol w:w="1161"/>
        <w:gridCol w:w="346"/>
        <w:gridCol w:w="765"/>
        <w:gridCol w:w="179"/>
        <w:gridCol w:w="109"/>
        <w:gridCol w:w="109"/>
        <w:gridCol w:w="109"/>
        <w:gridCol w:w="402"/>
        <w:gridCol w:w="891"/>
        <w:gridCol w:w="297"/>
      </w:tblGrid>
      <w:tr>
        <w:trPr/>
        <w:tc>
          <w:tcPr>
            <w:tcW w:w="13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(loss) on derivative instruments, net</w:t>
            </w:r>
            <w:r>
              <w:rPr>
                <w:rFonts w:ascii="Times New Roman;serif" w:hAnsi="Times New Roman;serif"/>
                <w:b w:val="false"/>
                <w:color w:val="000000"/>
                <w:sz w:val="13"/>
              </w:rPr>
              <w:t>(1)</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cash received (paid) on settlements</w:t>
            </w:r>
            <w:r>
              <w:rPr>
                <w:rFonts w:ascii="Times New Roman;serif" w:hAnsi="Times New Roman;serif"/>
                <w:b w:val="false"/>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three months ended March 31, 2026, includes cash paid on interest rate swaps terminated prior to their contractual maturity of $27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gain on derivative instruments for the first quarter of 2026 compared to the fourth quarter of 2025 primarily reflects a $145 million loss on our oil contracts due primarily to the value of our unsettled roll swap and put contracts declining as market prices for oil increased compared to our contract prices. This loss was partially offset by a net $77 million gain attributable to our natural gas contracts, which was comprised of an $83 million increase in cash received on the settlement of contracts primarily due to favorable differentials on our basis swaps, partially offset by a $6 million net decrease in the value of our unsettled natural gas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12—</w:t>
      </w:r>
      <w:hyperlink w:anchor="i64226f89bc01470fb2c113ff5ce9a825_8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The following table shows other income and expenses for the periods indicated:</w:t>
      </w:r>
    </w:p>
    <w:p>
      <w:pPr>
        <w:pStyle w:val="TextBody"/>
        <w:bidi w:val="0"/>
        <w:spacing w:before="0" w:after="0"/>
        <w:ind w:left="0" w:right="0" w:firstLine="720"/>
        <w:jc w:val="both"/>
        <w:rPr/>
      </w:pPr>
      <w:r>
        <w:rPr/>
      </w:r>
    </w:p>
    <w:tbl>
      <w:tblPr>
        <w:tblW w:w="6731" w:type="dxa"/>
        <w:jc w:val="left"/>
        <w:tblInd w:w="0" w:type="dxa"/>
        <w:tblLayout w:type="fixed"/>
        <w:tblCellMar>
          <w:top w:w="28" w:type="dxa"/>
          <w:left w:w="28" w:type="dxa"/>
          <w:bottom w:w="28" w:type="dxa"/>
          <w:right w:w="28" w:type="dxa"/>
        </w:tblCellMar>
      </w:tblPr>
      <w:tblGrid>
        <w:gridCol w:w="1275"/>
        <w:gridCol w:w="1120"/>
        <w:gridCol w:w="1129"/>
        <w:gridCol w:w="360"/>
        <w:gridCol w:w="744"/>
        <w:gridCol w:w="186"/>
        <w:gridCol w:w="109"/>
        <w:gridCol w:w="109"/>
        <w:gridCol w:w="109"/>
        <w:gridCol w:w="402"/>
        <w:gridCol w:w="891"/>
        <w:gridCol w:w="297"/>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net for the first quarter of 2026 compared to the fourth quarter of 2025 primarily reflects $18 million in interest cost savings due to the repayment and termination of Viper’s 2025 Term Loan and a partial repayment of the 2025 Term Loan late in the fourth quarter of 2025 along with opportunistic repurchases of other senior notes and the net impact of other individually insignificant changes.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0"/>
        </w:rPr>
        <w:t>See Note 8—</w:t>
      </w:r>
      <w:hyperlink w:anchor="i64226f89bc01470fb2c113ff5ce9a825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and Note 16—</w:t>
      </w:r>
      <w:hyperlink w:anchor="i64226f89bc01470fb2c113ff5ce9a825_94">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of the notes to the condensed consolidated financial statements for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for the first quarter of 2026 compared to the fourth quarter of 2025 was primarily due to the fourth quarter of 2025 including a gain of approximately $299 million recorded in connection with the EPIC Divestiture and other individually insignificant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64226f89bc01470fb2c113ff5ce9a825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the Company’s divestiture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following table shows the provision for (benefit from) income taxes for the periods indicated:</w:t>
      </w:r>
    </w:p>
    <w:p>
      <w:pPr>
        <w:pStyle w:val="TextBody"/>
        <w:bidi w:val="0"/>
        <w:spacing w:before="0" w:after="0"/>
        <w:ind w:left="0" w:right="0" w:firstLine="720"/>
        <w:jc w:val="both"/>
        <w:rPr/>
      </w:pPr>
      <w:r>
        <w:rPr/>
      </w:r>
    </w:p>
    <w:tbl>
      <w:tblPr>
        <w:tblW w:w="6642" w:type="dxa"/>
        <w:jc w:val="left"/>
        <w:tblInd w:w="0" w:type="dxa"/>
        <w:tblLayout w:type="fixed"/>
        <w:tblCellMar>
          <w:top w:w="28" w:type="dxa"/>
          <w:left w:w="28" w:type="dxa"/>
          <w:bottom w:w="28" w:type="dxa"/>
          <w:right w:w="28" w:type="dxa"/>
        </w:tblCellMar>
      </w:tblPr>
      <w:tblGrid>
        <w:gridCol w:w="1243"/>
        <w:gridCol w:w="1091"/>
        <w:gridCol w:w="1101"/>
        <w:gridCol w:w="400"/>
        <w:gridCol w:w="684"/>
        <w:gridCol w:w="206"/>
        <w:gridCol w:w="109"/>
        <w:gridCol w:w="109"/>
        <w:gridCol w:w="109"/>
        <w:gridCol w:w="387"/>
        <w:gridCol w:w="918"/>
        <w:gridCol w:w="285"/>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change in our income tax provision for the first quarter of 2026 compared to our income tax benefit in the fourth quarter of 2025 was primarily due to the increase in pre-tax income between the periods, which resulted largely from a reduction in the non-cash ceiling test impairment charge and an increase in our oil, natural gas and natural gas liquids revenues recorded in the first quarter of 2026 compared to the fourth quarter of 2025 as discussed above. See Note 11—</w:t>
      </w:r>
      <w:hyperlink w:anchor="i64226f89bc01470fb2c113ff5ce9a825_79">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bookmarkStart w:id="85" w:name="id24d1c65e1884d9cba9a05a93aed9d46"/>
      <w:bookmarkEnd w:id="85"/>
      <w:r>
        <w:rPr>
          <w:rFonts w:ascii="Times New Roman;serif" w:hAnsi="Times New Roman;serif"/>
          <w:b/>
          <w:i/>
          <w:color w:val="000000"/>
          <w:sz w:val="20"/>
        </w:rPr>
        <w:t>Comparison of the Three Months Ended March 31, 2026, and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operating data for the periods indicated:</w:t>
      </w:r>
    </w:p>
    <w:p>
      <w:pPr>
        <w:pStyle w:val="TextBody"/>
        <w:bidi w:val="0"/>
        <w:spacing w:before="0" w:after="0"/>
        <w:ind w:left="0" w:right="0" w:firstLine="720"/>
        <w:jc w:val="both"/>
        <w:rPr/>
      </w:pPr>
      <w:r>
        <w:rPr/>
      </w:r>
    </w:p>
    <w:tbl>
      <w:tblPr>
        <w:tblW w:w="7000" w:type="dxa"/>
        <w:jc w:val="left"/>
        <w:tblInd w:w="0" w:type="dxa"/>
        <w:tblLayout w:type="fixed"/>
        <w:tblCellMar>
          <w:top w:w="28" w:type="dxa"/>
          <w:left w:w="28" w:type="dxa"/>
          <w:bottom w:w="28" w:type="dxa"/>
          <w:right w:w="28" w:type="dxa"/>
        </w:tblCellMar>
      </w:tblPr>
      <w:tblGrid>
        <w:gridCol w:w="1587"/>
        <w:gridCol w:w="1391"/>
        <w:gridCol w:w="1402"/>
        <w:gridCol w:w="246"/>
        <w:gridCol w:w="720"/>
        <w:gridCol w:w="127"/>
        <w:gridCol w:w="127"/>
        <w:gridCol w:w="127"/>
        <w:gridCol w:w="127"/>
        <w:gridCol w:w="246"/>
        <w:gridCol w:w="720"/>
        <w:gridCol w:w="180"/>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(In millions):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979,356 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850,656 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Data. </w:t>
      </w:r>
      <w:r>
        <w:rPr>
          <w:rFonts w:ascii="Times New Roman;serif" w:hAnsi="Times New Roman;serif"/>
          <w:b w:val="false"/>
          <w:color w:val="000000"/>
          <w:sz w:val="20"/>
        </w:rPr>
        <w:t>Substantially all of our revenues are generated through the sale of oil, natural gas and natural gas liquids production. The following tables set forth the mix of our production data by product and basin for the periods indicated:</w:t>
      </w:r>
    </w:p>
    <w:p>
      <w:pPr>
        <w:pStyle w:val="TextBody"/>
        <w:bidi w:val="0"/>
        <w:spacing w:before="0" w:after="0"/>
        <w:ind w:left="0" w:right="0" w:firstLine="720"/>
        <w:jc w:val="both"/>
        <w:rPr/>
      </w:pPr>
      <w:r>
        <w:rPr/>
      </w:r>
    </w:p>
    <w:tbl>
      <w:tblPr>
        <w:tblW w:w="5117" w:type="dxa"/>
        <w:jc w:val="left"/>
        <w:tblInd w:w="0" w:type="dxa"/>
        <w:tblLayout w:type="fixed"/>
        <w:tblCellMar>
          <w:top w:w="28" w:type="dxa"/>
          <w:left w:w="28" w:type="dxa"/>
          <w:bottom w:w="28" w:type="dxa"/>
          <w:right w:w="28" w:type="dxa"/>
        </w:tblCellMar>
      </w:tblPr>
      <w:tblGrid>
        <w:gridCol w:w="857"/>
        <w:gridCol w:w="753"/>
        <w:gridCol w:w="760"/>
        <w:gridCol w:w="273"/>
        <w:gridCol w:w="212"/>
        <w:gridCol w:w="527"/>
        <w:gridCol w:w="212"/>
        <w:gridCol w:w="212"/>
        <w:gridCol w:w="212"/>
        <w:gridCol w:w="273"/>
        <w:gridCol w:w="212"/>
        <w:gridCol w:w="61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tbl>
      <w:tblPr>
        <w:tblW w:w="10722" w:type="dxa"/>
        <w:jc w:val="left"/>
        <w:tblInd w:w="0" w:type="dxa"/>
        <w:tblLayout w:type="fixed"/>
        <w:tblCellMar>
          <w:top w:w="28" w:type="dxa"/>
          <w:left w:w="28" w:type="dxa"/>
          <w:bottom w:w="28" w:type="dxa"/>
          <w:right w:w="28" w:type="dxa"/>
        </w:tblCellMar>
      </w:tblPr>
      <w:tblGrid>
        <w:gridCol w:w="353"/>
        <w:gridCol w:w="311"/>
        <w:gridCol w:w="312"/>
        <w:gridCol w:w="414"/>
        <w:gridCol w:w="412"/>
        <w:gridCol w:w="256"/>
        <w:gridCol w:w="109"/>
        <w:gridCol w:w="109"/>
        <w:gridCol w:w="109"/>
        <w:gridCol w:w="434"/>
        <w:gridCol w:w="287"/>
        <w:gridCol w:w="276"/>
        <w:gridCol w:w="109"/>
        <w:gridCol w:w="109"/>
        <w:gridCol w:w="109"/>
        <w:gridCol w:w="308"/>
        <w:gridCol w:w="308"/>
        <w:gridCol w:w="186"/>
        <w:gridCol w:w="109"/>
        <w:gridCol w:w="109"/>
        <w:gridCol w:w="109"/>
        <w:gridCol w:w="412"/>
        <w:gridCol w:w="414"/>
        <w:gridCol w:w="171"/>
        <w:gridCol w:w="109"/>
        <w:gridCol w:w="109"/>
        <w:gridCol w:w="109"/>
        <w:gridCol w:w="414"/>
        <w:gridCol w:w="307"/>
        <w:gridCol w:w="256"/>
        <w:gridCol w:w="109"/>
        <w:gridCol w:w="109"/>
        <w:gridCol w:w="109"/>
        <w:gridCol w:w="341"/>
        <w:gridCol w:w="275"/>
        <w:gridCol w:w="276"/>
        <w:gridCol w:w="109"/>
        <w:gridCol w:w="109"/>
        <w:gridCol w:w="109"/>
        <w:gridCol w:w="233"/>
        <w:gridCol w:w="233"/>
        <w:gridCol w:w="186"/>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100,578 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76,559 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Oil, Natural Gas and Natural Gas Liquids Revenues.</w:t>
      </w:r>
      <w:r>
        <w:rPr>
          <w:color w:val="000000"/>
        </w:rPr>
        <w:t xml:space="preserve"> </w:t>
      </w:r>
      <w:r>
        <w:rPr>
          <w:rFonts w:ascii="Times New Roman;serif" w:hAnsi="Times New Roman;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oil, natural gas and natural gas liquids revenues for the three months ended March 31, 2026, increased by $168 million, or 5%, to $3.8 billion from the same period in 2025. This net increase consisted of an additional $434 million from the 15% growth in our combined production volumes, partially offset by a net reduction of $266 million primarily due to lower average prices received for our natural gas and natural gas liquids production for the three months ended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37% of the increase in our combined production volumes was attributable to the Double Eagle Acquisition and 31% was attributable to Viper’s Sitio Acquisition. The remainder of production growth is largely attributable to new wells added between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Net Sales of Purchased Oil</w:t>
      </w:r>
      <w:r>
        <w:rPr>
          <w:rFonts w:ascii="Times New Roman;serif" w:hAnsi="Times New Roman;serif"/>
          <w:b w:val="false"/>
          <w:color w:val="000000"/>
          <w:sz w:val="20"/>
        </w:rPr>
        <w:t>. We enter into purchase transactions and separate sale transactions with third parties to satisfy certain of our unused oil pipeline capacity commitments. The following table presents the net sales of purchased oil from third parties for the periods indicated:</w:t>
      </w:r>
    </w:p>
    <w:p>
      <w:pPr>
        <w:pStyle w:val="TextBody"/>
        <w:bidi w:val="0"/>
        <w:spacing w:before="0" w:after="0"/>
        <w:ind w:left="0" w:right="0" w:firstLine="720"/>
        <w:jc w:val="both"/>
        <w:rPr/>
      </w:pPr>
      <w:r>
        <w:rPr/>
      </w:r>
    </w:p>
    <w:tbl>
      <w:tblPr>
        <w:tblW w:w="4814" w:type="dxa"/>
        <w:jc w:val="left"/>
        <w:tblInd w:w="0" w:type="dxa"/>
        <w:tblLayout w:type="fixed"/>
        <w:tblCellMar>
          <w:top w:w="28" w:type="dxa"/>
          <w:left w:w="28" w:type="dxa"/>
          <w:bottom w:w="28" w:type="dxa"/>
          <w:right w:w="28" w:type="dxa"/>
        </w:tblCellMar>
      </w:tblPr>
      <w:tblGrid>
        <w:gridCol w:w="793"/>
        <w:gridCol w:w="695"/>
        <w:gridCol w:w="702"/>
        <w:gridCol w:w="285"/>
        <w:gridCol w:w="629"/>
        <w:gridCol w:w="147"/>
        <w:gridCol w:w="147"/>
        <w:gridCol w:w="147"/>
        <w:gridCol w:w="147"/>
        <w:gridCol w:w="285"/>
        <w:gridCol w:w="629"/>
        <w:gridCol w:w="208"/>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oil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of purchased oil</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Revenues.</w:t>
      </w:r>
      <w:r>
        <w:rPr>
          <w:color w:val="000000"/>
        </w:rPr>
        <w:t xml:space="preserve"> </w:t>
      </w:r>
      <w:r>
        <w:rPr>
          <w:rFonts w:ascii="Times New Roman;serif" w:hAnsi="Times New Roman;serif"/>
          <w:b w:val="false"/>
          <w:color w:val="000000"/>
          <w:sz w:val="20"/>
        </w:rPr>
        <w:t>The following table shows the other insignificant revenues for the periods indicated:</w:t>
      </w:r>
    </w:p>
    <w:p>
      <w:pPr>
        <w:pStyle w:val="TextBody"/>
        <w:bidi w:val="0"/>
        <w:spacing w:before="0" w:after="0"/>
        <w:ind w:left="0" w:right="0" w:firstLine="720"/>
        <w:jc w:val="both"/>
        <w:rPr/>
      </w:pPr>
      <w:r>
        <w:rPr/>
      </w:r>
    </w:p>
    <w:tbl>
      <w:tblPr>
        <w:tblW w:w="4663" w:type="dxa"/>
        <w:jc w:val="left"/>
        <w:tblInd w:w="0" w:type="dxa"/>
        <w:tblLayout w:type="fixed"/>
        <w:tblCellMar>
          <w:top w:w="28" w:type="dxa"/>
          <w:left w:w="28" w:type="dxa"/>
          <w:bottom w:w="28" w:type="dxa"/>
          <w:right w:w="28" w:type="dxa"/>
        </w:tblCellMar>
      </w:tblPr>
      <w:tblGrid>
        <w:gridCol w:w="738"/>
        <w:gridCol w:w="648"/>
        <w:gridCol w:w="654"/>
        <w:gridCol w:w="319"/>
        <w:gridCol w:w="546"/>
        <w:gridCol w:w="165"/>
        <w:gridCol w:w="165"/>
        <w:gridCol w:w="165"/>
        <w:gridCol w:w="165"/>
        <w:gridCol w:w="319"/>
        <w:gridCol w:w="546"/>
        <w:gridCol w:w="23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Lease Operating Expenses.</w:t>
      </w:r>
      <w:r>
        <w:rPr>
          <w:color w:val="000000"/>
        </w:rPr>
        <w:t xml:space="preserve"> </w:t>
      </w:r>
      <w:r>
        <w:rPr>
          <w:rFonts w:ascii="Times New Roman;serif" w:hAnsi="Times New Roman;serif"/>
          <w:b w:val="false"/>
          <w:color w:val="000000"/>
          <w:sz w:val="20"/>
        </w:rPr>
        <w:t>The following table shows lease operating expenses for the periods indicated:</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Lease operating expenses increased for the three months ended March 31, 2026, compared to the same period in 2025 primarily due to (i) the first quarter of 2025 including a $38 million reduction in cost estimates related to producing properties acquired in the Endeavor Acquisition, (ii) an additional $27 million in water services costs following the divestiture of the Company’s Environmental Disposal Systems, LLC subsidiary in the fourth quarter of 2025, (iii) $24 million of costs attributable to operating wells acquired in the Double Eagle Acquisition, (iv) a $21 million increase in workover costs, (v) an additional $11 million in costs due to an increase in legacy production, and (vi) an increase in various other weather related costs due to a winter storm in January 2026.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Production and Ad Valorem Tax Expense.</w:t>
      </w:r>
      <w:r>
        <w:rPr>
          <w:color w:val="000000"/>
        </w:rPr>
        <w:t xml:space="preserve"> </w:t>
      </w:r>
      <w:r>
        <w:rPr>
          <w:rFonts w:ascii="Times New Roman;serif" w:hAnsi="Times New Roman;serif"/>
          <w:b w:val="false"/>
          <w:color w:val="000000"/>
          <w:sz w:val="20"/>
        </w:rPr>
        <w:t>The following table shows production and ad valorem tax expense for the periods indicated: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Production taxes as a percentage of revenue from sales of oil, natural gas and natural gas liquids remained consistent in the first quarter of 2026 compared to the first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 valorem taxes are based, among other factors, on property values driven by prior year commodity prices. Ad valorem taxes for the three months ended March 31, 2026, compared to the same period in 2025 increased by $25 million, primarily due to taxes incurred on properties acquired in the Double Eagle Acquisition and Viper’s 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Gathering, Processing and Transportation Expense.</w:t>
      </w:r>
      <w:r>
        <w:rPr>
          <w:color w:val="000000"/>
        </w:rPr>
        <w:t xml:space="preserve"> </w:t>
      </w:r>
      <w:r>
        <w:rPr>
          <w:rFonts w:ascii="Times New Roman;serif" w:hAnsi="Times New Roman;serif"/>
          <w:b w:val="false"/>
          <w:color w:val="000000"/>
          <w:sz w:val="20"/>
        </w:rPr>
        <w:t>The following table shows gathering, processing and transportation expenses for the periods indicated:</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Depreciation, Depletion, Amortization and Accretion.</w:t>
      </w:r>
      <w:r>
        <w:rPr>
          <w:color w:val="000000"/>
        </w:rPr>
        <w:t xml:space="preserve"> </w:t>
      </w:r>
      <w:r>
        <w:rPr>
          <w:rFonts w:ascii="Times New Roman;serif" w:hAnsi="Times New Roman;serif"/>
          <w:b w:val="false"/>
          <w:color w:val="000000"/>
          <w:sz w:val="20"/>
        </w:rPr>
        <w:t>The following table provides the components of our depreciation, depletion, amortization and accretion expense for the periods indicated:</w:t>
      </w:r>
    </w:p>
    <w:p>
      <w:pPr>
        <w:pStyle w:val="TextBody"/>
        <w:bidi w:val="0"/>
        <w:spacing w:before="0" w:after="0"/>
        <w:ind w:left="0" w:right="0" w:firstLine="720"/>
        <w:jc w:val="both"/>
        <w:rPr/>
      </w:pPr>
      <w:r>
        <w:rPr/>
      </w:r>
    </w:p>
    <w:tbl>
      <w:tblPr>
        <w:tblW w:w="7885" w:type="dxa"/>
        <w:jc w:val="left"/>
        <w:tblInd w:w="0" w:type="dxa"/>
        <w:tblLayout w:type="fixed"/>
        <w:tblCellMar>
          <w:top w:w="28" w:type="dxa"/>
          <w:left w:w="28" w:type="dxa"/>
          <w:bottom w:w="28" w:type="dxa"/>
          <w:right w:w="28" w:type="dxa"/>
        </w:tblCellMar>
      </w:tblPr>
      <w:tblGrid>
        <w:gridCol w:w="1905"/>
        <w:gridCol w:w="1673"/>
        <w:gridCol w:w="1687"/>
        <w:gridCol w:w="246"/>
        <w:gridCol w:w="720"/>
        <w:gridCol w:w="127"/>
        <w:gridCol w:w="127"/>
        <w:gridCol w:w="127"/>
        <w:gridCol w:w="127"/>
        <w:gridCol w:w="246"/>
        <w:gridCol w:w="720"/>
        <w:gridCol w:w="180"/>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BOE amounts)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proved oil and natural gas properties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other property and equipment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accretion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depletion rate per BOE</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 per BOE</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depletion of proved oil and natural gas properties of $202 million for the three months ended March 31, 2026, compared to the same period in 2025 consists of $161 million from growth in production volumes and $41 million attributable to an increase in the depletion rate from the addition of higher value leasehold costs and proved reserves from the Double Eagle Acquisition and, to a lesser extent, Viper’s Sitio Acquisition subsequent to the first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Impairment of Oil and Natural Gas Properties.</w:t>
      </w:r>
      <w:r>
        <w:rPr>
          <w:color w:val="000000"/>
        </w:rPr>
        <w:t xml:space="preserve"> </w:t>
      </w:r>
      <w:r>
        <w:rPr>
          <w:rFonts w:ascii="Times New Roman;serif" w:hAnsi="Times New Roman;serif"/>
          <w:b w:val="false"/>
          <w:color w:val="000000"/>
          <w:sz w:val="20"/>
        </w:rPr>
        <w:t>The following table shows impairment of oil and natural gas properties for the periods indicated:</w:t>
      </w:r>
    </w:p>
    <w:p>
      <w:pPr>
        <w:pStyle w:val="TextBody"/>
        <w:bidi w:val="0"/>
        <w:spacing w:before="0" w:after="0"/>
        <w:ind w:left="0" w:right="0" w:firstLine="720"/>
        <w:jc w:val="both"/>
        <w:rPr/>
      </w:pPr>
      <w:r>
        <w:rPr/>
      </w:r>
    </w:p>
    <w:tbl>
      <w:tblPr>
        <w:tblW w:w="6280" w:type="dxa"/>
        <w:jc w:val="left"/>
        <w:tblInd w:w="0" w:type="dxa"/>
        <w:tblLayout w:type="fixed"/>
        <w:tblCellMar>
          <w:top w:w="28" w:type="dxa"/>
          <w:left w:w="28" w:type="dxa"/>
          <w:bottom w:w="28" w:type="dxa"/>
          <w:right w:w="28" w:type="dxa"/>
        </w:tblCellMar>
      </w:tblPr>
      <w:tblGrid>
        <w:gridCol w:w="1324"/>
        <w:gridCol w:w="1162"/>
        <w:gridCol w:w="1173"/>
        <w:gridCol w:w="272"/>
        <w:gridCol w:w="795"/>
        <w:gridCol w:w="140"/>
        <w:gridCol w:w="140"/>
        <w:gridCol w:w="140"/>
        <w:gridCol w:w="140"/>
        <w:gridCol w:w="272"/>
        <w:gridCol w:w="524"/>
        <w:gridCol w:w="198"/>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non-cash ceiling test impairment charge of $1.4 billion for the three months ended March 31, 2026 primarily resulted from the decline in SEC Prices during the preceding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The following table shows the cash and non-cash general and administrative expenses incurred in the periods indicated:</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Operating Expenses, Net.</w:t>
      </w:r>
      <w:r>
        <w:rPr>
          <w:color w:val="000000"/>
        </w:rPr>
        <w:t xml:space="preserve"> </w:t>
      </w:r>
      <w:r>
        <w:rPr>
          <w:rFonts w:ascii="Times New Roman;serif" w:hAnsi="Times New Roman;serif"/>
          <w:b w:val="false"/>
          <w:color w:val="000000"/>
          <w:sz w:val="20"/>
        </w:rPr>
        <w:t>The following table shows the other operating expenses for the periods indicated:</w:t>
      </w:r>
    </w:p>
    <w:p>
      <w:pPr>
        <w:pStyle w:val="TextBody"/>
        <w:bidi w:val="0"/>
        <w:spacing w:before="0" w:after="0"/>
        <w:ind w:left="0" w:right="0" w:firstLine="720"/>
        <w:jc w:val="both"/>
        <w:rPr/>
      </w:pPr>
      <w:r>
        <w:rPr/>
      </w:r>
    </w:p>
    <w:tbl>
      <w:tblPr>
        <w:tblW w:w="5142" w:type="dxa"/>
        <w:jc w:val="left"/>
        <w:tblInd w:w="0" w:type="dxa"/>
        <w:tblLayout w:type="fixed"/>
        <w:tblCellMar>
          <w:top w:w="28" w:type="dxa"/>
          <w:left w:w="28" w:type="dxa"/>
          <w:bottom w:w="28" w:type="dxa"/>
          <w:right w:w="28" w:type="dxa"/>
        </w:tblCellMar>
      </w:tblPr>
      <w:tblGrid>
        <w:gridCol w:w="912"/>
        <w:gridCol w:w="800"/>
        <w:gridCol w:w="807"/>
        <w:gridCol w:w="319"/>
        <w:gridCol w:w="546"/>
        <w:gridCol w:w="165"/>
        <w:gridCol w:w="165"/>
        <w:gridCol w:w="165"/>
        <w:gridCol w:w="165"/>
        <w:gridCol w:w="319"/>
        <w:gridCol w:w="546"/>
        <w:gridCol w:w="233"/>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other operating expenses for the three months ended March 31, 2026, compared to the same period in 2025 primarily resulted from a $33 million reduction in merger and transaction costs due to the first quarter of 2025 including costs incurred for the Endeavor Acquisition and other individually insignificant transactions, and a $17 million decrease in midstream service expense following the divestiture of the Company’s Environmental Disposal Systems, LLC subsidiary in the fourth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following table shows the net gain (loss) on derivative instruments and the net cash receipts (payments) on settlements of derivative instruments for the periods indicated:</w:t>
      </w:r>
    </w:p>
    <w:p>
      <w:pPr>
        <w:pStyle w:val="TextBody"/>
        <w:bidi w:val="0"/>
        <w:spacing w:before="0" w:after="0"/>
        <w:ind w:left="0" w:right="0" w:firstLine="720"/>
        <w:jc w:val="both"/>
        <w:rPr/>
      </w:pPr>
      <w:r>
        <w:rPr/>
      </w:r>
    </w:p>
    <w:tbl>
      <w:tblPr>
        <w:tblW w:w="6238" w:type="dxa"/>
        <w:jc w:val="left"/>
        <w:tblInd w:w="0" w:type="dxa"/>
        <w:tblLayout w:type="fixed"/>
        <w:tblCellMar>
          <w:top w:w="28" w:type="dxa"/>
          <w:left w:w="28" w:type="dxa"/>
          <w:bottom w:w="28" w:type="dxa"/>
          <w:right w:w="28" w:type="dxa"/>
        </w:tblCellMar>
      </w:tblPr>
      <w:tblGrid>
        <w:gridCol w:w="1308"/>
        <w:gridCol w:w="1145"/>
        <w:gridCol w:w="1161"/>
        <w:gridCol w:w="285"/>
        <w:gridCol w:w="629"/>
        <w:gridCol w:w="147"/>
        <w:gridCol w:w="147"/>
        <w:gridCol w:w="147"/>
        <w:gridCol w:w="147"/>
        <w:gridCol w:w="285"/>
        <w:gridCol w:w="629"/>
        <w:gridCol w:w="208"/>
      </w:tblGrid>
      <w:tr>
        <w:trPr/>
        <w:tc>
          <w:tcPr>
            <w:tcW w:w="13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(loss) on derivative instruments, net</w:t>
            </w:r>
            <w:r>
              <w:rPr>
                <w:rFonts w:ascii="Times New Roman;serif" w:hAnsi="Times New Roman;serif"/>
                <w:b w:val="false"/>
                <w:color w:val="000000"/>
                <w:sz w:val="13"/>
              </w:rPr>
              <w:t>(1)</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cash received (paid) on settlements</w:t>
            </w:r>
            <w:r>
              <w:rPr>
                <w:rFonts w:ascii="Times New Roman;serif" w:hAnsi="Times New Roman;serif"/>
                <w:b w:val="false"/>
                <w:color w:val="000000"/>
                <w:sz w:val="13"/>
              </w:rPr>
              <w:t>(1)</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three months ended March 31, 2026, includes cash paid on interest rate swaps terminated prior to their contractual maturity of $27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gain on derivative instruments for the three months ended March 31, 2026, compared to the same period in 2025 reflects (i) a $132 million decrease in the gain on our oil contracts primarily due to reductions in the value of unsettled put and roll swap contracts, (ii) an $11 million net loss on our interest rate derivatives, which were terminated prior to their maturity, and (iii) other insignificant activity. These losses were partially offset by a net gain of $36 million on our natural gas contracts, comprised of an $80 million increase in cash received on the settlement of contracts primarily due to favorable differentials on our basis swaps and a $44 million net decrease in the value of our unsettled contracts due primarily to unfavorable movements in our basis swap differentials, partially offset by lower market prices compared to contract prices on our costless collars.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12—</w:t>
      </w:r>
      <w:hyperlink w:anchor="i64226f89bc01470fb2c113ff5ce9a825_8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The following table shows other income and expenses for the periods indicated:</w:t>
      </w:r>
    </w:p>
    <w:p>
      <w:pPr>
        <w:pStyle w:val="TextBody"/>
        <w:bidi w:val="0"/>
        <w:spacing w:before="0" w:after="0"/>
        <w:ind w:left="0" w:right="0" w:firstLine="720"/>
        <w:jc w:val="both"/>
        <w:rPr/>
      </w:pPr>
      <w:r>
        <w:rPr/>
      </w:r>
    </w:p>
    <w:tbl>
      <w:tblPr>
        <w:tblW w:w="6144" w:type="dxa"/>
        <w:jc w:val="left"/>
        <w:tblInd w:w="0" w:type="dxa"/>
        <w:tblLayout w:type="fixed"/>
        <w:tblCellMar>
          <w:top w:w="28" w:type="dxa"/>
          <w:left w:w="28" w:type="dxa"/>
          <w:bottom w:w="28" w:type="dxa"/>
          <w:right w:w="28" w:type="dxa"/>
        </w:tblCellMar>
      </w:tblPr>
      <w:tblGrid>
        <w:gridCol w:w="1275"/>
        <w:gridCol w:w="1120"/>
        <w:gridCol w:w="1129"/>
        <w:gridCol w:w="294"/>
        <w:gridCol w:w="607"/>
        <w:gridCol w:w="151"/>
        <w:gridCol w:w="151"/>
        <w:gridCol w:w="151"/>
        <w:gridCol w:w="151"/>
        <w:gridCol w:w="294"/>
        <w:gridCol w:w="607"/>
        <w:gridCol w:w="21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$23 million for the three months ended March 31, 2026, compared to the same period in 2025. This increase primarily consisted of (i) $22 million of additional interest expense related to the 2035 Notes and the 2025 Term Loan, (ii) a net increase of $9 million related to Viper’s issuance of its 4.900% Senior Notes due 2030 and 5.700% Senior Notes due 2035 and Viper’s redemption of its 5.375% Senior Notes due 2027 and 7.375% Senior Notes due 2031, and (iii) a $6 million reduction in interest income, which reduces interest expense. These increases were partially offset by a $13 million reduction in interest expense following the repayment of $900 million in borrowings on a previously outstanding term loan in May 2025 and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8—</w:t>
      </w:r>
      <w:hyperlink w:anchor="i64226f89bc01470fb2c113ff5ce9a825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net for the three months ended March 31, 2026, decreased compared to the same period in 2025, primarily due to the first quarter of 2025 including $42 million of proceeds received from an equity method investee divesting its assets. This decrease was partially offset by a $7 million increase in income from equity method investees and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following table shows the provision for (benefit from) income taxes for the periods indicated:</w:t>
      </w:r>
    </w:p>
    <w:p>
      <w:pPr>
        <w:pStyle w:val="TextBody"/>
        <w:bidi w:val="0"/>
        <w:spacing w:before="0" w:after="0"/>
        <w:ind w:left="0" w:right="0" w:firstLine="720"/>
        <w:jc w:val="both"/>
        <w:rPr/>
      </w:pPr>
      <w:r>
        <w:rPr/>
      </w:r>
    </w:p>
    <w:tbl>
      <w:tblPr>
        <w:tblW w:w="6056" w:type="dxa"/>
        <w:jc w:val="left"/>
        <w:tblInd w:w="0" w:type="dxa"/>
        <w:tblLayout w:type="fixed"/>
        <w:tblCellMar>
          <w:top w:w="28" w:type="dxa"/>
          <w:left w:w="28" w:type="dxa"/>
          <w:bottom w:w="28" w:type="dxa"/>
          <w:right w:w="28" w:type="dxa"/>
        </w:tblCellMar>
      </w:tblPr>
      <w:tblGrid>
        <w:gridCol w:w="1243"/>
        <w:gridCol w:w="1091"/>
        <w:gridCol w:w="1101"/>
        <w:gridCol w:w="301"/>
        <w:gridCol w:w="515"/>
        <w:gridCol w:w="155"/>
        <w:gridCol w:w="155"/>
        <w:gridCol w:w="155"/>
        <w:gridCol w:w="155"/>
        <w:gridCol w:w="301"/>
        <w:gridCol w:w="665"/>
        <w:gridCol w:w="219"/>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our income tax provision for the three months ended March 31, 2026, compared to the same period in 2025 was primarily due to the decrease in pre-tax income resulting largely from the non-cash ceiling test impairment charge recorded in the first quarter of 2026, partially offset by additional revenues from oil, natural gas and natural gas liquids as discussed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11—</w:t>
      </w:r>
      <w:hyperlink w:anchor="i64226f89bc01470fb2c113ff5ce9a825_79">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86" w:name="if13efc1472674723b8d7efd28f1a7e0f"/>
      <w:bookmarkEnd w:id="86"/>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87" w:name="i458a22f23eec439aadd3c2df2af01ba1"/>
      <w:bookmarkEnd w:id="87"/>
      <w:r>
        <w:rPr>
          <w:rFonts w:ascii="Times New Roman;serif" w:hAnsi="Times New Roman;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liquidity have included cash flows from operations, proceeds from our public equity offerings, borrowings under the Revolving Credit Facility and term loan agreements, proceeds from the issuance of senior notes and sales of non-core assets. Our primary uses of capital have been for the acquisition, development and exploration of oil and natural gas properties, repayment of debt and returning capital to stockholders. At March 31, 2026, we had approximately $2.6 billion of liquidity consisting of $146 million in standalone cash and cash equivalents and $2.5 billion available under our credit facility. At March 31, 2026, we had approximately $749 million of senior notes maturing in the next 12 months.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Future cash flows are subject to a number of variables, including the level of our oil and natural gas production and the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as discussed further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"https://www.sec.gov/ix?doc=/Archives/edgar/data/1539838/000153983826000010/fang-20251231.htm" \l "i27ba2a247b584e1aae74c0210baff60c_46"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 Item 1A. Risk Factors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12—</w:t>
      </w:r>
      <w:hyperlink w:anchor="i64226f89bc01470fb2c113ff5ce9a825_8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of this report.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bookmarkStart w:id="88" w:name="iea39522a11ab49aaa5626bf2cf157972"/>
      <w:bookmarkEnd w:id="88"/>
      <w:r>
        <w:rPr>
          <w:rFonts w:ascii="Times New Roman;serif" w:hAnsi="Times New Roman;serif"/>
          <w:b/>
          <w:i/>
          <w:color w:val="000000"/>
          <w:sz w:val="20"/>
        </w:rPr>
        <w:t>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flows for the three months ended March 31, 2026, and 2025 are presented below:</w:t>
      </w:r>
    </w:p>
    <w:p>
      <w:pPr>
        <w:pStyle w:val="TextBody"/>
        <w:bidi w:val="0"/>
        <w:spacing w:before="0" w:after="0"/>
        <w:ind w:left="0" w:right="0" w:firstLine="720"/>
        <w:jc w:val="both"/>
        <w:rPr/>
      </w:pPr>
      <w:r>
        <w:rPr/>
      </w:r>
    </w:p>
    <w:tbl>
      <w:tblPr>
        <w:tblW w:w="6834" w:type="dxa"/>
        <w:jc w:val="left"/>
        <w:tblInd w:w="0" w:type="dxa"/>
        <w:tblLayout w:type="fixed"/>
        <w:tblCellMar>
          <w:top w:w="28" w:type="dxa"/>
          <w:left w:w="28" w:type="dxa"/>
          <w:bottom w:w="28" w:type="dxa"/>
          <w:right w:w="28" w:type="dxa"/>
        </w:tblCellMar>
      </w:tblPr>
      <w:tblGrid>
        <w:gridCol w:w="1524"/>
        <w:gridCol w:w="1340"/>
        <w:gridCol w:w="1350"/>
        <w:gridCol w:w="246"/>
        <w:gridCol w:w="720"/>
        <w:gridCol w:w="127"/>
        <w:gridCol w:w="127"/>
        <w:gridCol w:w="127"/>
        <w:gridCol w:w="127"/>
        <w:gridCol w:w="246"/>
        <w:gridCol w:w="720"/>
        <w:gridCol w:w="180"/>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89" w:name="i694ccaea3318477683b8532f2edce745"/>
      <w:bookmarkEnd w:id="89"/>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decrease in operating cash flows for the three months ended March 31, 2026, compared to the same period in 2025 primarily resulted from (i) an increase in the change in accounts receivable of $773 million due primarily to higher prices received for our oil and natural gas sales in March 2026, (ii) higher cash operating expenses, excluding purchased oil expense, of approximately $138 million, (iii) changes in other working capital accounts including taxes payable and accounts payable and accrued liabilities due to the timing of when payments are made. These were partially offset by (i) a decrease of $259 million in cash paid for taxes, (ii) $181 million in additional revenues, excluding sales of purchased oil, and (iii) an increase of $48 million in cash received on settlements of derivatives. See “</w:t>
      </w:r>
      <w:r>
        <w:rPr>
          <w:color w:val="000000"/>
        </w:rPr>
        <w:t>—</w:t>
      </w:r>
      <w:hyperlink w:anchor="i64226f89bc01470fb2c113ff5ce9a825_127">
        <w:r>
          <w:rPr>
            <w:rStyle w:val="InternetLink"/>
            <w:rFonts w:ascii="Times New Roman;serif" w:hAnsi="Times New Roman;serif"/>
            <w:b w:val="false"/>
            <w:i/>
            <w:color w:val="0000FF"/>
            <w:sz w:val="20"/>
            <w:u w:val="single"/>
          </w:rPr>
          <w:t>Results of Operations</w:t>
        </w:r>
      </w:hyperlink>
      <w:r>
        <w:rPr>
          <w:color w:val="000000"/>
        </w:rPr>
        <w:t xml:space="preserve">” </w:t>
      </w:r>
      <w:r>
        <w:rPr>
          <w:rFonts w:ascii="Times New Roman;serif" w:hAnsi="Times New Roman;serif"/>
          <w:b w:val="false"/>
          <w:color w:val="000000"/>
          <w:sz w:val="20"/>
        </w:rPr>
        <w:t>for discussion of significant changes in our revenues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0" w:name="i86367bf4d8c44650b1a1a00836c57f89"/>
      <w:bookmarkEnd w:id="90"/>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majority of our net cash used in investing activities during the three months ended March 31, 2026, was for drilling and completion costs incurred in conjunction with our development program as well as the acquisition of properties and equipment. These cash expenditures were partially offset by the proceeds from the Viper Non-Permian Divestiture. See Note 4—</w:t>
      </w:r>
      <w:hyperlink w:anchor="i64226f89bc01470fb2c113ff5ce9a825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for further discussion of the Viper Non-Permian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our net cash used in investing activities during the three months ended March 31, 2025, was for drilling and completion costs incurred in conjunction with our development program as well as the acquisition of properties and equipment including the $208 million escrow deposit for the Double Eagle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1" w:name="ifd7a714910914c76930ce812f763c119"/>
      <w:bookmarkEnd w:id="91"/>
      <w:r>
        <w:rPr>
          <w:rFonts w:ascii="Times New Roman;serif" w:hAnsi="Times New Roman;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capital expenditures excluding acquisitions and equity method investments (on a cash basis) were as follows for the specified period:</w:t>
      </w:r>
    </w:p>
    <w:p>
      <w:pPr>
        <w:pStyle w:val="TextBody"/>
        <w:bidi w:val="0"/>
        <w:spacing w:before="0" w:after="0"/>
        <w:ind w:left="0" w:right="0" w:firstLine="720"/>
        <w:jc w:val="both"/>
        <w:rPr/>
      </w:pPr>
      <w:r>
        <w:rPr/>
      </w:r>
    </w:p>
    <w:tbl>
      <w:tblPr>
        <w:tblW w:w="9040" w:type="dxa"/>
        <w:jc w:val="left"/>
        <w:tblInd w:w="0" w:type="dxa"/>
        <w:tblLayout w:type="fixed"/>
        <w:tblCellMar>
          <w:top w:w="28" w:type="dxa"/>
          <w:left w:w="28" w:type="dxa"/>
          <w:bottom w:w="28" w:type="dxa"/>
          <w:right w:w="28" w:type="dxa"/>
        </w:tblCellMar>
      </w:tblPr>
      <w:tblGrid>
        <w:gridCol w:w="2327"/>
        <w:gridCol w:w="2040"/>
        <w:gridCol w:w="2052"/>
        <w:gridCol w:w="264"/>
        <w:gridCol w:w="678"/>
        <w:gridCol w:w="136"/>
        <w:gridCol w:w="136"/>
        <w:gridCol w:w="136"/>
        <w:gridCol w:w="136"/>
        <w:gridCol w:w="264"/>
        <w:gridCol w:w="678"/>
        <w:gridCol w:w="193"/>
      </w:tblGrid>
      <w:tr>
        <w:trPr/>
        <w:tc>
          <w:tcPr>
            <w:tcW w:w="232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Operated drilling and completion additions to oil and natural gas properties</w:t>
            </w:r>
            <w:r>
              <w:rPr>
                <w:rFonts w:ascii="Times New Roman;serif" w:hAnsi="Times New Roman;serif"/>
                <w:b w:val="false"/>
                <w:color w:val="000000"/>
                <w:sz w:val="13"/>
              </w:rPr>
              <w:t>(1)</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Non-operated additions to oil and natural gas properties and other</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(1) See “—</w:t>
      </w:r>
      <w:hyperlink w:anchor="i64226f89bc01470fb2c113ff5ce9a825_115">
        <w:r>
          <w:rPr>
            <w:rStyle w:val="InternetLink"/>
            <w:rFonts w:ascii="Times New Roman;serif" w:hAnsi="Times New Roman;serif"/>
            <w:b w:val="false"/>
            <w:i/>
            <w:color w:val="0000FF"/>
            <w:sz w:val="20"/>
            <w:u w:val="single"/>
          </w:rPr>
          <w:t>Transactions and Recent Developments—Upstream Operations</w:t>
        </w:r>
      </w:hyperlink>
      <w:r>
        <w:rPr>
          <w:color w:val="000000"/>
        </w:rPr>
        <w:t xml:space="preserve">” </w:t>
      </w:r>
      <w:r>
        <w:rPr>
          <w:rFonts w:ascii="Times New Roman;serif" w:hAnsi="Times New Roman;serif"/>
          <w:b w:val="false"/>
          <w:color w:val="000000"/>
          <w:sz w:val="20"/>
        </w:rPr>
        <w:t>above for additional detail on wells drilled and turned to production during the three months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2" w:name="i58b25fbe72824234a95b4766e4ab6a5d"/>
      <w:bookmarkEnd w:id="92"/>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used in financing activities was primarily attributable to (i) $645 million of repurchases as part of our and Viper’s share repurchase programs, (ii) $500 million for the repayment of the Viper 2025 Term Loan, (iii) $295 million of dividends paid to stockholders, (iv) $120 million in dividends paid to non-controlling interest, (v) $85 million in repayments on our credit facilities, net of borrowings, and (vi) various other individually insignificant costs. These cash outflows were partially offset by $589 million in proceeds from the Secondary Offering.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provided by financing activities was primarily attributable to $1.2 billion of proceeds from the issuance of the 5.550% senior notes due in 2035 and $1.2 billion in proceeds from Viper’s public offering of Class A common stock. These cash inflows were partially offset by (i) $575 million of repurchases as part of the share repurchase program, (ii) $290 million of dividends paid to stockholders, (iii) $261 million in repayments under our credit facilities, net of borrowings, (iv) $95 million in dividends paid to non-controlling interest, and (v) various other individually insignificant costs.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bookmarkStart w:id="93" w:name="i967edae1afd646b197e2ef12c2b911fa"/>
      <w:bookmarkEnd w:id="93"/>
      <w:r>
        <w:rPr>
          <w:rFonts w:ascii="Times New Roman;serif" w:hAnsi="Times New Roman;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working capital requirements are primarily supported by our cash and cash equivalents and available borrowings under the Revolving Credit Facility. We may draw on the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we pursue our business and financial strategy, we regularly consider which capital resources, including cash flow and debt and equity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4" w:name="i605e02c3e0d149f9a667383663e3eb7c"/>
      <w:bookmarkEnd w:id="94"/>
      <w:r>
        <w:rPr>
          <w:rFonts w:ascii="Times New Roman;serif" w:hAnsi="Times New Roman;serif"/>
          <w:b w:val="false"/>
          <w:i/>
          <w:color w:val="000000"/>
          <w:sz w:val="20"/>
        </w:rPr>
        <w:t>Revolving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5" w:name="i659fb8bdf5294336a8ccc3a974f3481f"/>
      <w:bookmarkEnd w:id="95"/>
      <w:r>
        <w:rPr>
          <w:rFonts w:ascii="Times New Roman;serif" w:hAnsi="Times New Roman;serif"/>
          <w:b w:val="false"/>
          <w:i/>
          <w:color w:val="000000"/>
          <w:sz w:val="20"/>
        </w:rPr>
        <w:t>Diamondback’s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our Revolving Credit Facility, which matures on June 12, 2030, had a maximum credit amount available of $2.5 billion, with no outstanding borrowings and $2.5 billion available for future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6" w:name="ida9d07bd71e945778d38b134c6c42d0d"/>
      <w:bookmarkEnd w:id="96"/>
      <w:r>
        <w:rPr>
          <w:rFonts w:ascii="Times New Roman;serif" w:hAnsi="Times New Roman;serif"/>
          <w:b w:val="false"/>
          <w:i/>
          <w:color w:val="000000"/>
          <w:sz w:val="20"/>
        </w:rPr>
        <w:t>Viper’s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Viper Revolving Credit Facility, which matures on June 12, 2030, provides for a commitment amount of $1.5 billion. As of March 31, 2026, the Viper Revolving Credit Facility had $20 million in outstanding borrowings and approximately $1.5 billion available for future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discussion of our revolving credit facilities as of March 31, 2026, see Note 8—</w:t>
      </w:r>
      <w:hyperlink w:anchor="i64226f89bc01470fb2c113ff5ce9a825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97" w:name="i14bcb704373c4247bb8391ef2773981e"/>
      <w:bookmarkEnd w:id="97"/>
      <w:r>
        <w:rPr>
          <w:rFonts w:ascii="Times New Roman;serif" w:hAnsi="Times New Roman;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to future operating expenses and working capital commitments discussed in “</w:t>
      </w:r>
      <w:r>
        <w:rPr>
          <w:color w:val="000000"/>
        </w:rPr>
        <w:t>—</w:t>
      </w:r>
      <w:hyperlink w:anchor="i64226f89bc01470fb2c113ff5ce9a825_115">
        <w:r>
          <w:rPr>
            <w:rStyle w:val="InternetLink"/>
            <w:rFonts w:ascii="Times New Roman;serif" w:hAnsi="Times New Roman;serif"/>
            <w:b w:val="false"/>
            <w:i/>
            <w:color w:val="0000FF"/>
            <w:sz w:val="20"/>
            <w:u w:val="single"/>
          </w:rPr>
          <w:t>Transactions and Recent Developments—Upstream Operations</w:t>
        </w:r>
      </w:hyperlink>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primary short and long-term liquidity requirements, excluding those of Viper, consist primarily of (i) capital expenditures, (ii) payments of principal and interest on the Revolving Credit Facility, 2025 Term Loan and senior notes, (iii) payments of other contractual obligations, and (iv) cash used to pay for dividends and repurchases of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8" w:name="if6cbe0a44f264ebaa1fa14b2c119cfba"/>
      <w:bookmarkEnd w:id="98"/>
      <w:r>
        <w:rPr>
          <w:rFonts w:ascii="Times New Roman;serif" w:hAnsi="Times New Roman;serif"/>
          <w:b w:val="false"/>
          <w:i/>
          <w:color w:val="000000"/>
          <w:sz w:val="20"/>
        </w:rPr>
        <w:t>2026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capitalize on higher oil prices, we have made the decision to work down our drilled but uncompleted well inventory to bring incremental barrels to the market immediately and add two or three rigs to maintain a healthy backlog of projects to maintain operational flexibility in 2026. As a result, our board of directors has approved an increase of 4% to our 2026 capital budget guidance to approximately $3.90 billion, which includes $3.31 billion for operated horizontal drilling and completions.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16 drilling rigs and five completion crews. We will continue monitoring commodity prices and overall market conditions and can adjust our rig cadence and our capital expenditure budget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9" w:name="i1ab758e450ba4622b5fb3363fd7feea4"/>
      <w:bookmarkEnd w:id="99"/>
      <w:r>
        <w:rPr>
          <w:rFonts w:ascii="Times New Roman;serif" w:hAnsi="Times New Roman;serif"/>
          <w:b w:val="false"/>
          <w:i/>
          <w:color w:val="000000"/>
          <w:sz w:val="20"/>
        </w:rPr>
        <w:t>Debt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debt, including the debt of Viper, consisted of approximately $13.5 billion in aggregate outstanding principal amount of senior notes, $550 million in aggregate outstanding borrowings under the 2025 Term Loan Agreement, and $20 million in aggregate outstanding borrowings under revolving credit facilities.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we (i) repaid in full the $550 million in outstanding borrowings and terminated the 2025 Term Loan, and (ii) completed a tender offer to repurchase an aggregate principal amount of $777 million of our senior notes, which consisted of $283 million of the 4.400% Senior Notes due 2051 and $494 million of the 4.250% Senior Notes due 2052 for total cash consideration, including accrued interest paid, of approximately $632 million, at an average of 81.1% of par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100" w:name="if338788fe93c4f2dbc658de18c11ef2c"/>
      <w:bookmarkEnd w:id="100"/>
      <w:r>
        <w:rPr>
          <w:rFonts w:ascii="Times New Roman;serif" w:hAnsi="Times New Roman;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in the second quarter of 2026, our board of directors approved the removal of our minimum 50% return of capital quarterly commitment to allow the Company more discretion in the allocation of Free Cash Flow. Further, on April 29, 2026, our board of directors declared a base cash dividend for the first quarter of 2026 of $1.10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our board of directors approved an increase in our common stock repurchase program, from $6.0 billion to $8.0 billion, excluding the 1% U.S. federal excise tax on certain repurchases of stock by publicly traded U.S. corporations enacted as part of the IRA. Since the inception of the stock repurchase program through May 1, 2026, we have repurchased an aggregate of 41.7 million shares of our common stock for a total cost of $5.9 billion, which includes $814 million for the repurchase of 5.0 million shares from SGF, excluding excise tax, leaving approximately $2.1 billion for future repurchases under such stock repurchase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Subject to regulatory restrictions and other factors discussed elsewhere in this report,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Repurchases may be executed in privately negotiated or open-market transactions, consistent with Rule 10b-18 under the Securities Exchange Act of 1934 and other applicable requirements. All shares repurchased will be retired. See Note 9—</w:t>
      </w:r>
      <w:hyperlink w:anchor="i64226f89bc01470fb2c113ff5ce9a825_73">
        <w:r>
          <w:rPr>
            <w:rStyle w:val="InternetLink"/>
            <w:rFonts w:ascii="Times New Roman;serif" w:hAnsi="Times New Roman;serif"/>
            <w:b w:val="false"/>
            <w:color w:val="0000FF"/>
            <w:sz w:val="20"/>
            <w:u w:val="single"/>
          </w:rPr>
          <w:t>Stockholders’ Equity and Earnings (Loss) Per Share</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stock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01" w:name="i744193ab30b741cfac9f22714dc45d14"/>
      <w:bookmarkEnd w:id="101"/>
      <w:r>
        <w:rPr>
          <w:rFonts w:ascii="Times New Roman;serif" w:hAnsi="Times New Roman;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 is the sole guarantor under the indentures governing the outstanding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the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36" w:type="dxa"/>
        <w:jc w:val="left"/>
        <w:tblInd w:w="0" w:type="dxa"/>
        <w:tblLayout w:type="fixed"/>
        <w:tblCellMar>
          <w:top w:w="28" w:type="dxa"/>
          <w:left w:w="28" w:type="dxa"/>
          <w:bottom w:w="28" w:type="dxa"/>
          <w:right w:w="28" w:type="dxa"/>
        </w:tblCellMar>
      </w:tblPr>
      <w:tblGrid>
        <w:gridCol w:w="1749"/>
        <w:gridCol w:w="1538"/>
        <w:gridCol w:w="1542"/>
        <w:gridCol w:w="261"/>
        <w:gridCol w:w="894"/>
        <w:gridCol w:w="135"/>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Summarized Balance Sheets:</w:t>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accounts payable, non-guarantor subsidiary</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23" w:type="dxa"/>
        <w:jc w:val="left"/>
        <w:tblInd w:w="0" w:type="dxa"/>
        <w:tblLayout w:type="fixed"/>
        <w:tblCellMar>
          <w:top w:w="28" w:type="dxa"/>
          <w:left w:w="28" w:type="dxa"/>
          <w:bottom w:w="28" w:type="dxa"/>
          <w:right w:w="28" w:type="dxa"/>
        </w:tblCellMar>
      </w:tblPr>
      <w:tblGrid>
        <w:gridCol w:w="1114"/>
        <w:gridCol w:w="979"/>
        <w:gridCol w:w="982"/>
        <w:gridCol w:w="673"/>
        <w:gridCol w:w="1965"/>
        <w:gridCol w:w="347"/>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Summarized Statement of Operations:</w:t>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Income (loss) from operations</w:t>
            </w:r>
            <w:r>
              <w:rPr>
                <w:rFonts w:ascii="Times New Roman;serif" w:hAnsi="Times New Roman;serif"/>
                <w:b w:val="false"/>
                <w:color w:val="000000"/>
                <w:sz w:val="13"/>
              </w:rPr>
              <w:t>(1)</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(1)During the three months ended March 31, 2026, the Company recorded a noncash impairment that is reflected in the summarized results of the guarantor group. This impairment is not indicative of cash flows available for debt service.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02" w:name="ie0fe77db909d4676a30df471278114e0"/>
      <w:bookmarkEnd w:id="102"/>
      <w:r>
        <w:rPr>
          <w:rFonts w:ascii="Times New Roman;serif" w:hAnsi="Times New Roman;serif"/>
          <w:b/>
          <w:color w:val="000000"/>
          <w:sz w:val="20"/>
        </w:rPr>
        <w:t>Critical Accounting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There have been no changes in our critical accounting estimates from those disclosed in our </w:t>
      </w:r>
      <w:hyperlink r:id="rId6">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03" w:name="i904b672b8e8d4f58a6ce857332c893d2"/>
      <w:bookmarkEnd w:id="103"/>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64226f89bc01470fb2c113ff5ce9a825_46">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of the notes to the condensed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04" w:name="if4a7068cd68a4d558e2c38dab6078fa1"/>
      <w:bookmarkEnd w:id="104"/>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than the repayment and termination of the Viper 2025 Term Loan in the first quarter of 2026 and the subsequent repayment and termination of the 2025 Term Loan in the second quarter of 2026, information regarding market risks for the three months ended March 31, 2026 does not differ materially from that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"https://www.sec.gov/ix?doc=/Archives/edgar/data/1539838/000153983826000010/fang-20251231.htm" \l "i27ba2a247b584e1aae74c0210baff60c_121"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II. Item 7A. Quantitative and Qualitative Disclosures About Market Risk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05" w:name="i4c5466826c9a4103a1bec7651e94e643"/>
      <w:bookmarkEnd w:id="105"/>
      <w:r>
        <w:rPr>
          <w:rFonts w:ascii="Times New Roman;serif" w:hAnsi="Times New Roman;serif"/>
          <w:b/>
          <w:color w:val="000000"/>
          <w:sz w:val="20"/>
        </w:rPr>
        <w:t>ITEM 4.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xml:space="preserve">.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include, without limitation, controls and procedures designed to ensure that information required to be disclosed by us in the reports that we file or submit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Exchange Act is accumulated and communicated to management, including our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2026,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Viper is in the process of integrating the entities acquired in the Sitio Acquisition. As a result of these integration activities, certain controls will be evaluated and may be changed. Except as noted above, there have not been any changes in our internal control over financial reporting that occurred during the quarter ended March 31, 2026, that have materially affected, or are reasonably likely to materially affect,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bookmarkStart w:id="106" w:name="id07d289f498a44718dbd525d8704a9b6"/>
      <w:bookmarkEnd w:id="106"/>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07" w:name="ic02d4344cad648e99a5b8fc4d0c8d3f4"/>
      <w:bookmarkEnd w:id="107"/>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Diamondback has elected to use a $1 million threshold for disclosing certain environmental proceedings to which a federal, state or local governmental authority is a party</w:t>
      </w:r>
      <w:r>
        <w:rPr>
          <w:rFonts w:ascii="Times New Roman;serif" w:hAnsi="Times New Roman;serif"/>
          <w:b/>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15—</w:t>
      </w:r>
      <w:hyperlink w:anchor="i64226f89bc01470fb2c113ff5ce9a825_91">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08" w:name="i911afaeeab234fff8089ca7297edfcf8"/>
      <w:bookmarkEnd w:id="108"/>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the date of this filing, we continue to be subject to the risk factors previously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"https://www.sec.gov/ix?doc=/Archives/edgar/data/1539838/000153983826000010/fang-20251231.htm" \l "i27ba2a247b584e1aae74c0210baff60c_46"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 Item 1A. Risk Factors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for the year ended December 31, 2025, filed with the SEC on February 25, 2026, and in subsequent filings we make with the SEC. There have been no material changes in our risk factors from those described in our </w:t>
      </w:r>
      <w:hyperlink r:id="rId7">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09" w:name="ie365466a5c874e4ea098e5acb6f9f738"/>
      <w:bookmarkEnd w:id="109"/>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10" w:name="i99734df119c847748ba661df82f0a9da"/>
      <w:bookmarkEnd w:id="110"/>
      <w:r>
        <w:rPr>
          <w:rFonts w:ascii="Times New Roman;serif" w:hAnsi="Times New Roman;serif"/>
          <w:b/>
          <w:color w:val="000000"/>
          <w:sz w:val="20"/>
        </w:rPr>
        <w:t>Unregistered Sales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bookmarkStart w:id="111" w:name="i89d6bf3b605f4df3be489aad26b90026"/>
      <w:bookmarkEnd w:id="111"/>
      <w:r>
        <w:rPr>
          <w:rFonts w:ascii="Times New Roman;serif" w:hAnsi="Times New Roman;serif"/>
          <w:b/>
          <w:color w:val="000000"/>
          <w:sz w:val="20"/>
        </w:rPr>
        <w:t>Issuer Repurchases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repurchase activity for the three months ended March 31, 2026,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73"/>
        <w:gridCol w:w="444"/>
        <w:gridCol w:w="449"/>
        <w:gridCol w:w="109"/>
        <w:gridCol w:w="109"/>
        <w:gridCol w:w="109"/>
        <w:gridCol w:w="479"/>
        <w:gridCol w:w="479"/>
        <w:gridCol w:w="480"/>
        <w:gridCol w:w="109"/>
        <w:gridCol w:w="109"/>
        <w:gridCol w:w="109"/>
        <w:gridCol w:w="288"/>
        <w:gridCol w:w="984"/>
        <w:gridCol w:w="148"/>
        <w:gridCol w:w="109"/>
        <w:gridCol w:w="109"/>
        <w:gridCol w:w="109"/>
        <w:gridCol w:w="698"/>
        <w:gridCol w:w="698"/>
        <w:gridCol w:w="700"/>
        <w:gridCol w:w="109"/>
        <w:gridCol w:w="109"/>
        <w:gridCol w:w="109"/>
        <w:gridCol w:w="529"/>
        <w:gridCol w:w="1550"/>
        <w:gridCol w:w="398"/>
      </w:tblGrid>
      <w:tr>
        <w:trPr/>
        <w:tc>
          <w:tcPr>
            <w:tcW w:w="5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w:t>
            </w:r>
            <w:r>
              <w:rPr>
                <w:rFonts w:ascii="Times New Roman;serif" w:hAnsi="Times New Roman;serif"/>
                <w:b/>
                <w:color w:val="000000"/>
                <w:sz w:val="12"/>
              </w:rPr>
              <w:t>(3)(4)</w:t>
            </w:r>
          </w:p>
        </w:tc>
      </w:tr>
      <w:tr>
        <w:trPr/>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150,806 shares of common stock repurchased from executives in order to satisfy tax withholding requirements. Such shares are canceled and retired immediately upon repurchase.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July 31, 2025, our board of directors approved a $2.0 billion increase in our common stock repurchase authorization from $6.0 billion to $8.0 billion,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12" w:name="i18596d5a419144479b6ffd947a05783f"/>
      <w:bookmarkEnd w:id="112"/>
      <w:r>
        <w:rPr>
          <w:rFonts w:ascii="Times New Roman;serif" w:hAnsi="Times New Roman;serif"/>
          <w:b/>
          <w:color w:val="000000"/>
          <w:sz w:val="20"/>
        </w:rPr>
        <w:t>ITEM 5.    OTHER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17, 2026, Charles A. Meloy, a member of the board of directors of the Company, adopted a Rule 10b5-1 trading agreement intended to satisfy Rule 10b5-1(c), as amended. The plan relates to the sale of up to 150,000 shares of our common stock between June 16, 2026, and November 30, 2026. The shares covered by this plan include shares of common stock currently held by Wolfrock Energy, L.L.C., a Texas limited liability company, of which Mr. Meloy is the sole manager and has voting and dispositive power over the shares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Company’s other directors or officers adopted or terminated a Rule 10b5-1 trading arrangement or a non-Rule 10b5-1 trading arrangement during the Company’s fiscal quarter ended March 31, 2026.</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13" w:name="ibecae24ea0484e20a1e4788b23824db4"/>
      <w:bookmarkEnd w:id="113"/>
      <w:r>
        <w:rPr>
          <w:rFonts w:ascii="Times New Roman;serif" w:hAnsi="Times New Roman;serif"/>
          <w:b/>
          <w:color w:val="000000"/>
          <w:sz w:val="20"/>
        </w:rPr>
        <w:t>ITEM 6.    EXHIBITS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84"/>
        <w:gridCol w:w="338"/>
        <w:gridCol w:w="339"/>
        <w:gridCol w:w="109"/>
        <w:gridCol w:w="109"/>
        <w:gridCol w:w="109"/>
        <w:gridCol w:w="2580"/>
        <w:gridCol w:w="2569"/>
        <w:gridCol w:w="3668"/>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before="0" w:after="283"/>
              <w:jc w:val="left"/>
              <w:rPr/>
            </w:pPr>
            <w:r>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Second Amended and Restated Certificate of Incorporation of the Company (incorporated by reference to Exhibit 3.1 to the Form 8-K, File No. 001-35700, filed by the Company with the SEC on June 14, 2023).</w:t>
              </w:r>
            </w:hyperlink>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Certificate of Amendment No. 1 to Second Amended and Restated Certificate of Incorporation of the Company (incorporated by reference to Exhibit 3.1 to the Form 8-K, File No. 001-35700, filed by the Company with the SEC on September 10, 2024).</w:t>
              </w:r>
            </w:hyperlink>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List of Issuers and Subsidiary Guarantors (incorporated by reference to Exhibit 22.1 to the Form 10-Q, File No. 001-35700, filed by the Company with the SEC on August 5, 2021).</w:t>
              </w:r>
            </w:hyperlink>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12026diamondback10-qxex311.htm">
              <w:r>
                <w:rPr>
                  <w:rStyle w:val="InternetLink"/>
                  <w:rFonts w:ascii="Times New Roman;serif" w:hAnsi="Times New Roman;serif"/>
                  <w:b w:val="false"/>
                  <w:color w:val="0000FF"/>
                  <w:sz w:val="20"/>
                  <w:u w:val="single"/>
                </w:rPr>
                <w:t>Certification of Chief Executive Officer of the Registrant pursuant to Rule 13a-14(a) promulgated under the Securities Exchange Act of 1934, as amended.</w:t>
              </w:r>
            </w:hyperlink>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12026diamondback10-qxex312.htm">
              <w:r>
                <w:rPr>
                  <w:rStyle w:val="InternetLink"/>
                  <w:rFonts w:ascii="Times New Roman;serif" w:hAnsi="Times New Roman;serif"/>
                  <w:b w:val="false"/>
                  <w:color w:val="0000FF"/>
                  <w:sz w:val="20"/>
                  <w:u w:val="single"/>
                </w:rPr>
                <w:t>Certification of Chief Financial Officer of the Registrant pursuant to Rule 13a-14(a) promulgated under the Securities Exchange Act of 1934, as amended.</w:t>
              </w:r>
            </w:hyperlink>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12026diamondback10-qxex321.htm">
              <w:r>
                <w:rPr>
                  <w:rStyle w:val="InternetLink"/>
                  <w:rFonts w:ascii="Times New Roman;serif" w:hAnsi="Times New Roman;serif"/>
                  <w:b w:val="false"/>
                  <w:color w:val="0000FF"/>
                  <w:sz w:val="20"/>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12026diamondback10-qxex322.htm">
              <w:r>
                <w:rPr>
                  <w:rStyle w:val="InternetLink"/>
                  <w:rFonts w:ascii="Times New Roman;serif" w:hAnsi="Times New Roman;serif"/>
                  <w:b w:val="false"/>
                  <w:color w:val="0000FF"/>
                  <w:sz w:val="20"/>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March 31, 2026, formatted in Inline XBRL: (i) Condensed Consolidated Balance Sheets, (ii) Condensed Consolidated Statements of Operations, (iii) Condensed Consolidated Statements of Stockholders’ Equity, (iv) Condensed Consolidated Statements of Cash Flows, and (v) Notes to the Condensed Consolidated Financial Statements.</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19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4226f89bc01470fb2c113ff5ce9a82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14" w:name="i5d2253c485914efe9e08892161f8f15a"/>
      <w:bookmarkEnd w:id="114"/>
      <w:r>
        <w:rPr>
          <w:rFonts w:ascii="Times New Roman;serif" w:hAnsi="Times New Roman;serif"/>
          <w:b/>
          <w:color w:val="000000"/>
          <w:sz w:val="20"/>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458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Diamondback Energy, Inc. (the "registrant");</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5"/>
        <w:gridCol w:w="605"/>
        <w:gridCol w:w="85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Jere W. Thompson III,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Diamondback Energy, Inc. (the "registrant");</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179"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19"/>
        <w:gridCol w:w="619"/>
        <w:gridCol w:w="87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 or 78o(d)); and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5"/>
        <w:gridCol w:w="605"/>
        <w:gridCol w:w="85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Diamondback Energy, Inc. (the "Company"), as filed with the Securities and Exchange Commission on the date hereof (the "Report"), I, the undersigned, Jere W. Thompson III,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 or 78o(d)); and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179"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19"/>
        <w:gridCol w:w="619"/>
        <w:gridCol w:w="87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39838/000153983826000010/fang-20251231.htm" TargetMode="External"/><Relationship Id="rId3" Type="http://schemas.openxmlformats.org/officeDocument/2006/relationships/hyperlink" Target="https://www.sec.gov/ix?doc=/Archives/edgar/data/0001539838/000153983826000010/fang-20251231.htm" TargetMode="External"/><Relationship Id="rId4" Type="http://schemas.openxmlformats.org/officeDocument/2006/relationships/hyperlink" Target="https://www.sec.gov/ix?doc=/Archives/edgar/data/1539838/000153983826000010/fang-20251231.htm" TargetMode="External"/><Relationship Id="rId5" Type="http://schemas.openxmlformats.org/officeDocument/2006/relationships/hyperlink" Target="https://www.sec.gov/ix?doc=/Archives/edgar/data/0001539838/000153983826000010/fang-20251231.htm" TargetMode="External"/><Relationship Id="rId6" Type="http://schemas.openxmlformats.org/officeDocument/2006/relationships/hyperlink" Target="https://www.sec.gov/ix?doc=/Archives/edgar/data/0001539838/000153983826000010/fang-20251231.htm" TargetMode="External"/><Relationship Id="rId7" Type="http://schemas.openxmlformats.org/officeDocument/2006/relationships/hyperlink" Target="https://www.sec.gov/ix?doc=/Archives/edgar/data/0001539838/000153983826000010/fang-20251231.htm" TargetMode="External"/><Relationship Id="rId8" Type="http://schemas.openxmlformats.org/officeDocument/2006/relationships/hyperlink" Target="https://www.sec.gov/Archives/edgar/data/1539838/000153983823000086/diamondbackex31-6x14x23.htm" TargetMode="External"/><Relationship Id="rId9" Type="http://schemas.openxmlformats.org/officeDocument/2006/relationships/hyperlink" Target="https://www.sec.gov/Archives/edgar/data/1539838/000114036124040726/ef20035628_ex3-1.htm" TargetMode="External"/><Relationship Id="rId10" Type="http://schemas.openxmlformats.org/officeDocument/2006/relationships/hyperlink" Target="https://www.sec.gov/Archives/edgar/data/1539838/000153983821000117/diamondback-ex211x82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24540</Words>
  <Characters>134671</Characters>
  <CharactersWithSpaces>157135</CharactersWithSpaces>
  <Paragraphs>3430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