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220980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w:t>
      </w:r>
    </w:p>
    <w:p>
      <w:pPr>
        <w:spacing w:after="0" w:line="1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45"/>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-302895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Incorporation or Organization)</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Identification Number)</w:t>
            </w:r>
          </w:p>
        </w:tc>
      </w:tr>
      <w:tr>
        <w:trPr>
          <w:trHeight w:val="507"/>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1200</w:t>
            </w:r>
          </w:p>
        </w:tc>
        <w:tc>
          <w:tcPr>
            <w:tcW w:w="4960" w:type="dxa"/>
            <w:vAlign w:val="bottom"/>
          </w:tcPr>
          <w:p>
            <w:pPr>
              <w:spacing w:after="0"/>
              <w:rPr>
                <w:sz w:val="24"/>
                <w:szCs w:val="24"/>
                <w:color w:val="auto"/>
              </w:rPr>
            </w:pPr>
          </w:p>
        </w:tc>
      </w:t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Midland, Texas</w:t>
            </w:r>
          </w:p>
        </w:tc>
        <w:tc>
          <w:tcPr>
            <w:tcW w:w="4960" w:type="dxa"/>
            <w:vAlign w:val="bottom"/>
          </w:tcPr>
          <w:p>
            <w:pPr>
              <w:jc w:val="right"/>
              <w:ind w:right="400"/>
              <w:spacing w:after="0"/>
              <w:rPr>
                <w:sz w:val="20"/>
                <w:szCs w:val="20"/>
                <w:color w:val="auto"/>
              </w:rPr>
            </w:pPr>
            <w:r>
              <w:rPr>
                <w:rFonts w:ascii="Arial" w:cs="Arial" w:eastAsia="Arial" w:hAnsi="Arial"/>
                <w:sz w:val="18"/>
                <w:szCs w:val="18"/>
                <w:b w:val="1"/>
                <w:bCs w:val="1"/>
                <w:color w:val="auto"/>
              </w:rPr>
              <w:t>79701</w:t>
            </w:r>
          </w:p>
        </w:tc>
      </w:tr>
      <w:tr>
        <w:trPr>
          <w:trHeight w:val="24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30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40" w:val="left"/>
          <w:tab w:leader="none" w:pos="12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21"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372"/>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300"/>
              <w:spacing w:after="0"/>
              <w:rPr>
                <w:sz w:val="20"/>
                <w:szCs w:val="20"/>
                <w:color w:val="auto"/>
              </w:rPr>
            </w:pPr>
            <w:r>
              <w:rPr>
                <w:rFonts w:ascii="Arial" w:cs="Arial" w:eastAsia="Arial" w:hAnsi="Arial"/>
                <w:sz w:val="18"/>
                <w:szCs w:val="18"/>
                <w:color w:val="auto"/>
              </w:rPr>
              <w:t>o</w:t>
            </w:r>
          </w:p>
        </w:tc>
        <w:tc>
          <w:tcPr>
            <w:tcW w:w="46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392"/>
        </w:trPr>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8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spacing w:after="0" w:line="26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10" w:lineRule="exact"/>
        <w:rPr>
          <w:sz w:val="24"/>
          <w:szCs w:val="24"/>
          <w:color w:val="auto"/>
        </w:rPr>
      </w:pPr>
    </w:p>
    <w:p>
      <w:pPr>
        <w:ind w:right="278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July 28, 2017, 98,132,793 shares of the registrant’s common stock were outstanding.</w:t>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24"/>
            <w:shd w:val="clear" w:color="auto" w:fill="CCEEFF"/>
          </w:tcPr>
          <w:p>
            <w:pPr>
              <w:ind w:left="40"/>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Glossary of Oil and Natural Gas Terms</w:t>
              </w:r>
            </w:hyperlink>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center"/>
              <w:ind w:right="28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24"/>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Glossary of Certain Other Terms</w:t>
              </w:r>
            </w:hyperlink>
          </w:p>
        </w:tc>
        <w:tc>
          <w:tcPr>
            <w:tcW w:w="260" w:type="dxa"/>
            <w:vAlign w:val="bottom"/>
          </w:tcPr>
          <w:p>
            <w:pPr>
              <w:spacing w:after="0"/>
              <w:rPr>
                <w:sz w:val="17"/>
                <w:szCs w:val="17"/>
                <w:color w:val="auto"/>
              </w:rPr>
            </w:pPr>
          </w:p>
        </w:tc>
        <w:tc>
          <w:tcPr>
            <w:tcW w:w="420" w:type="dxa"/>
            <w:vAlign w:val="bottom"/>
            <w:gridSpan w:val="7"/>
          </w:tcPr>
          <w:p>
            <w:pPr>
              <w:jc w:val="center"/>
              <w:ind w:right="2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Statements</w:t>
              </w:r>
            </w:hyperlink>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gridSpan w:val="5"/>
            <w:shd w:val="clear" w:color="auto" w:fill="CCEEFF"/>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560" w:type="dxa"/>
            <w:vAlign w:val="bottom"/>
            <w:gridSpan w:val="8"/>
            <w:shd w:val="clear" w:color="auto" w:fill="CCEEFF"/>
          </w:tcPr>
          <w:p>
            <w:pPr>
              <w:jc w:val="center"/>
              <w:ind w:right="3500"/>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180" w:type="dxa"/>
            <w:vAlign w:val="bottom"/>
            <w:tcBorders>
              <w:top w:val="single" w:sz="8" w:color="CCEEFF"/>
            </w:tcBorders>
            <w:gridSpan w:val="16"/>
          </w:tcPr>
          <w:p>
            <w:pPr>
              <w:ind w:left="40"/>
              <w:spacing w:after="0" w:line="202" w:lineRule="exact"/>
              <w:rPr>
                <w:sz w:val="20"/>
                <w:szCs w:val="20"/>
                <w:color w:val="auto"/>
              </w:rPr>
            </w:pPr>
            <w:r>
              <w:rPr>
                <w:rFonts w:ascii="Arial" w:cs="Arial" w:eastAsia="Arial" w:hAnsi="Arial"/>
                <w:sz w:val="18"/>
                <w:szCs w:val="18"/>
                <w:color w:val="0000EE"/>
              </w:rPr>
              <w:t>Item 1. Financial Statements (Unaudited)</w:t>
            </w:r>
          </w:p>
        </w:tc>
        <w:tc>
          <w:tcPr>
            <w:tcW w:w="3060" w:type="dxa"/>
            <w:vAlign w:val="bottom"/>
            <w:tcBorders>
              <w:top w:val="single" w:sz="8" w:color="auto"/>
            </w:tcBorders>
            <w:gridSpan w:val="7"/>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Operations</w:t>
              </w:r>
            </w:hyperlink>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Stockholders’ Equity</w:t>
              </w:r>
            </w:hyperlink>
          </w:p>
        </w:tc>
        <w:tc>
          <w:tcPr>
            <w:tcW w:w="6480" w:type="dxa"/>
            <w:vAlign w:val="bottom"/>
            <w:gridSpan w:val="7"/>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4"/>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6480" w:type="dxa"/>
            <w:vAlign w:val="bottom"/>
            <w:gridSpan w:val="7"/>
          </w:tcPr>
          <w:p>
            <w:pPr>
              <w:spacing w:after="0"/>
              <w:rPr>
                <w:sz w:val="17"/>
                <w:szCs w:val="17"/>
                <w:color w:val="auto"/>
              </w:rPr>
            </w:pPr>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Conditions and Results of Operations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47</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48</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0" w:type="dxa"/>
            <w:vAlign w:val="bottom"/>
            <w:gridSpan w:val="6"/>
            <w:shd w:val="clear" w:color="auto" w:fill="CCEEFF"/>
          </w:tcPr>
          <w:p>
            <w:pPr>
              <w:jc w:val="center"/>
              <w:ind w:right="3640"/>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1.</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49</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1A. Risk Factors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51</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tcPr>
          <w:p>
            <w:pPr>
              <w:ind w:left="84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r>
      <w:tr>
        <w:trPr>
          <w:trHeight w:val="135"/>
        </w:trPr>
        <w:tc>
          <w:tcPr>
            <w:tcW w:w="2820" w:type="dxa"/>
            <w:vAlign w:val="bottom"/>
            <w:tcBorders>
              <w:bottom w:val="single" w:sz="8" w:color="auto"/>
            </w:tcBorders>
          </w:tcPr>
          <w:p>
            <w:pPr>
              <w:spacing w:after="0"/>
              <w:rPr>
                <w:sz w:val="11"/>
                <w:szCs w:val="11"/>
                <w:color w:val="auto"/>
              </w:rPr>
            </w:pPr>
          </w:p>
        </w:tc>
        <w:tc>
          <w:tcPr>
            <w:tcW w:w="8600" w:type="dxa"/>
            <w:vAlign w:val="bottom"/>
            <w:tcBorders>
              <w:bottom w:val="single" w:sz="8" w:color="auto"/>
            </w:tcBorders>
          </w:tcPr>
          <w:p>
            <w:pPr>
              <w:spacing w:after="0"/>
              <w:rPr>
                <w:sz w:val="11"/>
                <w:szCs w:val="11"/>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Bbl</w:t>
            </w:r>
          </w:p>
        </w:tc>
        <w:tc>
          <w:tcPr>
            <w:tcW w:w="8600" w:type="dxa"/>
            <w:vAlign w:val="bottom"/>
          </w:tcPr>
          <w:p>
            <w:pPr>
              <w:ind w:left="540"/>
              <w:spacing w:after="0"/>
              <w:rPr>
                <w:sz w:val="20"/>
                <w:szCs w:val="20"/>
                <w:color w:val="auto"/>
              </w:rPr>
            </w:pPr>
            <w:r>
              <w:rPr>
                <w:rFonts w:ascii="Arial" w:cs="Arial" w:eastAsia="Arial" w:hAnsi="Arial"/>
                <w:sz w:val="18"/>
                <w:szCs w:val="18"/>
                <w:color w:val="auto"/>
                <w:w w:val="93"/>
              </w:rPr>
              <w:t>Stock tank barrel, or 42 U.S. gallons liquid volume, used in this report in reference to crude oil or other liquid</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hydrocarbons.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7"/>
              </w:rPr>
              <w:t>Barrels of oil equivalent, with six thousand cubic feet of natural gas being equivalent to one barrel of oil.</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BOE/d</w:t>
            </w:r>
          </w:p>
        </w:tc>
        <w:tc>
          <w:tcPr>
            <w:tcW w:w="8600" w:type="dxa"/>
            <w:vAlign w:val="bottom"/>
          </w:tcPr>
          <w:p>
            <w:pPr>
              <w:ind w:left="540"/>
              <w:spacing w:after="0"/>
              <w:rPr>
                <w:sz w:val="20"/>
                <w:szCs w:val="20"/>
                <w:color w:val="auto"/>
              </w:rPr>
            </w:pPr>
            <w:r>
              <w:rPr>
                <w:rFonts w:ascii="Arial" w:cs="Arial" w:eastAsia="Arial" w:hAnsi="Arial"/>
                <w:sz w:val="18"/>
                <w:szCs w:val="18"/>
                <w:color w:val="auto"/>
              </w:rPr>
              <w:t>BOE per day.</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600" w:type="dxa"/>
            <w:vAlign w:val="bottom"/>
          </w:tcPr>
          <w:p>
            <w:pPr>
              <w:ind w:left="540"/>
              <w:spacing w:after="0"/>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600" w:type="dxa"/>
            <w:vAlign w:val="bottom"/>
          </w:tcPr>
          <w:p>
            <w:pPr>
              <w:ind w:left="540"/>
              <w:spacing w:after="0"/>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600" w:type="dxa"/>
            <w:vAlign w:val="bottom"/>
          </w:tcPr>
          <w:p>
            <w:pPr>
              <w:ind w:left="540"/>
              <w:spacing w:after="0"/>
              <w:rPr>
                <w:sz w:val="20"/>
                <w:szCs w:val="20"/>
                <w:color w:val="auto"/>
              </w:rPr>
            </w:pPr>
            <w:r>
              <w:rPr>
                <w:rFonts w:ascii="Arial" w:cs="Arial" w:eastAsia="Arial" w:hAnsi="Arial"/>
                <w:sz w:val="18"/>
                <w:szCs w:val="18"/>
                <w:color w:val="auto"/>
                <w:w w:val="96"/>
              </w:rPr>
              <w:t>A drilling technique used in certain formations where a well is drilled vertically to a certain depth and then</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Mcf</w:t>
            </w:r>
          </w:p>
        </w:tc>
        <w:tc>
          <w:tcPr>
            <w:tcW w:w="8600" w:type="dxa"/>
            <w:vAlign w:val="bottom"/>
          </w:tcPr>
          <w:p>
            <w:pPr>
              <w:ind w:left="540"/>
              <w:spacing w:after="0"/>
              <w:rPr>
                <w:sz w:val="20"/>
                <w:szCs w:val="20"/>
                <w:color w:val="auto"/>
              </w:rPr>
            </w:pPr>
            <w:r>
              <w:rPr>
                <w:rFonts w:ascii="Arial" w:cs="Arial" w:eastAsia="Arial" w:hAnsi="Arial"/>
                <w:sz w:val="18"/>
                <w:szCs w:val="18"/>
                <w:color w:val="auto"/>
              </w:rPr>
              <w:t>Thousand cubic feet of natural gas.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Mcf/d</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Mcf per day.</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Mineral interests</w:t>
            </w:r>
          </w:p>
        </w:tc>
        <w:tc>
          <w:tcPr>
            <w:tcW w:w="8600" w:type="dxa"/>
            <w:vAlign w:val="bottom"/>
          </w:tcPr>
          <w:p>
            <w:pPr>
              <w:ind w:left="540"/>
              <w:spacing w:after="0"/>
              <w:rPr>
                <w:sz w:val="20"/>
                <w:szCs w:val="20"/>
                <w:color w:val="auto"/>
              </w:rPr>
            </w:pPr>
            <w:r>
              <w:rPr>
                <w:rFonts w:ascii="Arial" w:cs="Arial" w:eastAsia="Arial" w:hAnsi="Arial"/>
                <w:sz w:val="18"/>
                <w:szCs w:val="18"/>
                <w:color w:val="auto"/>
                <w:w w:val="97"/>
              </w:rPr>
              <w:t>The interests in ownership of the resource and mineral rights, giving an owner the right to profit from the</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extracted resources.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600" w:type="dxa"/>
            <w:vAlign w:val="bottom"/>
          </w:tcPr>
          <w:p>
            <w:pPr>
              <w:ind w:left="54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Play</w:t>
            </w:r>
          </w:p>
        </w:tc>
        <w:tc>
          <w:tcPr>
            <w:tcW w:w="8600" w:type="dxa"/>
            <w:vAlign w:val="bottom"/>
          </w:tcPr>
          <w:p>
            <w:pPr>
              <w:ind w:left="540"/>
              <w:spacing w:after="0"/>
              <w:rPr>
                <w:sz w:val="20"/>
                <w:szCs w:val="20"/>
                <w:color w:val="auto"/>
              </w:rPr>
            </w:pPr>
            <w:r>
              <w:rPr>
                <w:rFonts w:ascii="Arial" w:cs="Arial" w:eastAsia="Arial" w:hAnsi="Arial"/>
                <w:sz w:val="18"/>
                <w:szCs w:val="18"/>
                <w:color w:val="auto"/>
                <w:w w:val="93"/>
              </w:rPr>
              <w:t>A set of discovered or prospective oil and/or natural gas accumulations sharing similar geologic, geographic</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0"/>
              </w:rPr>
              <w:t>and temporal properties, such as source rock, reservoir structure, timing, trapping mechanism and hydrocarbon</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type.</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Plugging and abandonment</w:t>
            </w:r>
          </w:p>
        </w:tc>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Prospect</w:t>
            </w:r>
          </w:p>
        </w:tc>
        <w:tc>
          <w:tcPr>
            <w:tcW w:w="8600" w:type="dxa"/>
            <w:vAlign w:val="bottom"/>
          </w:tcPr>
          <w:p>
            <w:pPr>
              <w:ind w:left="540"/>
              <w:spacing w:after="0"/>
              <w:rPr>
                <w:sz w:val="20"/>
                <w:szCs w:val="20"/>
                <w:color w:val="auto"/>
              </w:rPr>
            </w:pPr>
            <w:r>
              <w:rPr>
                <w:rFonts w:ascii="Arial" w:cs="Arial" w:eastAsia="Arial" w:hAnsi="Arial"/>
                <w:sz w:val="18"/>
                <w:szCs w:val="18"/>
                <w:color w:val="auto"/>
                <w:w w:val="99"/>
              </w:rPr>
              <w:t>A specific geographic area which, based on supporting geological, geophysical or other data and also</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3"/>
              </w:rPr>
              <w:t>preliminary economic analysis using reasonably anticipated prices and costs, is deemed to have potential for</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the discovery of commercial hydrocarbons.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The estimated quantities of oil, natural gas and natural gas liquids which geological and engineering data</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Reserves</w:t>
            </w:r>
          </w:p>
        </w:tc>
        <w:tc>
          <w:tcPr>
            <w:tcW w:w="8600" w:type="dxa"/>
            <w:vAlign w:val="bottom"/>
          </w:tcPr>
          <w:p>
            <w:pPr>
              <w:ind w:left="540"/>
              <w:spacing w:after="0"/>
              <w:rPr>
                <w:sz w:val="20"/>
                <w:szCs w:val="20"/>
                <w:color w:val="auto"/>
              </w:rPr>
            </w:pPr>
            <w:r>
              <w:rPr>
                <w:rFonts w:ascii="Arial" w:cs="Arial" w:eastAsia="Arial" w:hAnsi="Arial"/>
                <w:sz w:val="18"/>
                <w:szCs w:val="18"/>
                <w:color w:val="auto"/>
                <w:w w:val="90"/>
              </w:rPr>
              <w:t>The estimated remaining quantities of oil and natural gas and related substances anticipated to be economically</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4"/>
              </w:rPr>
              <w:t>producible, as of a given date, by application of development projects to known accumulations. In addition,</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2"/>
              </w:rPr>
              <w:t>there must exist, or there must be a reasonable expectation that there will exist, the legal right to produce or a</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1"/>
              </w:rPr>
              <w:t>revenue interest in the production, installed means of delivering oil and natural gas or related substances to the</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1"/>
              </w:rPr>
              <w:t>market and all permits and financing required to implement the project. Reserves are not assigned to adjacent</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3"/>
              </w:rPr>
              <w:t>reservoirs isolated by major, potentially sealing, faults until those reservoirs are penetrated and evaluated as</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3"/>
              </w:rPr>
              <w:t>economically producible. Reserves should not be assigned to areas that are clearly separated from a known</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4"/>
              </w:rPr>
              <w:t>accumulation by a non-productive reservoir (i.e., absence of reservoir, structurally low reservoir or negative</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w w:val="97"/>
              </w:rPr>
              <w:t>test results). Such areas may contain prospective resources (i.e., potentially recoverable resources from</w:t>
            </w:r>
          </w:p>
        </w:tc>
      </w:tr>
      <w:tr>
        <w:trPr>
          <w:trHeight w:val="230"/>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18"/>
                <w:szCs w:val="18"/>
                <w:color w:val="auto"/>
              </w:rPr>
              <w:t>undiscovered accumulations).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8"/>
              </w:rPr>
              <w:t>and/or oil that is confined by impermeable rock or water barriers and is separate from other reservoirs.</w:t>
            </w:r>
          </w:p>
        </w:tc>
      </w:tr>
      <w:tr>
        <w:trPr>
          <w:trHeight w:val="20"/>
        </w:trPr>
        <w:tc>
          <w:tcPr>
            <w:tcW w:w="2820" w:type="dxa"/>
            <w:vAlign w:val="bottom"/>
            <w:shd w:val="clear" w:color="auto" w:fill="000000"/>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9120" w:type="dxa"/>
            <w:vAlign w:val="bottom"/>
          </w:tcPr>
          <w:p>
            <w:pPr>
              <w:ind w:left="1060"/>
              <w:spacing w:after="0"/>
              <w:rPr>
                <w:sz w:val="20"/>
                <w:szCs w:val="20"/>
                <w:color w:val="auto"/>
              </w:rPr>
            </w:pPr>
            <w:r>
              <w:rPr>
                <w:rFonts w:ascii="Arial" w:cs="Arial" w:eastAsia="Arial" w:hAnsi="Arial"/>
                <w:sz w:val="18"/>
                <w:szCs w:val="18"/>
                <w:color w:val="auto"/>
                <w:w w:val="94"/>
              </w:rPr>
              <w:t>An interest that gives an owner the right to receive a portion of the resources or revenues without having to</w:t>
            </w:r>
          </w:p>
        </w:tc>
      </w:tr>
      <w:tr>
        <w:trPr>
          <w:trHeight w:val="230"/>
        </w:trPr>
        <w:tc>
          <w:tcPr>
            <w:tcW w:w="2300" w:type="dxa"/>
            <w:vAlign w:val="bottom"/>
          </w:tcPr>
          <w:p>
            <w:pPr>
              <w:spacing w:after="0"/>
              <w:rPr>
                <w:sz w:val="20"/>
                <w:szCs w:val="20"/>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carry any costs of development.</w:t>
            </w:r>
          </w:p>
        </w:tc>
      </w:tr>
      <w:tr>
        <w:trPr>
          <w:trHeight w:val="27"/>
        </w:trPr>
        <w:tc>
          <w:tcPr>
            <w:tcW w:w="23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Spacing</w:t>
            </w: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The distance between wells producing from the same reservoir. Spacing is often expressed in terms of acres</w:t>
            </w: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9120" w:type="dxa"/>
            <w:vAlign w:val="bottom"/>
          </w:tcPr>
          <w:p>
            <w:pPr>
              <w:ind w:left="1060"/>
              <w:spacing w:after="0"/>
              <w:rPr>
                <w:sz w:val="20"/>
                <w:szCs w:val="20"/>
                <w:color w:val="auto"/>
              </w:rPr>
            </w:pPr>
            <w:r>
              <w:rPr>
                <w:rFonts w:ascii="Arial" w:cs="Arial" w:eastAsia="Arial" w:hAnsi="Arial"/>
                <w:sz w:val="18"/>
                <w:szCs w:val="18"/>
                <w:color w:val="auto"/>
                <w:w w:val="95"/>
              </w:rPr>
              <w:t>An operating interest that gives the owner the right to drill, produce and conduct operating activities on the</w:t>
            </w:r>
          </w:p>
        </w:tc>
      </w:tr>
      <w:tr>
        <w:trPr>
          <w:trHeight w:val="216"/>
        </w:trPr>
        <w:tc>
          <w:tcPr>
            <w:tcW w:w="2300" w:type="dxa"/>
            <w:vAlign w:val="bottom"/>
          </w:tcPr>
          <w:p>
            <w:pPr>
              <w:spacing w:after="0"/>
              <w:rPr>
                <w:sz w:val="18"/>
                <w:szCs w:val="18"/>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30"/>
        </w:trPr>
        <w:tc>
          <w:tcPr>
            <w:tcW w:w="2300" w:type="dxa"/>
            <w:vAlign w:val="bottom"/>
          </w:tcPr>
          <w:p>
            <w:pPr>
              <w:spacing w:after="0"/>
              <w:rPr>
                <w:sz w:val="20"/>
                <w:szCs w:val="20"/>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production operations.</w:t>
            </w:r>
          </w:p>
        </w:tc>
      </w:tr>
      <w:tr>
        <w:trPr>
          <w:trHeight w:val="27"/>
        </w:trPr>
        <w:tc>
          <w:tcPr>
            <w:tcW w:w="230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r>
        <w:trPr>
          <w:trHeight w:val="453"/>
        </w:trPr>
        <w:tc>
          <w:tcPr>
            <w:tcW w:w="230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8"/>
                <w:szCs w:val="18"/>
                <w:color w:val="auto"/>
              </w:rPr>
              <w:t>iii</w:t>
            </w:r>
          </w:p>
        </w:tc>
      </w:tr>
    </w:tbl>
    <w:p>
      <w:pPr>
        <w:ind w:left="3340"/>
        <w:spacing w:after="0"/>
        <w:rPr>
          <w:sz w:val="20"/>
          <w:szCs w:val="20"/>
          <w:color w:val="auto"/>
        </w:rPr>
        <w:sectPr>
          <w:pgSz w:w="11900" w:h="16838" w:orient="portrait"/>
          <w:cols w:equalWidth="0" w:num="1">
            <w:col w:w="11420"/>
          </w:cols>
          <w:pgMar w:left="240" w:top="760"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800" w:type="dxa"/>
            <w:vAlign w:val="bottom"/>
          </w:tcPr>
          <w:p>
            <w:pPr>
              <w:ind w:left="134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62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62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800" w:type="dxa"/>
            <w:vAlign w:val="bottom"/>
          </w:tcPr>
          <w:p>
            <w:pPr>
              <w:ind w:left="96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620" w:type="dxa"/>
            <w:vAlign w:val="bottom"/>
          </w:tcPr>
          <w:p>
            <w:pPr>
              <w:ind w:left="40"/>
              <w:spacing w:after="0"/>
              <w:rPr>
                <w:sz w:val="20"/>
                <w:szCs w:val="20"/>
                <w:color w:val="auto"/>
              </w:rPr>
            </w:pPr>
            <w:r>
              <w:rPr>
                <w:rFonts w:ascii="Arial" w:cs="Arial" w:eastAsia="Arial" w:hAnsi="Arial"/>
                <w:sz w:val="18"/>
                <w:szCs w:val="18"/>
                <w:color w:val="auto"/>
              </w:rPr>
              <w:t>GAAP</w:t>
            </w:r>
          </w:p>
        </w:tc>
        <w:tc>
          <w:tcPr>
            <w:tcW w:w="8800" w:type="dxa"/>
            <w:vAlign w:val="bottom"/>
          </w:tcPr>
          <w:p>
            <w:pPr>
              <w:ind w:left="9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391"/>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Viper Energy Partners GP LLC, a Delaware limited liability company and the General Partner of the</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Partnership.</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NYMEX</w:t>
            </w:r>
          </w:p>
        </w:tc>
        <w:tc>
          <w:tcPr>
            <w:tcW w:w="8800" w:type="dxa"/>
            <w:vAlign w:val="bottom"/>
          </w:tcPr>
          <w:p>
            <w:pPr>
              <w:ind w:left="96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62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8800" w:type="dxa"/>
            <w:vAlign w:val="bottom"/>
          </w:tcPr>
          <w:p>
            <w:pPr>
              <w:ind w:left="960"/>
              <w:spacing w:after="0"/>
              <w:rPr>
                <w:sz w:val="20"/>
                <w:szCs w:val="20"/>
                <w:color w:val="auto"/>
              </w:rPr>
            </w:pPr>
            <w:r>
              <w:rPr>
                <w:rFonts w:ascii="Arial" w:cs="Arial" w:eastAsia="Arial" w:hAnsi="Arial"/>
                <w:sz w:val="18"/>
                <w:szCs w:val="18"/>
                <w:color w:val="auto"/>
                <w:w w:val="92"/>
              </w:rPr>
              <w:t>The first amended and restated agreement of limited partnership, dated June 23, 2014, entered into by the</w:t>
            </w:r>
          </w:p>
        </w:tc>
      </w:tr>
      <w:tr>
        <w:trPr>
          <w:trHeight w:val="230"/>
        </w:trPr>
        <w:tc>
          <w:tcPr>
            <w:tcW w:w="2620" w:type="dxa"/>
            <w:vAlign w:val="bottom"/>
          </w:tcPr>
          <w:p>
            <w:pPr>
              <w:spacing w:after="0"/>
              <w:rPr>
                <w:sz w:val="20"/>
                <w:szCs w:val="20"/>
                <w:color w:val="auto"/>
              </w:rPr>
            </w:pPr>
          </w:p>
        </w:tc>
        <w:tc>
          <w:tcPr>
            <w:tcW w:w="8800" w:type="dxa"/>
            <w:vAlign w:val="bottom"/>
          </w:tcPr>
          <w:p>
            <w:pPr>
              <w:ind w:left="960"/>
              <w:spacing w:after="0"/>
              <w:rPr>
                <w:sz w:val="20"/>
                <w:szCs w:val="20"/>
                <w:color w:val="auto"/>
              </w:rPr>
            </w:pPr>
            <w:r>
              <w:rPr>
                <w:rFonts w:ascii="Arial" w:cs="Arial" w:eastAsia="Arial" w:hAnsi="Arial"/>
                <w:sz w:val="18"/>
                <w:szCs w:val="18"/>
                <w:color w:val="auto"/>
              </w:rPr>
              <w:t>General Partner and Diamondback in connection with the closing of the Viper Offering.</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United States Securities and Exchange Commission.</w:t>
            </w:r>
          </w:p>
        </w:tc>
      </w:tr>
      <w:tr>
        <w:trPr>
          <w:trHeight w:val="405"/>
        </w:trPr>
        <w:tc>
          <w:tcPr>
            <w:tcW w:w="262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8800" w:type="dxa"/>
            <w:vAlign w:val="bottom"/>
          </w:tcPr>
          <w:p>
            <w:pPr>
              <w:ind w:left="96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Senior Notes</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0"/>
              </w:rPr>
              <w:t>The Company’s 4.750% senior unsecured notes due 2024 in the aggregate principal amount of $500 million.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2025 Senior Notes</w:t>
            </w:r>
          </w:p>
        </w:tc>
        <w:tc>
          <w:tcPr>
            <w:tcW w:w="8800" w:type="dxa"/>
            <w:vAlign w:val="bottom"/>
          </w:tcPr>
          <w:p>
            <w:pPr>
              <w:ind w:left="960"/>
              <w:spacing w:after="0"/>
              <w:rPr>
                <w:sz w:val="20"/>
                <w:szCs w:val="20"/>
                <w:color w:val="auto"/>
              </w:rPr>
            </w:pPr>
            <w:r>
              <w:rPr>
                <w:rFonts w:ascii="Arial" w:cs="Arial" w:eastAsia="Arial" w:hAnsi="Arial"/>
                <w:sz w:val="18"/>
                <w:szCs w:val="18"/>
                <w:color w:val="auto"/>
                <w:w w:val="90"/>
              </w:rPr>
              <w:t>The Company’s 5.375% senior unsecured notes due 2025 in the aggregate principal amount of $500 million.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The 2024 Senior Notes and the 2025 Senior Notes.</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Viper LTIP</w:t>
            </w:r>
          </w:p>
        </w:tc>
        <w:tc>
          <w:tcPr>
            <w:tcW w:w="8800" w:type="dxa"/>
            <w:vAlign w:val="bottom"/>
          </w:tcPr>
          <w:p>
            <w:pPr>
              <w:ind w:left="96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Offering</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The Partnerships’ initial public offering.</w:t>
            </w:r>
          </w:p>
        </w:tc>
      </w:tr>
      <w:tr>
        <w:trPr>
          <w:trHeight w:val="405"/>
        </w:trPr>
        <w:tc>
          <w:tcPr>
            <w:tcW w:w="262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8800" w:type="dxa"/>
            <w:vAlign w:val="bottom"/>
          </w:tcPr>
          <w:p>
            <w:pPr>
              <w:ind w:left="96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62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2016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including our acquisition in the Southern Delaware Basin;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585"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(In thousands, except par values and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1,666,574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Joint interest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71,677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Oil and natural gas sales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82,950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4,925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221,337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1,792,166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Oil and natural gas properties, full cost method of accounting ($4,008,388 and $1,730,519 excluded from</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at June 30, 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8,311,094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5,160,261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95,491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(1,969,816)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(1,836,056)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6,508,747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6,783,809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payable-trade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payable-related party</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60,350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89,589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55,330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323,166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1,151,515</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1,105,912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1,496,875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1"/>
              </w:rPr>
              <w:t>Common stock, $0.01 par value, 200,000,000 shares authorized, 98,128,877 issued and outstanding at June 30,</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2017; 90,143,934 issued and outstanding at December 31, 2016</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5,041,359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(224,716)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(519,394)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4,817,624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3,697,462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469,310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320,830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5,286,934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4,018,292</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6,783,809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20"/>
              <w:spacing w:after="0"/>
              <w:rPr>
                <w:sz w:val="20"/>
                <w:szCs w:val="20"/>
                <w:color w:val="auto"/>
              </w:rPr>
            </w:pPr>
            <w:r>
              <w:rPr>
                <w:rFonts w:ascii="Arial" w:cs="Arial" w:eastAsia="Arial" w:hAnsi="Arial"/>
                <w:sz w:val="18"/>
                <w:szCs w:val="18"/>
                <w:color w:val="auto"/>
                <w:w w:val="93"/>
              </w:rPr>
              <w:t>See accompanying notes to combined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7"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Six Months Ended June</w:t>
            </w:r>
          </w:p>
        </w:tc>
      </w:tr>
      <w:tr>
        <w:trPr>
          <w:trHeight w:val="234"/>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30,</w:t>
            </w:r>
          </w:p>
        </w:tc>
        <w:tc>
          <w:tcPr>
            <w:tcW w:w="82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8"/>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8"/>
          </w:tcPr>
          <w:p>
            <w:pPr>
              <w:jc w:val="right"/>
              <w:ind w:right="410"/>
              <w:spacing w:after="0"/>
              <w:rPr>
                <w:sz w:val="20"/>
                <w:szCs w:val="20"/>
                <w:color w:val="auto"/>
              </w:rPr>
            </w:pPr>
            <w:r>
              <w:rPr>
                <w:rFonts w:ascii="Arial" w:cs="Arial" w:eastAsia="Arial" w:hAnsi="Arial"/>
                <w:sz w:val="18"/>
                <w:szCs w:val="18"/>
                <w:b w:val="1"/>
                <w:bCs w:val="1"/>
                <w:color w:val="auto"/>
                <w:w w:val="98"/>
              </w:rPr>
              <w:t>(In thousands, except per share amounts)</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237,884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101,325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444,958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180,345</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16,857</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32,359</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11,488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269,434</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504,664</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199,964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15,879</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31,604</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16,121</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75,173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134,102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81,940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168,352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199,168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General and administrative expenses (including non-cash equity-based compensation, net of</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capitalized amounts, of $6,168 and $6,029 for the three months ended June 30, 2017 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2016, respectively, and $13,231 and $14,378 for the six months ended June 30, 2017 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25,636</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137,126</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255,946</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362,353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132,308</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248,718</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(162,389)</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(20,470)</w:t>
            </w:r>
          </w:p>
        </w:tc>
        <w:tc>
          <w:tcPr>
            <w:tcW w:w="820" w:type="dxa"/>
            <w:vAlign w:val="bottom"/>
          </w:tcPr>
          <w:p>
            <w:pPr>
              <w:jc w:val="right"/>
              <w:spacing w:after="0"/>
              <w:rPr>
                <w:sz w:val="20"/>
                <w:szCs w:val="20"/>
                <w:color w:val="auto"/>
              </w:rPr>
            </w:pPr>
            <w:r>
              <w:rPr>
                <w:rFonts w:ascii="Arial" w:cs="Arial" w:eastAsia="Arial" w:hAnsi="Arial"/>
                <w:sz w:val="18"/>
                <w:szCs w:val="18"/>
                <w:color w:val="auto"/>
              </w:rPr>
              <w:t>(20,032)</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33,320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71,021</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(10,699)</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33,399</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60,020</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165,707</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308,738</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(192,380)</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164,128</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305,202</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(192,748)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attributable to Diamondback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158,405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(188,402)</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71,372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98,354</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95,925</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71,372</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800" w:type="dxa"/>
        <w:tblCellMar>
          <w:top w:w="0" w:type="dxa"/>
          <w:left w:w="0" w:type="dxa"/>
          <w:bottom w:w="0" w:type="dxa"/>
          <w:right w:w="0" w:type="dxa"/>
        </w:tblCellMar>
      </w:tblPr>
      <w:tr>
        <w:trPr>
          <w:trHeight w:val="216"/>
        </w:trPr>
        <w:tc>
          <w:tcPr>
            <w:tcW w:w="186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Retained</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60" w:type="dxa"/>
            <w:vAlign w:val="bottom"/>
            <w:tcBorders>
              <w:bottom w:val="single" w:sz="8" w:color="auto"/>
            </w:tcBorders>
            <w:gridSpan w:val="2"/>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Additional</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Paid-in</w:t>
            </w: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Interest</w:t>
            </w:r>
          </w:p>
        </w:tc>
        <w:tc>
          <w:tcPr>
            <w:tcW w:w="640" w:type="dxa"/>
            <w:vAlign w:val="bottom"/>
          </w:tcPr>
          <w:p>
            <w:pPr>
              <w:ind w:left="260"/>
              <w:spacing w:after="0"/>
              <w:rPr>
                <w:sz w:val="20"/>
                <w:szCs w:val="20"/>
                <w:color w:val="auto"/>
              </w:rPr>
            </w:pPr>
            <w:r>
              <w:rPr>
                <w:rFonts w:ascii="Arial" w:cs="Arial" w:eastAsia="Arial" w:hAnsi="Arial"/>
                <w:sz w:val="18"/>
                <w:szCs w:val="18"/>
                <w:b w:val="1"/>
                <w:bCs w:val="1"/>
                <w:color w:val="auto"/>
                <w:w w:val="83"/>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7" w:lineRule="exact"/>
        <w:rPr>
          <w:sz w:val="20"/>
          <w:szCs w:val="20"/>
          <w:color w:val="auto"/>
        </w:rPr>
      </w:pPr>
    </w:p>
    <w:p>
      <w:pPr>
        <w:ind w:left="180" w:right="1700" w:hanging="134"/>
        <w:spacing w:after="0" w:line="313" w:lineRule="auto"/>
        <w:rPr>
          <w:sz w:val="20"/>
          <w:szCs w:val="20"/>
          <w:color w:val="auto"/>
        </w:rPr>
      </w:pPr>
      <w:r>
        <w:rPr>
          <w:rFonts w:ascii="Arial" w:cs="Arial" w:eastAsia="Arial" w:hAnsi="Arial"/>
          <w:sz w:val="18"/>
          <w:szCs w:val="18"/>
          <w:color w:val="auto"/>
        </w:rPr>
        <w:t>Balance December 31, 2015 Unit-based compensation Stock-based compensation Distribution to non-controlling interest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shares issued in public offering, net of offering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Exercise of stock options and vesting of restricted stock units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June 30, 2016</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December 31, 2016</w:t>
      </w:r>
    </w:p>
    <w:p>
      <w:pPr>
        <w:spacing w:after="0" w:line="6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color w:val="auto"/>
        </w:rPr>
        <w:t>Net proceeds from issuance of common units - Viper Energy Partners LP</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Unit-based compensation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units issued for acquisition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 to non-controlling interest</w:t>
      </w:r>
    </w:p>
    <w:p>
      <w:pPr>
        <w:spacing w:after="0" w:line="63" w:lineRule="exact"/>
        <w:rPr>
          <w:sz w:val="20"/>
          <w:szCs w:val="20"/>
          <w:color w:val="auto"/>
        </w:rPr>
      </w:pPr>
    </w:p>
    <w:p>
      <w:pPr>
        <w:ind w:left="180"/>
        <w:spacing w:after="0" w:line="313" w:lineRule="auto"/>
        <w:rPr>
          <w:sz w:val="20"/>
          <w:szCs w:val="20"/>
          <w:color w:val="auto"/>
        </w:rPr>
      </w:pPr>
      <w:r>
        <w:rPr>
          <w:rFonts w:ascii="Arial" w:cs="Arial" w:eastAsia="Arial" w:hAnsi="Arial"/>
          <w:sz w:val="18"/>
          <w:szCs w:val="18"/>
          <w:color w:val="auto"/>
        </w:rPr>
        <w:t>Common shares issued in public offering, net of offering costs Common shares issued for acquisition</w:t>
      </w:r>
    </w:p>
    <w:p>
      <w:pPr>
        <w:ind w:left="180" w:right="80"/>
        <w:spacing w:after="0" w:line="328" w:lineRule="auto"/>
        <w:rPr>
          <w:sz w:val="20"/>
          <w:szCs w:val="20"/>
          <w:color w:val="auto"/>
        </w:rPr>
      </w:pPr>
      <w:r>
        <w:rPr>
          <w:rFonts w:ascii="Arial" w:cs="Arial" w:eastAsia="Arial" w:hAnsi="Arial"/>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June 30, 2017</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66,797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2,229,664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(354,360)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233,001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2,108,973</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1,930</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17,057</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17,057</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(3,497)</w:t>
            </w:r>
          </w:p>
        </w:tc>
      </w:tr>
      <w:tr>
        <w:trPr>
          <w:trHeight w:val="270"/>
        </w:trPr>
        <w:tc>
          <w:tcPr>
            <w:tcW w:w="920" w:type="dxa"/>
            <w:vAlign w:val="bottom"/>
          </w:tcPr>
          <w:p>
            <w:pPr>
              <w:jc w:val="right"/>
              <w:spacing w:after="0"/>
              <w:rPr>
                <w:sz w:val="20"/>
                <w:szCs w:val="20"/>
                <w:color w:val="auto"/>
              </w:rPr>
            </w:pPr>
            <w:r>
              <w:rPr>
                <w:rFonts w:ascii="Arial" w:cs="Arial" w:eastAsia="Arial" w:hAnsi="Arial"/>
                <w:sz w:val="18"/>
                <w:szCs w:val="18"/>
                <w:color w:val="auto"/>
              </w:rPr>
              <w:t>4,600</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254,293</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254,339</w:t>
            </w:r>
          </w:p>
        </w:tc>
      </w:tr>
      <w:tr>
        <w:trPr>
          <w:trHeight w:val="270"/>
        </w:trPr>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(188,402)</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(4,346)</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(192,748)</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71,706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2,501,509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(542,762)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227,088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2,186,552</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920" w:type="dxa"/>
            <w:vAlign w:val="bottom"/>
          </w:tcPr>
          <w:p>
            <w:pPr>
              <w:jc w:val="right"/>
              <w:spacing w:after="0"/>
              <w:rPr>
                <w:sz w:val="20"/>
                <w:szCs w:val="20"/>
                <w:color w:val="auto"/>
              </w:rPr>
            </w:pPr>
            <w:r>
              <w:rPr>
                <w:rFonts w:ascii="Arial" w:cs="Arial" w:eastAsia="Arial" w:hAnsi="Arial"/>
                <w:sz w:val="18"/>
                <w:szCs w:val="18"/>
                <w:color w:val="auto"/>
              </w:rPr>
              <w:t>90,144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4,215,955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(519,394)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320,830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4,018,292</w:t>
            </w:r>
          </w:p>
        </w:tc>
      </w:tr>
      <w:tr>
        <w:trPr>
          <w:trHeight w:val="486"/>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147,492</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147,492</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1,537</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3,050</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15,939</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15,939</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(14,123)</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(14,123)</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920" w:type="dxa"/>
            <w:vAlign w:val="bottom"/>
          </w:tcPr>
          <w:p>
            <w:pPr>
              <w:jc w:val="right"/>
              <w:spacing w:after="0"/>
              <w:rPr>
                <w:sz w:val="20"/>
                <w:szCs w:val="20"/>
                <w:color w:val="auto"/>
              </w:rPr>
            </w:pPr>
            <w:r>
              <w:rPr>
                <w:rFonts w:ascii="Arial" w:cs="Arial" w:eastAsia="Arial" w:hAnsi="Arial"/>
                <w:sz w:val="18"/>
                <w:szCs w:val="18"/>
                <w:color w:val="auto"/>
              </w:rPr>
              <w:t>7,686</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809,096</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809,173</w:t>
            </w:r>
          </w:p>
        </w:tc>
      </w:tr>
      <w:tr>
        <w:trPr>
          <w:trHeight w:val="270"/>
        </w:trPr>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294,678</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10,524</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305,202</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98,129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5,041,359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(224,716)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469,310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5,286,934</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-3326765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-2983865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-2640965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-2280285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-1885950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-1405890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-1062990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-719455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-376555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140"/>
            <w:col w:w="66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combined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305,202</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(192,748)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2,334</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199,168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134,102</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81,940</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(68,010)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from equity investment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on sale of assets, net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(36,137)</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2,434</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(4,966)</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26,782</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394,431</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121,781</w:t>
            </w: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(291,767)</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(149,192)</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natural gas properties-related party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midstream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(4,444)</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other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leasehold interests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(1,860,980)</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(17,533)</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mineral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(122,679)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midstream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(50,279)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121,391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(2,221,476)</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(180,376)</w:t>
            </w: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17,000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Public offering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public offerings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147,725</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254,518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(14,123)</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(3,497)</w:t>
            </w: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177,059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257,274</w:t>
            </w:r>
          </w:p>
        </w:tc>
      </w:tr>
      <w:tr>
        <w:trPr>
          <w:trHeight w:val="20"/>
        </w:trPr>
        <w:tc>
          <w:tcPr>
            <w:tcW w:w="8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right"/>
        <w:ind w:right="64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680"/>
        <w:spacing w:after="0"/>
        <w:tabs>
          <w:tab w:leader="none" w:pos="1036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41910</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at beginning of period</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paid, net of capitalized interest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non-cash transactions: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(1,649,986)</w:t>
            </w:r>
          </w:p>
        </w:tc>
        <w:tc>
          <w:tcPr>
            <w:tcW w:w="5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198,679</w:t>
            </w:r>
          </w:p>
        </w:tc>
      </w:tr>
      <w:tr>
        <w:trPr>
          <w:trHeight w:val="270"/>
        </w:trPr>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1,666,574</w:t>
            </w:r>
          </w:p>
        </w:tc>
        <w:tc>
          <w:tcPr>
            <w:tcW w:w="5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20,115</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16,588</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218,794</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1"/>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26,500</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18,823</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ectPr>
          <w:pgSz w:w="11900" w:h="16838" w:orient="portrait"/>
          <w:cols w:equalWidth="0" w:num="2">
            <w:col w:w="7280" w:space="720"/>
            <w:col w:w="34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93,415</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(13,769)</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4,609</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809,173</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wholly-owned subsidiaries of Diamondback, as of June 30, 2017, include Diamondback E&amp;P LLC, a Delaware limited liability company, Diamondback O&amp;G LLC, a Delaware limited liability company, Viper Energy Partners GP LLC, a Delaware limited liability company, and Rattler Midstream LLC (formerly known as White Fang Energy LLC), a Delaware limited liability company. The consolidated subsidiaries include these wholly-owned subsidiaries as well as Viper Energy Partners LP, a Delaware limited partnership (the “Partnership”), and the Partnership’s wholly-owned subsidiary Viper Energy Partners LLC, a Delaware limited liability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June 30, 2017, the Company owned approximately 74% of the common units of the Partnership and the Company’s wholly-owned subsidiary, Viper Energy Partners GP LLC, is the General Partner of the Partnership.</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2016,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 The standard will be effective for annual and interim reporting periods beginning after December 15, 2017, with early application permitted for annual reporting period beginning after December 31, 2016. The standard allows for either full retrospective adoption, meaning the standard is applied to all periods presented in the financial statements, or modified retrospective adoption, meaning the standard is applied only to the most current period presented. The Company is currently evaluating the impact of this standard; however, it does not believe this standard will have a material impact on the Company’s consolidated financial statements.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2015, the Financial Accounting Standards Board issued Accounting Standards Update 2015-11, “Inventory”. This update applies to all inventory that is not measured using last-in, first-out or the retail inventory method. Under this update, an entity should measure inventory at the lower of cost and net realizable value. This standard was effective for financial statements issued for fiscal years beginning after December 15, 2016, including interim periods within those fiscal years. This standard should be applied prospectively with early adoption permitted as of the beginning of an interim or annual reporting period. The Company adopted this standard prospectively effective January 1, 2017. The adoption of this standard had no impact on the Company’s financial position, results of operations or liquidity because the Company currently measures its inventory at the lower of cost or net realizable value.</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November 2015, the Financial Accounting Standards Board issued Accounting Standards Update 2015-17, “Income Taxes”. This update requires that deferred tax liabilities and assets be classified as noncurrent in a classified statement of financial position. The standard was effective for financial statements issued for annual periods beginning after December 15, 2016, and interim periods within those annual periods. This standard may be applied either prospectively to all deferred tax liabilities and assets or retrospectively to all periods presented. The Company adopted this standard prospectively effective January 1, 2017. The Company will present deferred tax liabilities and assets as noncurrent.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This update will be effective for public entities for fiscal years beginning after December 15, 2017, including interim periods within those fiscal years, with early adoption permitted. Entities should apply the amendments by means of a cumulative-effect adjustment to the balance sheet as of the beginning of the fiscal year of adoption. While this update will not have a direct impact on the Company, the Partnership will be required to mark its cost method investment to fair value with the adoption of this update.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 believes the primary impact of adopting this standard will be the recognition of assets and liabilities on the balance sheet for current operating leases. The Company is still evaluating the impact of this standard.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2016, the Financial Accounting Standards Board issued Accounting Standards Update 2016-08, “Revenue from Contracts with Customers</w:t>
      </w:r>
    </w:p>
    <w:p>
      <w:pPr>
        <w:spacing w:after="0" w:line="46" w:lineRule="exact"/>
        <w:rPr>
          <w:sz w:val="20"/>
          <w:szCs w:val="20"/>
          <w:color w:val="auto"/>
        </w:rPr>
      </w:pPr>
    </w:p>
    <w:p>
      <w:pPr>
        <w:jc w:val="both"/>
        <w:ind w:firstLine="8"/>
        <w:spacing w:after="0" w:line="277" w:lineRule="auto"/>
        <w:tabs>
          <w:tab w:leader="none" w:pos="11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Principal versus Agent Considerations (Reporting Revenue Gross versus Net)”. Under this update, an entity should recognize revenue to depict the transfer of promised goods or services to customers in an amount that reflects the consideration to which the entity expects to be entitled in exchange for those goods or services. This update will be effective for annual and interim reporting periods beginning after December 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2017, with early application not permitted. This update allows for either full retrospective adoption, meaning this update is applied to all periods presented in the financial statements, or modified retrospective adoption, meaning this update is applied only to the most current period presented. The Company is in its initial evaluation of the impact of this standard. However, it does not expect that there will be a significant change in the manner of the Company’s revenue recognition. The Company expects that certain additional disclosures will be required upon adoption of this standard. The Company is still determining which adoption method it will use.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Financial Accounting Standards Board issued Accounting Standards Update 2016-09, "Compensation - Stock Compensation". This update applies to all entities that issue equity-based payment awards to their employees. Under this update, there were several areas that were simplified including the income tax consequences, classification of awards as either equity or liabilities, and classification on the statement of cash flows. This update was effective for financial statements issued for fiscal years beginning after December 15, 2016, including interim periods within those fiscal years. The Company prospectively adopted this standard effective January 1, 2017. The Company revised its calculation of diluted earnings per share to exclude the amount of excess tax benefits that would be recognized in additional paid-in capital. The Company also adopted a policy to account for forfeitures as they occur.</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2016, the Financial Accounting Standards Board issued Accounting Standards Update 2016-10, “Revenue from Contracts with Customers - Identifying Performance Obligations and Licensing”. This update clarifies two principles of Accounting Standards Codification Topic 606: identifying performance obligations and the licensing implementation guidance.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2016, the Financial Accounting Standards Board issued Accounting Standards Update 2016-12, “Revenue from Contracts with Customers - Narrow-Scope Improvements and Practical Expedients”. This update applies only to the following areas from Accounting Standards Codification Topic 606: assessing the collectability criterion and accounting for contracts that do not meet the criteria for step 1, presentation of sales taxes and other similar taxes collected from customers, non-cash consideration, contract modification at transition, completed contracts at transition and technical correction.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update will be effective for financial statements issued for fiscal years beginning after December 31, 2017, including interim periods within those fiscal years with early adoption permitted. This update should be applied using the retrospective transition method. Adoption of this standard will only affect the presentation of the Company’s cash flows and will not have a material impact on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This update will be effective for financial statements issued for fiscal years beginning after December 15, 2017, including interim periods within those fiscal years. Early adoption is permitted, including adoption in an interim period. This update will be applied retrospectively. The Company does not expect the adoption of this standard to have a material impact on the Company’s consolidated financial statements.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This update will be effective for financial statements issued for fiscal years beginning after December 31, 2017, including interim periods within those fiscal years. This update should be applied prospectively on or after the effective date. This update is not expected to have a material impact on the Company’s financial statements or results of operations. The adoption of this update will change the process that the Company uses to evaluate whether the Company has acquired a business or an asset. This update will be applied prospectively and will not have an effect on prior acquisitions.</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in the process of identifying and determining the fair values of the assets and liabilities assumed, and as a result, the estimates for fair value at June 30, 2017 are subject to change. The following represents the preliminary estimated fair value of the assets and liabilities assumed on the acquisition date. The aggregate consideration transferred was $2.6 billion, subject to post-closing adjustments, resulting in no goodwill or bargain purchase gain.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387,571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2,122,415</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Revenues payable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(8,723)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fair value of 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2,551,566</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$48.0 million and direct operating expenses of $6.9 million for the period from February 28, 2017 to June 30, 2017 due to the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unaudited summary pro forma consolidated statement of operations data of Diamondback for the three and six months June 30, 2017 and 2016 have been prepared to give effect to the February 28, 2017 acquisition as if it had occurred on January 1, 2016. The pro forma data are not necessarily indicative of financial results that would have been attained had the acquisitions occurred on January 1, 2016. The pro forma data also necessarily exclude various operation expenses related to the properties and the financial statements should not be viewed as indicative of operations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6"/>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(in thousands, except per share amounts)</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269,434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135,752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527,593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132,308</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(119,254)</w:t>
            </w:r>
          </w:p>
        </w:tc>
        <w:tc>
          <w:tcPr>
            <w:tcW w:w="1040" w:type="dxa"/>
            <w:vAlign w:val="bottom"/>
          </w:tcPr>
          <w:p>
            <w:pPr>
              <w:jc w:val="right"/>
              <w:spacing w:after="0"/>
              <w:rPr>
                <w:sz w:val="20"/>
                <w:szCs w:val="20"/>
                <w:color w:val="auto"/>
              </w:rPr>
            </w:pPr>
            <w:r>
              <w:rPr>
                <w:rFonts w:ascii="Arial" w:cs="Arial" w:eastAsia="Arial" w:hAnsi="Arial"/>
                <w:sz w:val="18"/>
                <w:szCs w:val="18"/>
                <w:color w:val="auto"/>
              </w:rPr>
              <w:t>263,060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(143,257)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164,128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(139,958)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310,414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Viper Energy Partners GP LLC, a fully-consolidated subsidiary of Diamondback, serves as the general partner of, and holds a non-economic general partner interest in, the Partnership. As of June 30, 2017, the Company owned approximately 74% of the common units of the Partnership. See Note 16–Subsequent Events for information regarding the Company’s current ownership interest in the Partnership.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Viper Offering, the General Partner and Diamondback entered into the first amended and restated agreement of limited partnership, dated June 23, 2014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11—Related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as administrative agent sole book runner and lead arranger. See Note 8—Debt for a description of this credit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4,302,706</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3,429,742</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4,008,388</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1,730,519</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8,311,094</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5,160,261</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(819,970)</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(1,143,498)</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(1,143,498)</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6,347,626</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3,329,078</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95,491</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8,362</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71,978</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58,290</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(6,348)</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(4,873)</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Property and equipment, net of accumulated depreciation, depletion, amortization and impairment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6,508,747</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3,390,857</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acquisition costs not subject to depletion</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2,359,070</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784,212</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343,744</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429,866</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37,439</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Incurred in 2012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54,057</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7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$5.1 million and $4.1 million for the three months ended June 30, 2017 and 2016, respectively, and $10.2 million and $9.1 million for the six months ended June 30, 2017 and 2016,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loss recognized, unless such adjustments would significantly alter the relationship between capitalized costs and proved reserves of oil, natural gas liquids and natural gas.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decline in prices, the Company recorded a non-cash impairment for the six months ended June 30, 2016 of $199.2 million, which is included in accumulated depletion, depreciation, amortization and impairment. The Company did not record an impairment for the six months ended June 30, 2017. The 2016 impairment charge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June 30, 2017, there was $6.8 million in exploration costs and development costs and $8.7 million in capitalized interest that are not subject to depletion. At December 31, 2016, there were no exploration costs, development costs or capitalized interest that are not subject to depletion.</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17,422</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990</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21,114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19,539</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13,787</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INVESTMENTS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2014, the Company paid $0.6 million for a 25% interest in HMW Fluid Management LLC, which was formed to develop, own and operate an integrated water management system to gather, store, process, treat, distribute and dispose of water to exploration and production companies operating in Midland, Martin and Andrews Counties, Texas. The board of this entity may also authorize the entity to offer these services to other counties in the Permian Basin and to pursue other business opportunities. During the six months ended June 30, 2017 and 2016, the Company invested $0.2 million and $0.8 million, respectively, in this entity bringing its total investment to $6.7 million and $4.1 million at June 30, 2017 and 2016, respectively. The Company will retain a minority interest after all commitments are received. The entity was formed as a limited liability company and maintains a specific ownership account for each investor, similar to a partnership capital account structure. Therefore, the Company accounts for this investment under the equity method of accounting.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7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revolving credit facility</w:t>
            </w:r>
          </w:p>
        </w:tc>
        <w:tc>
          <w:tcPr>
            <w:tcW w:w="4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5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1,151,515</w:t>
            </w: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1,105,912</w:t>
            </w: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with the issuance of the 2024 Senior Notes, the Company and the subsidiary guarantors entered into a registration rights agreement (the “2024 Registration Rights Agreement”) with the initial purchasers on October 28, 2016, pursuant to which the Company agreed to file a registration statement with respect to an offer to exchange the 2024 Senior Notes for a new issue of substantially identical debt securities registered under the Securities Act. Under the 2024 Registration Rights Agreement, the Company also agreed to use its commercially reasonable efforts to have the registration statement declared effective by the SEC on or prior to the 360th day after the issue date of the 2024 Senior Notes and to keep the exchange offer open for not less than 30 days (or longer if required by applicable law). The Company may be required to file a shelf registration statement to cover resales of the 2024 Senior Notes under certain circumstances. If the Company fails to satisfy these obligations under the 2024 Registration Rights Agreement, it agreed to pay additional interest to the holders of the 2024 Senior Notes as specified in the 2024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issuance of the 2025 Senior Notes, the Company and the subsidiary guarantors entered into a registration rights agreement (the “2025 Registration Rights Agreement”) with the initial purchasers on December 20, 2016, pursuant to which the Company agreed to file a registration statement with respect to an offer to exchange the 2025 Senior Notes for a new issue of substantially identical debt securities registered under the Securities Act. Under the 2025 Registration Rights Agreement, the Company also agreed to use its commercially reasonable efforts to have the registration statement declared effective by the SEC on or prior to the 360th day after the issue date of the 2025 Senior Notes and to keep the exchange offer open for not less than 30 days (or longer if required by applicable law). The Company may be required to file a shelf registration statement to cover resales of the 2025 Senior Notes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circumstances. If the Company fails to satisfy these obligations under the 2025 Registration Rights Agreement, it agreed to pay additional interest to the holders of the 2025 Senior Notes as specified in the 2025 Registration Rights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26, 2017, the Company filed with the SEC its Registration Statement on Form S-4 relating to the exchange offers of the 2024 Senior Notes and the 2025 Senior Notes for substantially identical debt securities registered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9, 2014, Diamondback O&amp;G LLC, as borrower, entered into a first amendment and on November 13, 2014, Diamondback O&amp;G LLC entered into a second amendment to the second amended and restated credit agreement, dated November 1, 2013 (the “credit agreement”). The first amendment modified certain provisions of the credit agreement to, among other things, allow one or more of the Company’s subsidiaries to be designated as “Unrestricted Subsidiaries” that are not subject to certain restrictions contained in the credit agreement. In connection with the Viper Offering, the Partnership, the General Partner and Viper Energy Partners LLC were designated as unrestricted subsidiaries under the credit agreement. As of June 30, 2017, the credit agreement was guaranteed by Diamondback, Diamondback E&amp;P LLC and Rattler Midstream LLC and will also be guaranteed by any future restricted subsidiaries of Diamondback. The credit agreement is also secured by substantially all of the assets of Diamondback O&amp;G LLC, the Company and the other guarantors.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second amendment increased the maximum amount of the credit facility to $2.0 billion, modified the dates and deadlines of the credit agreement relating to the scheduled borrowing base redeterminations based on the Company’s oil and natural gas reserves and other factors and added new provisions that allow the Company to elect a commitment amount that is less than its borrowing base as determined by the lenders. The borrowing base is scheduled to be re-determined semi-annually with effective dates of May 1st and November 1st. In addition, the Company may request up to three additional redeterminations of the borrowing base during any 12-month period. As of June 30, 2017, the borrowing base was set at $1.5 billion, of which the Company had elected a commitment amount of $750.0 million, and the Company had $84.0 million in outstanding borrowings.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the Company that is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The Company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repaid. As of June 30, 2017, the Company had $1.0 billion in aggregate principal amount of senior unsecured notes outstanding.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30, 2017 and December 31, 2016,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entered into a $500.0 million secured revolving credit agreement, dated as of July 8, 2014, as amended, with Wells Fargo, as the administrative agent, sole book runner and lead arranger, and certain other lenders party thereto. The borrowing base is scheduled to be re-determined semi-annually with effective dates of April 1st and October 1st. In addition, the Partnership may request up to three additional redeterminations of the borrowing base during any 12-month period. As of June 30, 2017, the borrowing base was set at $315.0 million and the Partnership had $81.5 million in outstanding borrowings under the credit agreement.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the Partnership that is equal to an alternative base rate (which is equal to the greatest of the prime rate, the Federal Funds effective rate plus 0.5%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The Partnership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the Partnership and its subsidiaries.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2016, the Company completed an underwritten public offering of 4,600,000 shares of common stock, which included 600,000 shares of common stock issued pursuant to an option to purchase additional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granted to the underwriter. The stock was sold to the underwriter at $55.33 per share and the Company received proceeds of approximately $254.5 million from the sale of these shares of common stock, net of offering expenses and underwriting discounts and commissions.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completed no other equity offerings during the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Equity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$147.6 million, after deducting underwriting discounts and commissions and estimated offering expenses, of which Partnership used $120.5 million to repay the outstanding borrowings under its revolving credit agreement and intends to use the remaining net proceeds for general partnership purposes, which may include additional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rPr>
              <w:t>(in thousands, except per share amounts)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294,678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(188,402)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98,142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95,665</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71,372</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98,354</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95,925</w:t>
            </w: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71,372</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attributable to common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net income (loss) attributable to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June 30, 2017 and 2016, there were 64,411 shares and 25,591 shares, respectively, and during the six months ended June 30, 2017 and 2016, there were 0 shares and 174,279 shares, respectively, that were not included in the computation of diluted earnings per share because their inclusion would have been anti-dilutive for the periods presented. These shares could dilute basic earnings per share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7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w w:val="94"/>
              </w:rPr>
              <w:t>Equity-based compensation capitalized pursuant to full cost method of accounting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for oil and natural gas properties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4,244</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stock option activity under the Company’s Equity Incentive Plan (“Equity Plan”) for the six months ended June 30,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Weighted Average</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Exercise</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26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Price</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23"/>
                <w:szCs w:val="23"/>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22.72</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(15,750)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22.72</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aggregate intrinsic value of stock options that were exercised during the six months ended June 30, 2017 and 2016 was $1.2 million and $1.3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the Company’s restricted stock units activity under the Equity Plan during the 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87,641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107.97</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80" w:type="dxa"/>
            <w:vAlign w:val="bottom"/>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85.15</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June 30, 2017</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183,358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restricted stock units that vested during the six months ended June 30, 2017 and 2016 was $11.4 million and $8.2 million, respectively. As of June 30, 2017, the Company’s unrecognized compensation cost related to unvested restricted stock awards and units was $10.5 million. Such cost is expected to be recognized over a weighted-average period of 1.5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83"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cliff vest at December 31, 2018. Eligible employees received additional performance restricted stock unit awards totaling 74,880 units from which a minimum of 0% and a maximum of 200% units could be awarded. The awards have a performance period of January 1, 2017 to December 31, 2019 and cliff vest at December 31, 2019.</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February 2017 awards.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3"/>
          </w:tcPr>
          <w:p>
            <w:pPr>
              <w:jc w:val="right"/>
              <w:ind w:right="17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8"/>
        </w:trPr>
        <w:tc>
          <w:tcPr>
            <w:tcW w:w="1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Two-Year Performance</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Three-Year Performance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19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168.73</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18"/>
        </w:trPr>
        <w:tc>
          <w:tcPr>
            <w:tcW w:w="11420" w:type="dxa"/>
            <w:vAlign w:val="bottom"/>
            <w:gridSpan w:val="8"/>
          </w:tcPr>
          <w:p>
            <w:pPr>
              <w:jc w:val="right"/>
              <w:spacing w:after="0"/>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six months ended June 30,</w:t>
            </w:r>
          </w:p>
        </w:tc>
      </w:tr>
      <w:tr>
        <w:trPr>
          <w:trHeight w:val="230"/>
        </w:trPr>
        <w:tc>
          <w:tcPr>
            <w:tcW w:w="1940" w:type="dxa"/>
            <w:vAlign w:val="bottom"/>
          </w:tcPr>
          <w:p>
            <w:pPr>
              <w:jc w:val="right"/>
              <w:ind w:right="1430"/>
              <w:spacing w:after="0"/>
              <w:rPr>
                <w:sz w:val="20"/>
                <w:szCs w:val="20"/>
                <w:color w:val="auto"/>
              </w:rPr>
            </w:pPr>
            <w:r>
              <w:rPr>
                <w:rFonts w:ascii="Arial" w:cs="Arial" w:eastAsia="Arial" w:hAnsi="Arial"/>
                <w:sz w:val="18"/>
                <w:szCs w:val="18"/>
                <w:color w:val="auto"/>
                <w:w w:val="88"/>
              </w:rPr>
              <w:t>2017.</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r>
      <w:tr>
        <w:trPr>
          <w:trHeight w:val="27"/>
        </w:trPr>
        <w:tc>
          <w:tcPr>
            <w:tcW w:w="5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252,471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ind w:left="1260"/>
              <w:spacing w:after="0"/>
              <w:rPr>
                <w:sz w:val="20"/>
                <w:szCs w:val="20"/>
                <w:color w:val="auto"/>
              </w:rPr>
            </w:pPr>
            <w:r>
              <w:rPr>
                <w:rFonts w:ascii="Arial" w:cs="Arial" w:eastAsia="Arial" w:hAnsi="Arial"/>
                <w:sz w:val="18"/>
                <w:szCs w:val="18"/>
                <w:color w:val="auto"/>
              </w:rPr>
              <w:t>118,169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166.53</w:t>
            </w:r>
          </w:p>
        </w:tc>
      </w:tr>
      <w:tr>
        <w:trPr>
          <w:trHeight w:val="27"/>
        </w:trPr>
        <w:tc>
          <w:tcPr>
            <w:tcW w:w="5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53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Unvested at June 30, 2017</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370,640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r>
      <w:tr>
        <w:trPr>
          <w:trHeight w:val="20"/>
        </w:trPr>
        <w:tc>
          <w:tcPr>
            <w:tcW w:w="19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A maximum of 741,280 units could be awarded based upon the Company’s final TSR ranking.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2017, the Company’s unrecognized compensation cost related to unvested performance based restricted stock awards and units was $25.6 million. Such cost is expected to be recognized over a weighted-average period of 1.8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5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21,048</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ind w:right="30"/>
              <w:spacing w:after="0"/>
              <w:rPr>
                <w:sz w:val="20"/>
                <w:szCs w:val="20"/>
                <w:color w:val="auto"/>
              </w:rPr>
            </w:pPr>
            <w:r>
              <w:rPr>
                <w:rFonts w:ascii="Arial" w:cs="Arial" w:eastAsia="Arial" w:hAnsi="Arial"/>
                <w:sz w:val="18"/>
                <w:szCs w:val="18"/>
                <w:color w:val="auto"/>
              </w:rPr>
              <w:t>3,126</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36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57"/>
        </w:trPr>
        <w:tc>
          <w:tcPr>
            <w:tcW w:w="3980" w:type="dxa"/>
            <w:vAlign w:val="bottom"/>
          </w:tcPr>
          <w:p>
            <w:pPr>
              <w:ind w:left="40"/>
              <w:spacing w:after="0"/>
              <w:rPr>
                <w:sz w:val="20"/>
                <w:szCs w:val="20"/>
                <w:color w:val="auto"/>
              </w:rPr>
            </w:pPr>
            <w:r>
              <w:rPr>
                <w:rFonts w:ascii="Arial" w:cs="Arial" w:eastAsia="Arial" w:hAnsi="Arial"/>
                <w:sz w:val="18"/>
                <w:szCs w:val="18"/>
                <w:color w:val="auto"/>
              </w:rPr>
              <w:t>Unvested at June 30, 2017</w:t>
            </w:r>
          </w:p>
        </w:tc>
        <w:tc>
          <w:tcPr>
            <w:tcW w:w="368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10,358</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80" w:type="dxa"/>
            <w:vAlign w:val="bottom"/>
            <w:vMerge w:val="restart"/>
          </w:tcPr>
          <w:p>
            <w:pPr>
              <w:jc w:val="right"/>
              <w:ind w:right="1770"/>
              <w:spacing w:after="0"/>
              <w:rPr>
                <w:sz w:val="20"/>
                <w:szCs w:val="20"/>
                <w:color w:val="auto"/>
              </w:rPr>
            </w:pPr>
            <w:r>
              <w:rPr>
                <w:rFonts w:ascii="Arial" w:cs="Arial" w:eastAsia="Arial" w:hAnsi="Arial"/>
                <w:sz w:val="18"/>
                <w:szCs w:val="18"/>
                <w:color w:val="auto"/>
              </w:rPr>
              <w:t>19</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six months ended June 30, 2017 was $0.2 million. As of June 30, 2017, the unrecognized compensation cost related to unvested phantom units was $0.2 million. Such cost is expected to be recognized over a weighted-average period of 1.3 years.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upon the completion of the Company’s initial public offering on October 17, 2012, Wexford beneficially owned approximately 44% of the Company’s outstanding common stock. As of December 31, 2016, Wexford beneficially owned less than 1% of the Company’s outstanding common stock. The Chairman of the Board of Directors of both the Company and the General Partner was a partner at Wexford until his retirement from Wexford effective December 31, 2016. Another partner at Wexford serves as a member of the Board of Directors of the General Partner. Beginning January 1, 2017, Wexford and entities affiliated with Wexford are no longer considered related parties of the Company and any expenses after December 31, 2016 are no longer classified as related party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 and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June 30, 2016, the Company paid $1.3 million in lease operating expenses and $0.6 million in general and administrative expenses to related parties. During the three months ended June 30, 2016, the Company received less than $0.1 million in other income from related parties. During the six months ended June 30, 2016, the Company paid $1.6 million in lease operating expenses and $1.0 million in general and administrative expenses to related parties. During the six months ended June 30, 2016, the Company received $0.1 million in other income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advisory services agreement (the “Advisory Services Agreement”) with Wexford, dated as of October 11, 2012, under which Wexford provides the Company with general financial and strategic advisory services related to the business in return for an annual fee of $0.5 million, plus reasonable out-of-pocket expenses. The Advisory Services Agreement had an initial term of two years commencing on October 18, 2012, and continues for additional one-year periods unless terminated in writing by either party at least ten days prior to the expiration of the then current term. The Company incurred total costs of $0.1 million and $0.3 million during the three months and six months ended June 30, 2016, respectively, under the Advisory Services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The Partnership did not incur any costs during the three months and six months ended June 30, 2017 or June 30, 2016 under the Viper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Corporate Lease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May 15, 2011, the Company occupied corporate office space in Midland, Texas under a lease with an initial five-year term, which was extended for an additional ten-years in November 2014. The office space is owned by Fasken, which is controlled by an affiliate of Wexford. The Company paid rent of $0.4 million and $0.7 million for the three months and six months ended June 30,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Office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leased field office space in Midland, Texas from an unrelated third party commencing on March 1, 2011. On March 1, 2014, the building was purchased by WT Commercial Portfolio, LLC, which is controlled by an affiliate of Wexford. The term of the lease expires on February 28, 2018. During the third quarter of 2014, the Company entered into a sublease with Bison, in which Bison leased the field office space on the same terms as the Company’s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 for the remainder of the lease term. The Company paid rent of less than $0.1 million during both the three months and six months ended June 30, 2016. The Company received payments of less than $0.1 million and $0.1 million from Bison in respect of this sublease during the three months and six months ended June 30, 2016, respectively. During the second quarter of 2017, the sublease between the Company and Bison as well as the original lease between the Company and WT Commercial Portfolio, LLC were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 Lease Bonus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both the three months and six months ended June 30, 2017, the Company paid the Partnership $0.1 million in lease bonus payments to extend the term of two leases, reflecting an average bonus of $7,459 per acre. During the three months and six months ended June 30, 2016, the Company paid the Partnership $0.2 million and $0.3 million, respectively, in lease bonus payments to extend the term of four leases, reflecting an average bonus of $1,519 per acre.</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effective income tax rates were 1.1% and 0.2% for the six months ended June 30, 2017 and 2016, respectively. Total income tax expense for the six months ended June 30, 2017 differed from amounts computed by applying the United States federal statutory tax rate to pre-tax income primarily due to current and deferred state income taxes and the change in valuation allowance that offsets the Company’s federal net deferred tax asset position. The Company incurs state income tax obligations in Texas, the primary state in which it operates, pursuant to the Texas margin tax. Any positive net taxable income generated by the Company for federal income tax purposes for the six months ended June 30, 2017 is expected to be offset by federal net operating loss (“NOL”) carryforwards, for which a full valuation allowance has been provided. During the six months ended June 30, 2017, the Company reduced its valuation allowance against its federal NOL by $56.8 million, bringing the total valuation allowance to $30.2 million. The valuation allowance reduces the Company’s deferred assets to a zero value, as management does not believe that it is more-likely-than-not that this portion of the Company's NOLs are realizable. Management believes that the balance of the Company's NOLs are realizable only to the extent of future taxable income primarily related to the excess of book carrying value of properties over their respective tax bases. No other sources of future taxable income are considered in this judgment.</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used fixed price swap contracts, fixed price basis swap contracts and costless collars with corresponding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 Under the Company’s costless collar contracts, the counterparty is required to make a payment to the Company if the settlement price for any settlement period is less than the put option price, and the Company is required to make a payment to the counterparty if the settlement price for any settlement period is greater than the call option price. If the settlement price is between the put and the call price, there is no payment required. The Company’s derivative contracts are based upon reported settlement prices on commodity exchanges, with crude oil derivative settlements based on New York Mercantile Exchange West Texas Intermediate pricing and with natural gas derivative settlements based on the New York Mercantile Exchange Henry Hub pricing.</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2017, the Company had the following outstanding derivative contracts. When aggregating multiple contracts, the weighted average contract price is disclosed.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Fixed Price Swap</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Fixed Price Swap</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Fixed Price Swap</w:t>
            </w:r>
          </w:p>
        </w:tc>
      </w:tr>
      <w:tr>
        <w:trPr>
          <w:trHeight w:val="234"/>
        </w:trPr>
        <w:tc>
          <w:tcPr>
            <w:tcW w:w="230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(Bbls/MMBtu)</w:t>
            </w: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(per Bbl/MMBtu)</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(Bbls/MMBtu)</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Bbl/MMBtu)</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(Bbls/MMBtu)</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23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Oil Basis Swaps</w:t>
            </w:r>
          </w:p>
        </w:tc>
        <w:tc>
          <w:tcPr>
            <w:tcW w:w="1380" w:type="dxa"/>
            <w:vAlign w:val="bottom"/>
          </w:tcPr>
          <w:p>
            <w:pPr>
              <w:jc w:val="right"/>
              <w:spacing w:after="0"/>
              <w:rPr>
                <w:sz w:val="20"/>
                <w:szCs w:val="20"/>
                <w:color w:val="auto"/>
              </w:rPr>
            </w:pPr>
            <w:r>
              <w:rPr>
                <w:rFonts w:ascii="Arial" w:cs="Arial" w:eastAsia="Arial" w:hAnsi="Arial"/>
                <w:sz w:val="18"/>
                <w:szCs w:val="18"/>
                <w:color w:val="auto"/>
              </w:rPr>
              <w:t>4,416,000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5,475,000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Swaps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5,520,000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00" w:type="dxa"/>
            <w:vAlign w:val="bottom"/>
            <w:gridSpan w:val="5"/>
          </w:tcPr>
          <w:p>
            <w:pPr>
              <w:ind w:left="1340"/>
              <w:spacing w:after="0"/>
              <w:rPr>
                <w:sz w:val="20"/>
                <w:szCs w:val="20"/>
                <w:color w:val="auto"/>
              </w:rPr>
            </w:pPr>
            <w:r>
              <w:rPr>
                <w:rFonts w:ascii="Arial" w:cs="Arial" w:eastAsia="Arial" w:hAnsi="Arial"/>
                <w:sz w:val="18"/>
                <w:szCs w:val="18"/>
                <w:b w:val="1"/>
                <w:bCs w:val="1"/>
                <w:color w:val="auto"/>
              </w:rPr>
              <w:t>Floor</w:t>
            </w: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b w:val="1"/>
                <w:bCs w:val="1"/>
                <w:color w:val="auto"/>
              </w:rPr>
              <w:t>Ceiling</w:t>
            </w:r>
          </w:p>
        </w:tc>
      </w:tr>
      <w:tr>
        <w:trPr>
          <w:trHeight w:val="27"/>
        </w:trPr>
        <w:tc>
          <w:tcPr>
            <w:tcW w:w="50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Fixed Price (per</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Volume</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Fixed Price (per</w:t>
            </w:r>
          </w:p>
        </w:tc>
      </w:tr>
      <w:tr>
        <w:trPr>
          <w:trHeight w:val="234"/>
        </w:trPr>
        <w:tc>
          <w:tcPr>
            <w:tcW w:w="504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(Bbls)</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Bbl)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(Bbls)</w:t>
            </w:r>
          </w:p>
        </w:tc>
        <w:tc>
          <w:tcPr>
            <w:tcW w:w="16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Bbl)</w:t>
            </w: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July 2017 - December 2017</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Costless Collars</w:t>
            </w:r>
          </w:p>
        </w:tc>
        <w:tc>
          <w:tcPr>
            <w:tcW w:w="1480" w:type="dxa"/>
            <w:vAlign w:val="bottom"/>
          </w:tcPr>
          <w:p>
            <w:pPr>
              <w:jc w:val="right"/>
              <w:spacing w:after="0"/>
              <w:rPr>
                <w:sz w:val="20"/>
                <w:szCs w:val="20"/>
                <w:color w:val="auto"/>
              </w:rPr>
            </w:pPr>
            <w:r>
              <w:rPr>
                <w:rFonts w:ascii="Arial" w:cs="Arial" w:eastAsia="Arial" w:hAnsi="Arial"/>
                <w:sz w:val="18"/>
                <w:szCs w:val="18"/>
                <w:color w:val="auto"/>
              </w:rPr>
              <w:t>3,128,000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1,564,000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56.45</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2018 - March 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Costless Collars</w:t>
            </w:r>
          </w:p>
        </w:tc>
        <w:tc>
          <w:tcPr>
            <w:tcW w:w="1480" w:type="dxa"/>
            <w:vAlign w:val="bottom"/>
          </w:tcPr>
          <w:p>
            <w:pPr>
              <w:jc w:val="right"/>
              <w:spacing w:after="0"/>
              <w:rPr>
                <w:sz w:val="20"/>
                <w:szCs w:val="20"/>
                <w:color w:val="auto"/>
              </w:rPr>
            </w:pPr>
            <w:r>
              <w:rPr>
                <w:rFonts w:ascii="Arial" w:cs="Arial" w:eastAsia="Arial" w:hAnsi="Arial"/>
                <w:sz w:val="18"/>
                <w:szCs w:val="18"/>
                <w:color w:val="auto"/>
              </w:rPr>
              <w:t>540,000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June 30, 2017 and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2017</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Gross amounts of assets presented in the Consolidated Balance Sheet</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Net amounts of assets presented in the Consolidated Balance Sheet</w:t>
            </w:r>
          </w:p>
        </w:tc>
        <w:tc>
          <w:tcPr>
            <w:tcW w:w="16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46,111</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w w:val="92"/>
              </w:rPr>
              <w:t>Gross amounts of liabilities presented in the Consolidated Balance Sheet</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amounts of liabilities presented in the Consolidated Balance Sheet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2017</w:t>
            </w:r>
          </w:p>
        </w:tc>
        <w:tc>
          <w:tcPr>
            <w:tcW w:w="30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0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41,732</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4,379</w:t>
            </w:r>
          </w:p>
        </w:tc>
        <w:tc>
          <w:tcPr>
            <w:tcW w:w="3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22,608</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68,010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4,685</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3,011</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4,584</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The fair values of the Company’s fixed price swaps, fixed price basis swaps and costless collars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measured internally using established commodity futures price strips for the underlying commodity provided by a reputable third party, the contracted notional volumes, and time to maturity. These valuations are Level 2 inputs.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June 30, 2017 and December 31, 2016.</w:t>
      </w:r>
    </w:p>
    <w:p>
      <w:pPr>
        <w:spacing w:after="0" w:line="112" w:lineRule="exact"/>
        <w:rPr>
          <w:sz w:val="20"/>
          <w:szCs w:val="20"/>
          <w:color w:val="auto"/>
        </w:rPr>
      </w:pPr>
    </w:p>
    <w:p>
      <w:pPr>
        <w:ind w:left="7640"/>
        <w:spacing w:after="0"/>
        <w:tabs>
          <w:tab w:leader="none" w:pos="9600" w:val="left"/>
        </w:tabs>
        <w:rPr>
          <w:sz w:val="20"/>
          <w:szCs w:val="20"/>
          <w:color w:val="auto"/>
        </w:rPr>
      </w:pPr>
      <w:r>
        <w:rPr>
          <w:rFonts w:ascii="Arial" w:cs="Arial" w:eastAsia="Arial" w:hAnsi="Arial"/>
          <w:sz w:val="18"/>
          <w:szCs w:val="18"/>
          <w:b w:val="1"/>
          <w:bCs w:val="1"/>
          <w:color w:val="auto"/>
        </w:rPr>
        <w:t>June 30, 2017</w:t>
      </w:r>
      <w:r>
        <w:rPr>
          <w:sz w:val="20"/>
          <w:szCs w:val="20"/>
          <w:color w:val="auto"/>
        </w:rPr>
        <w:tab/>
      </w:r>
      <w:r>
        <w:rPr>
          <w:rFonts w:ascii="Arial" w:cs="Arial" w:eastAsia="Arial" w:hAnsi="Arial"/>
          <w:sz w:val="15"/>
          <w:szCs w:val="15"/>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price swaps: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Quoted prices in active markets level 1</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other observable inputs level 2</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8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Significant unobservable inputs level 3</w:t>
            </w:r>
          </w:p>
        </w:tc>
        <w:tc>
          <w:tcPr>
            <w:tcW w:w="8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8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60" w:type="dxa"/>
            <w:vAlign w:val="bottom"/>
            <w:gridSpan w:val="2"/>
          </w:tcPr>
          <w:p>
            <w:pPr>
              <w:ind w:left="1220"/>
              <w:spacing w:after="0"/>
              <w:rPr>
                <w:sz w:val="20"/>
                <w:szCs w:val="20"/>
                <w:color w:val="auto"/>
              </w:rPr>
            </w:pPr>
            <w:r>
              <w:rPr>
                <w:rFonts w:ascii="Arial" w:cs="Arial" w:eastAsia="Arial" w:hAnsi="Arial"/>
                <w:sz w:val="18"/>
                <w:szCs w:val="18"/>
                <w:b w:val="1"/>
                <w:bCs w:val="1"/>
                <w:color w:val="auto"/>
              </w:rPr>
              <w:t>June 30, 2017</w:t>
            </w:r>
          </w:p>
        </w:tc>
        <w:tc>
          <w:tcPr>
            <w:tcW w:w="33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20" w:type="dxa"/>
            <w:vAlign w:val="bottom"/>
          </w:tcPr>
          <w:p>
            <w:pPr>
              <w:spacing w:after="0"/>
              <w:rPr>
                <w:sz w:val="20"/>
                <w:szCs w:val="20"/>
                <w:color w:val="auto"/>
              </w:rPr>
            </w:pPr>
          </w:p>
        </w:tc>
      </w:tr>
      <w:tr>
        <w:trPr>
          <w:trHeight w:val="2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ind w:left="480"/>
              <w:spacing w:after="0"/>
              <w:rPr>
                <w:sz w:val="20"/>
                <w:szCs w:val="20"/>
                <w:color w:val="auto"/>
              </w:rPr>
            </w:pPr>
            <w:r>
              <w:rPr>
                <w:rFonts w:ascii="Arial" w:cs="Arial" w:eastAsia="Arial" w:hAnsi="Arial"/>
                <w:sz w:val="18"/>
                <w:szCs w:val="18"/>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Pr>
          <w:p>
            <w:pPr>
              <w:ind w:left="46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498,750</w:t>
            </w:r>
          </w:p>
        </w:tc>
        <w:tc>
          <w:tcPr>
            <w:tcW w:w="6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500,000</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491,250</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511,250</w:t>
            </w:r>
          </w:p>
        </w:tc>
        <w:tc>
          <w:tcPr>
            <w:tcW w:w="60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500,000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502,850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6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120,500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7"/>
        </w:trPr>
        <w:tc>
          <w:tcPr>
            <w:tcW w:w="3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revolving credit facility approximates its carrying value based on borrowing rates available to the Company for bank loans with similar terms and maturities and is classified as Level 2 in the fair value hierarchy. The fair value of the Senior Notes was determined using the June 30, 2017 quoted market price, a Level 1 classification in the fair value hierarchy. The fair value of the Partnership’s revolving credit facility approximates its carrying value based on borrowing rates available to us for bank loans with similar terms and maturities and is classified as Level 2 in the fair value hierarchy.</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Subsequent to June 30, 2017, the Company entered into new fixed price swaps. The Company’s derivative contracts are based upon reported settlement prices on commodity exchanges, with crude oil derivative settlements based on New York Mercantile Exchange West Texas Intermediate pricing.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June 30, 2017.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Fixed Price Swap (per</w:t>
            </w:r>
          </w:p>
        </w:tc>
      </w:tr>
      <w:tr>
        <w:trPr>
          <w:trHeight w:val="234"/>
        </w:trPr>
        <w:tc>
          <w:tcPr>
            <w:tcW w:w="6640" w:type="dxa"/>
            <w:vAlign w:val="bottom"/>
          </w:tcPr>
          <w:p>
            <w:pPr>
              <w:spacing w:after="0"/>
              <w:rPr>
                <w:sz w:val="20"/>
                <w:szCs w:val="20"/>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 (Bbls/MMBtu)</w:t>
            </w:r>
          </w:p>
        </w:tc>
        <w:tc>
          <w:tcPr>
            <w:tcW w:w="240" w:type="dxa"/>
            <w:vAlign w:val="bottom"/>
          </w:tcPr>
          <w:p>
            <w:pPr>
              <w:spacing w:after="0"/>
              <w:rPr>
                <w:sz w:val="20"/>
                <w:szCs w:val="20"/>
                <w:color w:val="auto"/>
              </w:rPr>
            </w:pPr>
          </w:p>
        </w:tc>
        <w:tc>
          <w:tcPr>
            <w:tcW w:w="2160" w:type="dxa"/>
            <w:vAlign w:val="bottom"/>
          </w:tcPr>
          <w:p>
            <w:pPr>
              <w:jc w:val="right"/>
              <w:ind w:right="61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6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2018 - December 2018</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Oil Swaps</w:t>
            </w:r>
          </w:p>
        </w:tc>
        <w:tc>
          <w:tcPr>
            <w:tcW w:w="2280" w:type="dxa"/>
            <w:vAlign w:val="bottom"/>
          </w:tcPr>
          <w:p>
            <w:pPr>
              <w:jc w:val="right"/>
              <w:spacing w:after="0"/>
              <w:rPr>
                <w:sz w:val="20"/>
                <w:szCs w:val="20"/>
                <w:color w:val="auto"/>
              </w:rPr>
            </w:pPr>
            <w:r>
              <w:rPr>
                <w:rFonts w:ascii="Arial" w:cs="Arial" w:eastAsia="Arial" w:hAnsi="Arial"/>
                <w:sz w:val="18"/>
                <w:szCs w:val="18"/>
                <w:color w:val="auto"/>
              </w:rPr>
              <w:t>2,920,000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48.92</w:t>
            </w:r>
          </w:p>
        </w:tc>
      </w:tr>
      <w:tr>
        <w:trPr>
          <w:trHeight w:val="27"/>
        </w:trPr>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2019 - December 2019</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Oil Swaps</w:t>
            </w:r>
          </w:p>
        </w:tc>
        <w:tc>
          <w:tcPr>
            <w:tcW w:w="2280" w:type="dxa"/>
            <w:vAlign w:val="bottom"/>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49.65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Partnership’s Equity Offering and Repayment of Outstanding Borrowings under the Partnership’s Revolving Credit Facility</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2017, the Partnership completed an underwritten public offering of 16,100,000 common units, which included 2,100,000 common units issued pursuant to an option to purchase additional common units granted to the underwriters. In this offering, the Company purchased 700,000 common units, an affiliate of the General Partner purchased 3,000,000 common units and certain officers and directors of the Company and the General Partner purchased an aggregate of 114,000 common units, in each case directly from the underwriters. Following this offering, the Company had an approximate 64% limited partner interest in the Partnership. The Partnership received net proceeds from this offering of approximately $232.6 million, after deducting underwriting discounts and commissions and estimated offering expenses, of which the Partnership used $152.8 million to repay all of the then-outstanding borrowings under the Partnership’s revolving credit facility and intends to use the remaining net proceeds to fund a portion of the purchase price for pending acquisitions and for general partnership purposes, which may include additional acquisitions.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Notes Exchange Offer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required under the terms of the registration rights agreements relating to the 2024 Senior Notes and the 2025 Senior Notes, the Company filed with the SEC its Registration Statement on Form S-4, as amended (the “Registration Statement”), relating to the exchange offers of the 2024 Senior Notes and the 2025 Senior Notes for substantially identical notes registered under the Securities Act (the “Exchange Offers”). The Registration Statement was declared effective by the SEC on June 21, 2017 and the Company closed the Exchange Offers on July 27, 2017, in which all privately placed 2024 Senior Notes and 2025 Senior Notes were exchanged for substantially identical notes registered under the Securities Act.</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GUARANTOR FINANCIAL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June 30, 2017, Diamondback E&amp;P LLC and Diamondback O&amp;G LLC (the “Guarantor Subsidiaries”) are guarantors under the indentures relating to the 2024 Senior Notes and the 2025 Senior Notes. In connection with the issuance of the 2024 Senior Notes and the 2025 Senior Notes, the Partnership, the General Partner, Viper Energy Partners LLC and Rattler Midstream LLC were designated as Non-Guarantor Subsidiaries. The following presents condensed consolidated financial information for the Company (which for purposes of this Note 17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June 30, 2017</w:t>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143,529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154,627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3,000,954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572,954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(3,573,908)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44,697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45,189</w:t>
            </w: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3,002,151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780,191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16,127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(3,577,132)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221,337</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7,424,971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886,537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8,311,094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95,491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95,491</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71,978</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(1,811,340)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(1,969,816)</w:t>
            </w:r>
          </w:p>
        </w:tc>
      </w:tr>
      <w:tr>
        <w:trPr>
          <w:trHeight w:val="25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5,781,100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720,070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6,508,747</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4,379</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2,811,248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(2,811,248)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321</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49,025</w:t>
            </w:r>
          </w:p>
        </w:tc>
      </w:tr>
      <w:tr>
        <w:trPr>
          <w:trHeight w:val="283"/>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5,813,720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6,579,612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771,280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(6,380,803)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6,783,809</w:t>
            </w:r>
          </w:p>
        </w:tc>
      </w:tr>
      <w:tr>
        <w:trPr>
          <w:trHeight w:val="251"/>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3,577,132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(3,577,132)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286,287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295,402</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7,426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3,891,175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(3,577,132)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323,166</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986,015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1,151,515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19,539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19,539</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2,655</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996,096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3,994,714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83,197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(3,577,132)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1,496,875</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4,817,624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2,584,898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688,083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(3,272,981)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4,817,624</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469,310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469,310</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4,817,624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2,584,898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688,083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(2,803,671)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5,286,934</w:t>
            </w:r>
          </w:p>
        </w:tc>
      </w:tr>
      <w:tr>
        <w:trPr>
          <w:trHeight w:val="243"/>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5,813,720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6,579,612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6,783,809</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119,825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3,060,566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4,704,273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488,018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23,413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1,792,166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4,400,002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760,818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5,160,261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58,290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(1,695,701)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(1,836,056)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2,770,953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611,870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3,390,857</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121,391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44,557</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45,838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47,648</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payable-related party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161,693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3,624,830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209,342</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985,412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1,105,912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16,134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991,311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3,640,964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122,651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1,331,388</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3,697,462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23,534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4,018,292</w:t>
            </w:r>
          </w:p>
        </w:tc>
        <w:tc>
          <w:tcPr>
            <w:tcW w:w="0" w:type="dxa"/>
            <w:vAlign w:val="bottom"/>
          </w:tcPr>
          <w:p>
            <w:pPr>
              <w:spacing w:after="0"/>
              <w:rPr>
                <w:sz w:val="1"/>
                <w:szCs w:val="1"/>
                <w:color w:val="auto"/>
              </w:rPr>
            </w:pPr>
          </w:p>
        </w:tc>
      </w:tr>
      <w:tr>
        <w:trPr>
          <w:trHeight w:val="243"/>
        </w:trPr>
        <w:tc>
          <w:tcPr>
            <w:tcW w:w="492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83"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206,113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31,771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237,884</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12,693</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14,649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16,857</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583</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1,417</w:t>
            </w:r>
          </w:p>
        </w:tc>
      </w:tr>
      <w:tr>
        <w:trPr>
          <w:trHeight w:val="250"/>
        </w:trPr>
        <w:tc>
          <w:tcPr>
            <w:tcW w:w="43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232,918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269,434</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28,989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28,989</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15,879</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3,015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65,091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9,672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75,173</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11,892</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350</w:t>
            </w:r>
          </w:p>
        </w:tc>
      </w:tr>
      <w:tr>
        <w:trPr>
          <w:trHeight w:val="256"/>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116,756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137,126</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116,162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132,308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(6,325)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(8,245)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8,324</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33,320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33,320</w:t>
            </w:r>
          </w:p>
        </w:tc>
      </w:tr>
      <w:tr>
        <w:trPr>
          <w:trHeight w:val="250"/>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40,669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33,399</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165,707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(14,336)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22,149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164,128</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(14,336)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158,405</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85,812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15,513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101,325</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4,109</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6,264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7,049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112,483</w:t>
            </w:r>
          </w:p>
        </w:tc>
      </w:tr>
      <w:tr>
        <w:trPr>
          <w:trHeight w:val="25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18,677</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6,756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8,159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2,432</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34,107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6,584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39,871</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168,352</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9,524</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6,067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211,279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30,743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247,269</w:t>
            </w:r>
          </w:p>
        </w:tc>
      </w:tr>
      <w:tr>
        <w:trPr>
          <w:trHeight w:val="25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(134,786)</w:t>
            </w: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(10,019)</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(12,125)</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(8,781)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(12,627)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(21,967)</w:t>
            </w:r>
          </w:p>
        </w:tc>
      </w:tr>
      <w:tr>
        <w:trPr>
          <w:trHeight w:val="25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(128,259)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(156,753)</w:t>
            </w: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5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(15,216)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(128,259)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(157,121)</w:t>
            </w: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(1,631)</w:t>
            </w:r>
          </w:p>
        </w:tc>
      </w:tr>
      <w:tr>
        <w:trPr>
          <w:trHeight w:val="243"/>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(155,490)</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00" w:top="283"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384,343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60,615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444,958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22,615</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32,359</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2,185</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2,547</w:t>
            </w:r>
          </w:p>
        </w:tc>
      </w:tr>
      <w:tr>
        <w:trPr>
          <w:trHeight w:val="250"/>
        </w:trPr>
        <w:tc>
          <w:tcPr>
            <w:tcW w:w="436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434,496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504,664</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55,615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55,615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31,604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5,634</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115,982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134,102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25,636</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673</w:t>
            </w:r>
          </w:p>
        </w:tc>
      </w:tr>
      <w:tr>
        <w:trPr>
          <w:trHeight w:val="256"/>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216,690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26,345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255,946</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217,806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248,718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(17,133)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(20,470)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9,469</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71,021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71,021</w:t>
            </w:r>
          </w:p>
        </w:tc>
      </w:tr>
      <w:tr>
        <w:trPr>
          <w:trHeight w:val="250"/>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(16,041)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60,020</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308,738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3,536</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(33,117)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305,202</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10,524</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(33,117)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294,678</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151,907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28,438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180,345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8,131</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10,155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11,488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199,964</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36,900</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13,416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16,121</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69,235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81,940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199,168</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14,374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22,503</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14,374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281,965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68,041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362,353</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(162,389)</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740</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(10,699)</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(17,582)</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(11,619)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(29,991)</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(124,542)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(192,380)</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(32,324)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(124,542)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(37,355)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(192,748)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(4,346)</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(188,402)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358,123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394,431</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(291,767)</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and equipment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(1,860,980)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(1,860,980)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(122,679)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121,391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(1,657,407)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1,657,407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(1,657,407)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(2,221,476)</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147,725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40,572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w:t>
            </w: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83,210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177,059</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(1,642,330)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(1,649,986)</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16,588</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121,781</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(149,661)</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Purchase of other property and equipment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(17,533)</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(11,319)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(180,376)</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254,518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254,518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270,397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257,274</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190,856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198,679</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20,115</w:t>
            </w: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191,004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21,646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218,794</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9" w:name="page40"/>
    <w:bookmarkEnd w:id="39"/>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2016.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jc w:val="center"/>
        <w:ind w:left="62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48895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6560"/>
        <w:spacing w:after="0"/>
        <w:tabs>
          <w:tab w:leader="none" w:pos="78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48895</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34" w:lineRule="exact"/>
        <w:rPr>
          <w:sz w:val="20"/>
          <w:szCs w:val="20"/>
          <w:color w:val="auto"/>
        </w:rPr>
      </w:pPr>
    </w:p>
    <w:p>
      <w:pPr>
        <w:sectPr>
          <w:pgSz w:w="11900" w:h="16838" w:orient="portrait"/>
          <w:cols w:equalWidth="0" w:num="2">
            <w:col w:w="8560" w:space="520"/>
            <w:col w:w="23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w:t>
            </w:r>
          </w:p>
        </w:tc>
        <w:tc>
          <w:tcPr>
            <w:tcW w:w="170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Natural gas (Mcf)</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spacing w:after="0"/>
              <w:rPr>
                <w:sz w:val="20"/>
                <w:szCs w:val="20"/>
                <w:color w:val="auto"/>
              </w:rPr>
            </w:pPr>
          </w:p>
        </w:tc>
        <w:tc>
          <w:tcPr>
            <w:tcW w:w="1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second quarter of 2017, we added approximately 3,200 net acres in the Southern Delaware Basin bringing our net acreage position in the Permian Basin to approximately 191,000 net acres at June 30, 2017, which included approximately 87,000 net acres in the Northern Midland Basin and approximately 104,000 net acres in the Southern Delaware Basin. We have an estimated 4,300 gross horizontal locations economic at $50 per Bbl West Texas Intermediate.</w:t>
      </w:r>
    </w:p>
    <w:p>
      <w:pPr>
        <w:spacing w:after="0" w:line="2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7"/>
          <w:szCs w:val="17"/>
          <w:color w:val="auto"/>
        </w:rPr>
        <w:t xml:space="preserve">The challenging commodity price environment that we experienced in 2016 has continued in 2017. Commodity prices continued to be volatile during the second quarter of 2017. We believe we remain well-positioned in this environment. In 2017, we have again demonstrated our operational focus on achieving best-in-class execution, low-cost operations and a conservative balance sheet as we continue to reduce drilling days, well costs and operating expenses while maintaining what we believe to be a peer leading leverage ratio. Our leading-edge Midland Basin costs to drill, complete and equip wells currently fall within a range of $5.0 million to $5.5 million for a 7,500 foot lateral well. </w:t>
      </w:r>
      <w:r>
        <w:rPr>
          <w:rFonts w:ascii="Arial" w:cs="Arial" w:eastAsia="Arial" w:hAnsi="Arial"/>
          <w:sz w:val="18"/>
          <w:szCs w:val="18"/>
          <w:color w:val="auto"/>
        </w:rPr>
        <w:t>W</w:t>
      </w:r>
      <w:r>
        <w:rPr>
          <w:rFonts w:ascii="Arial" w:cs="Arial" w:eastAsia="Arial" w:hAnsi="Arial"/>
          <w:sz w:val="17"/>
          <w:szCs w:val="17"/>
          <w:color w:val="auto"/>
        </w:rPr>
        <w:t>e are currently operating nine rigs and three completion crews and plan to operate between eight and nine rigs for the remainder of 2017 at current commodity prices. We will continue monitoring commodity prices and overall market conditions and can adjust our rig cadence up or down in response to changes in commodity prices and overall market conditions. We will continue to evaluate adding additional rigs throughout the year if commodity prices strengthen.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Recent Acquisition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2017, we completed our acquisition of oil and natural gas properties, midstream assets and other related assets in the Delaware Basin for an aggregate purchase price consisting of $1.74 billion in cash and 7.69 million shares of our common stock, of which approximately 1.15 million shares were placed in an indemnity escrow. This transaction includes the acquisition of (i) approximately 100,306 gross (80,339 net) acres primarily in Pecos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type w:val="continuous"/>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Reeves counties for approximately $2.5 billion and (ii) midstream assets for approximately $47.6 million. We used the net proceeds from our December 2016 equity offering, net proceeds from our December 2016 debt offering, cash on hand and other financing sources to fund the cash portion of the purchase price for this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Viper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Viper completed an underwritten public offering of 9,775,000 common units, which included 1,275,000 common units issued pursuant to an option to purchase additional common units granted to the underwriters. Viper received net proceeds from this offering of approximately $147.6 million, after deducting underwriting discounts and commissions and estimated offering expenses, of which Viper used $120.5 million to repay the outstanding borrowings under its revolving credit agreement and intends to use the remaining net proceeds for general partnership purposes, which may include additional acquisitions.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Viper completed an underwritten public offering of 16,100,000 common units, which included 2,100,000 common units issued pursuant to an option to purchase additional common units granted to the underwriters. In this offering, we purchased 700,000 common units, an affiliate of the General Partner purchased 3,000,000 common units and certain officers and directors of our Company and the General Partner purchased an aggregate of 114,000 common units, in each case directly from the underwriters. Following this offering, we had an approximate 64% limited partner interest in Viper. Viper received net proceeds from this offering of approximately $232.6 million, after deducting underwriting discounts and commissions and estimated offering expenses, of which Viper used $152.8 million to repay all of the then-outstanding borrowings under Viper’s revolving credit facility and intends to use the remaining net proceeds to fund a portion of the purchase price for pending acquisitions and for general partnership purposes, which may include additional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2017, we drilled 34 gross (31 net) horizontal wells, eight gross (eight net) of which were in the Delaware Basin. We turned 35 gross (31 net) wells into production, of which six gross (five net) were wells in the Delaware Basin. We also participated in the drilling of three gross (one net) wells and in the completion of three gross (one net) non-operated wells.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currently operating nine rigs and intend to operate between eight and nine drilling rigs during the remainder of 2017 across our asset base in the Midland and Delaware Basins. We plan to operate five to six of these rigs in the Midland Basin targeting horizontal development of the Wolfcamp and Spraberry formations, while the remainder of the rigs are expected to operate in the Delaware Basin targeting the Wolfcamp and Bone Spring formations.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Midland Basin, we continue to see positive well results from our core development areas in Midland, Glasscock, Howard, Andrews and Martin Counties. Assuming commodity prices at current levels, we anticipate operating one rig in Glasscock County, one rig in Howard County and three or more rigs in Midland, Martin and Andrews Counties through the remainder of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Delaware Basin, we are currently operating three drilling rigs, which we plan to maintain through the remainder of 2017 targeting the Wolfcamp and Bone Spring formations. Our early operated well results in the Delaware Basin have confirmed the productivity of the asset base, and we are focused on transferring our best practices on cost control from the Midland Basin to the Delaware Basin.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continue to focus on low cost operations and best in class execution. In doing so, we are focused on controlling oilfield service costs as our service providers seek to increase pricing after two years of declining service costs during the downturn in the oil market. To combat rising service costs, we have looked to lock in pricing for dedicated activity levels and will continue to seek opportunities to control additional well cost where possible, including de-bundling of completion costs. We believe that our 2017 drilling and completion budget will cover potential increases in our service costs during the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The following table summarizes our average daily production for the periods presented:</w:t>
      </w:r>
    </w:p>
    <w:p>
      <w:pPr>
        <w:sectPr>
          <w:pgSz w:w="11900" w:h="16838" w:orient="portrait"/>
          <w:cols w:equalWidth="0" w:num="1">
            <w:col w:w="11420"/>
          </w:cols>
          <w:pgMar w:left="240" w:top="584" w:right="239" w:bottom="1440" w:gutter="0" w:footer="0" w:header="0"/>
        </w:sectPr>
      </w:pPr>
    </w:p>
    <w:p>
      <w:pPr>
        <w:spacing w:after="0" w:line="190" w:lineRule="exact"/>
        <w:rPr>
          <w:sz w:val="20"/>
          <w:szCs w:val="20"/>
          <w:color w:val="auto"/>
        </w:rPr>
      </w:pPr>
    </w:p>
    <w:p>
      <w:pPr>
        <w:jc w:val="center"/>
        <w:ind w:left="63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48895</wp:posOffset>
            </wp:positionV>
            <wp:extent cx="1595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0" w:lineRule="exact"/>
        <w:rPr>
          <w:sz w:val="20"/>
          <w:szCs w:val="20"/>
          <w:color w:val="auto"/>
        </w:rPr>
      </w:pPr>
    </w:p>
    <w:p>
      <w:pPr>
        <w:ind w:left="6740"/>
        <w:spacing w:after="0"/>
        <w:tabs>
          <w:tab w:leader="none" w:pos="79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48895</wp:posOffset>
            </wp:positionV>
            <wp:extent cx="1586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34" w:lineRule="exact"/>
        <w:rPr>
          <w:sz w:val="20"/>
          <w:szCs w:val="20"/>
          <w:color w:val="auto"/>
        </w:rPr>
      </w:pPr>
    </w:p>
    <w:p>
      <w:pPr>
        <w:sectPr>
          <w:pgSz w:w="11900" w:h="16838" w:orient="portrait"/>
          <w:cols w:equalWidth="0" w:num="2">
            <w:col w:w="8700" w:space="420"/>
            <w:col w:w="23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162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57,543</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51,903</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54,273</w:t>
            </w:r>
          </w:p>
        </w:tc>
        <w:tc>
          <w:tcPr>
            <w:tcW w:w="900" w:type="dxa"/>
            <w:vAlign w:val="bottom"/>
          </w:tcPr>
          <w:p>
            <w:pPr>
              <w:jc w:val="right"/>
              <w:spacing w:after="0"/>
              <w:rPr>
                <w:sz w:val="20"/>
                <w:szCs w:val="20"/>
                <w:color w:val="auto"/>
              </w:rPr>
            </w:pPr>
            <w:r>
              <w:rPr>
                <w:rFonts w:ascii="Arial" w:cs="Arial" w:eastAsia="Arial" w:hAnsi="Arial"/>
                <w:sz w:val="18"/>
                <w:szCs w:val="18"/>
                <w:color w:val="auto"/>
              </w:rPr>
              <w:t>28,203</w:t>
            </w:r>
          </w:p>
        </w:tc>
        <w:tc>
          <w:tcPr>
            <w:tcW w:w="120" w:type="dxa"/>
            <w:vAlign w:val="bottom"/>
          </w:tcPr>
          <w:p>
            <w:pPr>
              <w:spacing w:after="0"/>
              <w:rPr>
                <w:sz w:val="21"/>
                <w:szCs w:val="21"/>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47,635</w:t>
            </w:r>
          </w:p>
        </w:tc>
        <w:tc>
          <w:tcPr>
            <w:tcW w:w="900" w:type="dxa"/>
            <w:vAlign w:val="bottom"/>
          </w:tcPr>
          <w:p>
            <w:pPr>
              <w:jc w:val="right"/>
              <w:spacing w:after="0"/>
              <w:rPr>
                <w:sz w:val="20"/>
                <w:szCs w:val="20"/>
                <w:color w:val="auto"/>
              </w:rPr>
            </w:pPr>
            <w:r>
              <w:rPr>
                <w:rFonts w:ascii="Arial" w:cs="Arial" w:eastAsia="Arial" w:hAnsi="Arial"/>
                <w:sz w:val="18"/>
                <w:szCs w:val="18"/>
                <w:color w:val="auto"/>
              </w:rPr>
              <w:t>26,831</w:t>
            </w:r>
          </w:p>
        </w:tc>
      </w:tr>
      <w:tr>
        <w:trPr>
          <w:trHeight w:val="27"/>
        </w:trPr>
        <w:tc>
          <w:tcPr>
            <w:tcW w:w="6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10,388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9,493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average production per day (BOE)</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76,977</w:t>
            </w:r>
          </w:p>
        </w:tc>
        <w:tc>
          <w:tcPr>
            <w:tcW w:w="900" w:type="dxa"/>
            <w:vAlign w:val="bottom"/>
          </w:tcPr>
          <w:p>
            <w:pPr>
              <w:jc w:val="right"/>
              <w:spacing w:after="0"/>
              <w:rPr>
                <w:sz w:val="20"/>
                <w:szCs w:val="20"/>
                <w:color w:val="auto"/>
              </w:rPr>
            </w:pPr>
            <w:r>
              <w:rPr>
                <w:rFonts w:ascii="Arial" w:cs="Arial" w:eastAsia="Arial" w:hAnsi="Arial"/>
                <w:sz w:val="18"/>
                <w:szCs w:val="18"/>
                <w:color w:val="auto"/>
              </w:rPr>
              <w:t>36,841</w:t>
            </w:r>
          </w:p>
        </w:tc>
        <w:tc>
          <w:tcPr>
            <w:tcW w:w="120" w:type="dxa"/>
            <w:vAlign w:val="bottom"/>
          </w:tcPr>
          <w:p>
            <w:pPr>
              <w:spacing w:after="0"/>
              <w:rPr>
                <w:sz w:val="21"/>
                <w:szCs w:val="21"/>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69,336</w:t>
            </w:r>
          </w:p>
        </w:tc>
        <w:tc>
          <w:tcPr>
            <w:tcW w:w="900" w:type="dxa"/>
            <w:vAlign w:val="bottom"/>
          </w:tcPr>
          <w:p>
            <w:pPr>
              <w:jc w:val="right"/>
              <w:spacing w:after="0"/>
              <w:rPr>
                <w:sz w:val="20"/>
                <w:szCs w:val="20"/>
                <w:color w:val="auto"/>
              </w:rPr>
            </w:pPr>
            <w:r>
              <w:rPr>
                <w:rFonts w:ascii="Arial" w:cs="Arial" w:eastAsia="Arial" w:hAnsi="Arial"/>
                <w:sz w:val="18"/>
                <w:szCs w:val="18"/>
                <w:color w:val="auto"/>
              </w:rPr>
              <w:t>37,575</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average daily production for the three months ended June 30, 2017 as compared to the three months ended June 30, 2016 increased 40,136 BOE/d, or 108.9%.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main source of revenues are derived from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breakdown of our revenues for the following periods:</w:t>
      </w:r>
    </w:p>
    <w:p>
      <w:pPr>
        <w:sectPr>
          <w:pgSz w:w="11900" w:h="16838" w:orient="portrait"/>
          <w:cols w:equalWidth="0" w:num="1">
            <w:col w:w="11420"/>
          </w:cols>
          <w:pgMar w:left="240" w:top="584" w:right="239" w:bottom="1440" w:gutter="0" w:footer="0" w:header="0"/>
          <w:type w:val="continuous"/>
        </w:sectPr>
      </w:pP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48895</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ind w:left="6720"/>
        <w:spacing w:after="0"/>
        <w:tabs>
          <w:tab w:leader="none" w:pos="79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1586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1595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0"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15951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720" w:space="400"/>
            <w:col w:w="23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sales</w:t>
            </w:r>
          </w:p>
        </w:tc>
        <w:tc>
          <w:tcPr>
            <w:tcW w:w="1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Natural gas sales</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liquid sales</w:t>
            </w:r>
          </w:p>
        </w:tc>
        <w:tc>
          <w:tcPr>
            <w:tcW w:w="1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300" w:type="dxa"/>
            <w:vAlign w:val="bottom"/>
          </w:tcPr>
          <w:p>
            <w:pPr>
              <w:spacing w:after="0"/>
              <w:rPr>
                <w:sz w:val="20"/>
                <w:szCs w:val="20"/>
                <w:color w:val="auto"/>
              </w:rPr>
            </w:pPr>
          </w:p>
        </w:tc>
        <w:tc>
          <w:tcPr>
            <w:tcW w:w="16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our production consists primarily of oil, our revenues are more sensitive to fluctuations in oil prices than they are to fluctuations in natural gas liquids or natural gas prices. Oil, natural gas liquids and natural gas prices have historically been volatile. During 2016, West Texas Intermediate posted prices ranged from $26.19 to $54.01 per Bbl and the Henry Hub spot market price of natural gas ranged from $1.49 to $3.80 per MMBtu. During the first six months of 2017, West Texas Intermediate posted prices ranged from $42.48 to $54.48 per Bbl and the Henry Hub spot market price of natural gas ranged from $2.44 to $3.71 per MMBtu. On June 30, 2017, the West Texas Intermediate posted price for crude oil was $46.02 per Bbl and the Henry Hub spot market price of natural gas was $2.98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4"/>
          </w:tcPr>
          <w:p>
            <w:pPr>
              <w:ind w:left="660"/>
              <w:spacing w:after="0"/>
              <w:rPr>
                <w:sz w:val="20"/>
                <w:szCs w:val="20"/>
                <w:color w:val="auto"/>
              </w:rPr>
            </w:pPr>
            <w:r>
              <w:rPr>
                <w:rFonts w:ascii="Arial" w:cs="Arial" w:eastAsia="Arial" w:hAnsi="Arial"/>
                <w:sz w:val="18"/>
                <w:szCs w:val="18"/>
                <w:color w:val="auto"/>
                <w:w w:val="94"/>
              </w:rPr>
              <w:t>The following table sets forth selected historical operating data for the periods indicated.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2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Bbl, Mcf and BOE amounts)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Oil, natural gas liquids and natural gas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267,434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112,483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499,932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199,964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2,547</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269,434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504,664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199,964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operating expenses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55,615</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36,900</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Production and ad valorem taxes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15,879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31,604</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16,121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Gathering and transportation</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75,173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134,102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81,940</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Impairment of oil and natural gas properties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199,168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22,503</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137,126</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255,946</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362,353</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8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132,308</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248,718</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(162,389)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8,324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9,469</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8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33,320</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71,021</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8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33,399</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60,020</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165,707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308,738</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(192,380)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3,536</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164,128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305,202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(192,748)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5,723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10,524</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Diamondback Energy, Inc.</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158,405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294,678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7"/>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rPr>
              <w:t>(in thousands, except Bbl, Mcf and BOE amounts)</w:t>
            </w:r>
          </w:p>
        </w:tc>
        <w:tc>
          <w:tcPr>
            <w:tcW w:w="10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Oil (Bbls)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5,236,445</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2,419,589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9,394,528</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5,054,100</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(Mcf)</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4,938,843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2,566,510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8,621,915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4,883,159</w:t>
            </w: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Natural gas liquids (Bbls)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945,295</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505,235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1,718,290</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970,626</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(BOE)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7,004,881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3,352,576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12,549,804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6,838,586</w:t>
            </w: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76,977</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36,841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69,336</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37,575</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35.68</w:t>
            </w: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Natural gas (per Mcf)</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1.67</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11.84</w:t>
            </w: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Combined (per BOE)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38.18</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39.84</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29.24</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8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per Bbl)</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46.32</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47.68</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36.59</w:t>
            </w:r>
          </w:p>
        </w:tc>
      </w:tr>
      <w:tr>
        <w:trPr>
          <w:trHeight w:val="270"/>
        </w:trPr>
        <w:tc>
          <w:tcPr>
            <w:tcW w:w="5180" w:type="dxa"/>
            <w:vAlign w:val="bottom"/>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2.60</w:t>
            </w:r>
          </w:p>
        </w:tc>
      </w:tr>
      <w:tr>
        <w:trPr>
          <w:trHeight w:val="270"/>
        </w:trPr>
        <w:tc>
          <w:tcPr>
            <w:tcW w:w="518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per BOE)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38.85</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40.08</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29.91</w:t>
            </w:r>
          </w:p>
        </w:tc>
      </w:tr>
      <w:tr>
        <w:trPr>
          <w:trHeight w:val="230"/>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Lease operating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4.14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5.40</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Gathering and transportation expense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0.76</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 cash component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0.82</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0.99</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97"/>
        </w:trPr>
        <w:tc>
          <w:tcPr>
            <w:tcW w:w="51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 - cash</w:t>
            </w:r>
          </w:p>
        </w:tc>
        <w:tc>
          <w:tcPr>
            <w:tcW w:w="2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7.66</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8.39</w:t>
            </w: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9.71</w:t>
            </w:r>
          </w:p>
        </w:tc>
      </w:tr>
      <w:tr>
        <w:trPr>
          <w:trHeight w:val="217"/>
        </w:trPr>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11.98</w:t>
            </w: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2.93</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12.79</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13.37</w:t>
            </w: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17.01</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35.68</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Average NYMEX ($/Bbl)</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47.88</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49.66</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39.52</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Average realized oil price to NYMEX</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1.67</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NYMEX ($/Mcf)</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Differential to NYMEX</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3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(0.40)</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NYMEX</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11.84</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Average NYMEX oil price ($/Bbl)</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47.88</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49.66</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39.52</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NYMEX oil price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Oil, Natural Gas Liquids and Natural Gas Revenues. </w:t>
      </w:r>
      <w:r>
        <w:rPr>
          <w:rFonts w:ascii="Arial" w:cs="Arial" w:eastAsia="Arial" w:hAnsi="Arial"/>
          <w:sz w:val="18"/>
          <w:szCs w:val="18"/>
          <w:color w:val="auto"/>
        </w:rPr>
        <w:t>Our oil, natural gas liquids and natural gas revenues increased by approximately $155.0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138%, to $267.4 million for the three months ended June 30, 2017 from $112.5 million for the three months ended June 30, 2016. Our revenues are a function of oil, natural gas liquids and natural gas production volumes sold and average sales prices received for those volumes. Average daily production sold increased by 40,136 BOE/d to 76,977 BOE/d during the three months ended June 30, 2017 from 36,841 BOE/d during the three months ended June 30, 2016. The total increase in revenue of approximately $155.0 million is largely attributable to higher oil, natural gas liquids and natural gas production volumes and higher average sales prices for the three months ended June 30, 2017 as compared to the three months ended June 30, 2016. The increases in production volumes were due to a combination of increased drilling activity and growth through acquisitions. Our production increased by 2,816,856 Bbls of oil, 440,060 Bbls of natural gas liquids and 2,372,333 Mcf of natural gas for the three months ended June 30, 2017 as compared to the three months ended June 30, 2016.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$27.1 million (calculated as the change in period-to-period average prices multiplied by current period production volumes of oil, natural gas liquids and natural gas) and the net dollar effect of the increase in production of approximately $127.9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Change in prices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5,236,445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18,591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945,295</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4,938,843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4,791</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Change in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production</w:t>
            </w: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2,816,856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41.88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117,963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6,140</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2,372,333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3,798</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127,901</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revenue was $0.6 million for the three months ended June 30, 2017 attributable to lease bonus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extend the term of two leases, reflecting an average bonus of $6,000 per acre. We had no lease bonus revenue for the three months ended June 30, 2016.</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$1.4 million for the three months ended June 30, 2017. We had no midstream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revenue for the three months ended June 30, 2016.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$29.0 million ($4.14 per BOE) for the three months ended June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$18.7 million ($5.57 per BOE) for the three months ended June 30, 2016. The decrease in lease operating expense per BOE was a result of steady lease operating expenses offset by higher production volumes.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Production and ad valorem taxes were $15.9 million for the three months ended June 30, 2017,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$7.7 million, or 95%, from $8.2 million for the three months ended June 30, 2016.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June 30, 2017, our production and ad valorem taxes per BOE decreased by $0.16 as compared to the three months ended June 30, 2016, primarily due to a higher percentage increase in production volumes as compared to production and ad valorem tax expense.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$1.8 million for the three months ended June 30, 2017. We had no midstream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expense for the three months ended June 30, 2016. Midstream services expense represents costs incurred to operate and maintain our oil and natural gas gathering and transportation systems, natural gas lift, compression infrastructure and water transportation facilities.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$35.3 million, or 89%, to $75.2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 from $39.9 million for the three months ended June 30,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73,808</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39,472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996</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75,173</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39,871</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depreciation, depletion and amortization per BOE</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10.73</w:t>
            </w:r>
          </w:p>
        </w:tc>
        <w:tc>
          <w:tcPr>
            <w:tcW w:w="148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11.89</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$34.3 million for the three months ended June 30, 2017 as compared to the three months ended June 30, 2016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Impairment of Oil and Natural Gas Properties. </w:t>
      </w:r>
      <w:r>
        <w:rPr>
          <w:rFonts w:ascii="Arial" w:cs="Arial" w:eastAsia="Arial" w:hAnsi="Arial"/>
          <w:sz w:val="16"/>
          <w:szCs w:val="16"/>
          <w:color w:val="auto"/>
        </w:rPr>
        <w:t>During the three months ended June 30, 2016, we recorded an impairment of oil and natural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of $168.4 million as a result of the significant decline in commodity prices, which resulted in a reduction of the discounted present value of our proved oil and natural gas reserves. We did not record an impairment of oil and natural gas properties during the three months ended June 30, 2017.</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 increased $2.4 million from $9.5 million for the three months ended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2016 to $11.9 million for the three months ended June 30, 2017. The increase was primarily due to an increase in salaries and benefits of $3.3 million.</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Net interest expense for the three months ended June 30, 2017 was $8.2 million as compared to $10.0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2016, a decrease of $1.8 million. This decrease was primarily due to the issuance of new senior notes due 2024 at a lower interest rate than the previous senior notes which were redeemed in the fourth quarter of 2016. In addition to the lower interest rate on the senior notes due 2024, additional senior notes due 2025 were issued in the fourth quarter 2016 for which all of the interest for the three months ended June 30, 2017 was capitalized.</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June 30, 2017, we had a cash gain on settlement of derivative instruments of $4.7 million as compared to a cash loss on settlement of derivative instruments of $0.5 million for the three months ended June 30, 2016. For the three months ended June 30, 2017, we had a positive change in the fair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value of open derivative instruments of $28.6 million as compared to a negative change of $11.6 million during the three months ended June 30, 2016.</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$1.6 million and $0.4 million the three months ended June 30, 2017 and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$300.0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150%, to $499.9 million for the six months ended June 30, 2017 from $200.0 million for the six months ended June 30, 2016. Our revenues are a function of oil, natural gas liquids and natural gas production volumes sold and average sales prices received for those volumes. Average daily production sold increased by 31,761 BOE/d to 69,336 BOE/d during the six months ended June 30, 2017 from 37,575 BOE/d during the six months ended June 30, 2016. The total increase in revenue of approximately $300.0 million is largely attributable to higher oil, natural gas liquids and natural gas production volumes and higher average sales prices for the six months ended June 30, 2017 as compared to the six months ended June 30, 2016. The increases in production volumes were due to a combination of increased drilling activity and growth through acquisitions. Our production increased by 4,340,428 Bbls of oil, 747,664 Bbls of natural gas liquids and 3,738,756 Mcf of natural gas for the six months ended June 30, 2017 as compared to the six months ended June 30, 2016.</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$130.0 million (calculated as the change in period-to-period average prices multiplied by current period production volumes of oil, natural gas liquids and natural gas) and the net dollar effect of the increase in production of approximately $170.0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Change in prices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9,394,528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109,770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1,718,290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12,011</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8,621,915</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129,972</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Change in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production</w:t>
            </w: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4,340,428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35.68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154,922</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747,664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8,849</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3,738,756</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6,225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169,996</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revenue was $2.2 million for the six months ended June 30, 2017 attributable to lease bonus payments to extend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 of three leases, reflecting an average bonus of $2,963 per acre. We had no lease bonus revenue for the six months ended June 30, 2016.</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$2.5 million for the six months ended June 30, 2017. We had no midstream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the six months ended June 30, 2016.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$55.6 million ($4.43 per BOE) for the six months ended June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$36.9 million ($5.40 per BOE) for the six months ended June 30, 2016.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decrease in lease operating expense per BOE was a result of steady lease operating expenses offset by higher production volumes.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$31.6 million for the six months ended June 30, 2017,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$15.5 million, or 96%, from $16.1 million for the six months ended June 30, 2016. In general, production taxes and ad valorem taxes are directly related to commodity price changes; however, Texas ad valorem taxes are based upon prior year commodity prices, among other factors, whereas production taxes are based upon current year commodity prices. During the six months ended June 30, 2017, our production and ad valorem taxes per BOE increased by $0.16 as compared to the six months ended June 30, 2016, primarily due to increased commodity prices and production volumes.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$2.7 million for the six months ended June 30, 2017. We had no midstream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for the six months ended June 30, 2016. Midstream services expense represents costs incurred to operate and maintain our oil and natural gas gathering and transportation systems, natural gas lift, compression infrastructure and water transportation facilities.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$52.2 million, or 64%, to $134.1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2017 from $81.9 million for the six months ended June 30,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131,947</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81,135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1,431</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134,102</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81,940</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depreciation, depletion and amortization per BOE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10.69</w:t>
            </w:r>
          </w:p>
        </w:tc>
        <w:tc>
          <w:tcPr>
            <w:tcW w:w="148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11.98</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$50.8 million for the six months ended June 30, 2017 as compared to the six months ended June 30, 2016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Impairment of Oil and Gas Natural Properties. </w:t>
      </w:r>
      <w:r>
        <w:rPr>
          <w:rFonts w:ascii="Arial" w:cs="Arial" w:eastAsia="Arial" w:hAnsi="Arial"/>
          <w:sz w:val="16"/>
          <w:szCs w:val="16"/>
          <w:color w:val="auto"/>
        </w:rPr>
        <w:t>During the six months ended June 30, 2016, we recorded an impairment of oil and natural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of $199.2 million as a result of the significant decline in commodity prices, which resulted in a reduction of the discounted present value of our proved oil and natural gas reserves. We did not record an impairment of oil and natural gas properties during the six months ended June 30, 2017.</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General and administrative expense increased $3.1 million from $22.5 million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2016 to $25.6 million for the six months ended June 30, 2017. The increase was primarily due to an increase in salaries and benefits of $4.7 million partially offset by a decrease in non-cash equity compensation of $1.1 million.</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Net Interest Expense. </w:t>
      </w:r>
      <w:r>
        <w:rPr>
          <w:rFonts w:ascii="Arial" w:cs="Arial" w:eastAsia="Arial" w:hAnsi="Arial"/>
          <w:sz w:val="17"/>
          <w:szCs w:val="17"/>
          <w:color w:val="auto"/>
        </w:rPr>
        <w:t>Net interest expense for the six months ended June 30, 2017 was $20.5 million as compared to $20.0 million for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2016, an increase of $0.4 million. This increase was primarily due to interest on our senior notes issued in December 2016.</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six months ended June 30, 2017 and 2016, we had a cash gain on settlement of derivative instruments of $3.0 million and $4.6 million, respectively. For the six months ended June 30, 2017, we had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a positive change in the fair value of open derivative instruments of $68.0 million as compared to a negative change of $15.3 million for the six months ended June 30, 2016.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$3.5 million and $0.4 million for the six months ended June 30,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sources of liquidity have been proceeds from our public equity offerings, borrowings under our revolving credit facility, proceeds from the issuance of the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Our cash flows for the six months ended June 30, 2017 and 2016 are presented below:</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394,431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121,781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(2,221,476)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(180,376)</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177,059</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257,274</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(1,649,986)</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198,679</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$394.4 million for the six months ended June 30, 2017 as compared to $121.8 million for the six months ended June 30, 2016. The increase in operating cash flows is primarily the result of an increase in our oil and natural gas revenues due to an increase in average prices and production growth during the six months ended June 30, 2017.</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$2,221.5 million and $180.4 million during the six months ended June 30, 2017 and 2016, respectively.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2017, we spent (a) $296.2 million on capital expenditures in conjunction with our development program, in which we drilled 64 gross (55 net) horizontal wells, completed 61 gross (52 net) horizontal wells and participated in the drilling of 11 gross (two net) non-operated wells in the Permian Basin, (b) $1,861.0 million on leasehold acquisitions, (c) $50.3 million for midstream assets and (d) $13.8 million for the purchase of other property and equipment.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2016, we spent $149.7 million on capital expenditures in conjunction with our drilling program and related infrastructure projects, in which we drilled 31 gross (25 net) horizontal wells, completed 19 gross (17 net) horizontal wells and participated in the drilling of eight gross (two net) non-operated wells in the Permian Basin. We spent an additional $17.5 million on leasehold acquisitions, $11.3 million on royalty interest acquisitions and $1.2 million for the purchase of other property and equipment.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Our investing activities for the six months ended June 30, 2017 and 2016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(296,211)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(149,661)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leasehold interests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(1,860,980)</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(17,533)</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mineral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(122,679)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midstream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(50,279)</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other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(2,221,476)</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(180,376)</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2017 and 2016 was $177.1 million and $257.3 million, respectively. During the six months ended June 30, 2017, the amount provided by financing activities was primarily attributable to proceeds from Viper’s January 2017 equity offering of $147.7 million partially offset by repayments of net borrowings of $45.0 million. The 2016 amount provided by financing activities was primarily attributable to the proceeds from our January 2016 equity offering of $254.5 million partially offset by repayments of net borrowings of $6.0 million under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486"/>
        <w:spacing w:after="0" w:line="297" w:lineRule="auto"/>
        <w:rPr>
          <w:sz w:val="20"/>
          <w:szCs w:val="20"/>
          <w:color w:val="auto"/>
        </w:rPr>
      </w:pPr>
      <w:r>
        <w:rPr>
          <w:rFonts w:ascii="Arial" w:cs="Arial" w:eastAsia="Arial" w:hAnsi="Arial"/>
          <w:sz w:val="16"/>
          <w:szCs w:val="16"/>
          <w:color w:val="auto"/>
        </w:rPr>
        <w:t>On December 20, 2016, we issued $500.0 million in aggregate principal amount of 5.375% senior notes due 2025, which we refer to as the 2025 senior notes. The 2025 senior notes bear interest at a rate of 5.375% per annum, payable semi-annually, in arrears on May 31 and November 30 of each year, commencing on May 31, 2017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5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2025 senior notes were issued under an indenture, dated as of December 20, 2016, among us, the guarantors party thereto and Wells Fargo, as the trustee. 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under the terms of the registration rights agreements relating to the 2024 senior notes and the 2025 senior notes, we filed with the SEC our Registration Statement on Form S-4, as amended, relating to the exchange offers of the 2024 senior notes and the 2025 senior notes for substantially identical notes registered under the Securities Act. The Registration Statement was declared effective by the SEC on June 21, 2017 and we closed these exchange offers on July 27, 2017, in which all privately placed 2024 senior notes and 2025 senior notes were exchanged for substantially identical notes registered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second amended and restated credit agreement, dated November 1, 2013, as amended, with a syndicate of banks, including Wells Fargo, as administrative agent, sole book runner and lead arranger, provides for a revolving credit facility in the maximum amount of $2.0 billion. As of June 30, 2017, the borrowing base was set at $1.5 billion, although we had elected a commitment amount of $750.0 million. As of June 30, 2017, we had $84.0 million in outstanding borrowings and $666.0 million available for future borrowings under this facility.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us that is equal to an alternative base rate (which is equal to the greatest of the prime rate, the Federal Funds effective rate plus 0.50%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We are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51" w:name="page52"/>
    <w:bookmarkEnd w:id="51"/>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 As of June 30, 2017, we had $1.0 billion in aggregate principal amount of senior notes outstanding.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2017,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Viper is a party to a $500.0 million secured revolving credit agreement, dated as of July 8, 2014, as amended, with Wells Fargo as the administrative agent, sole book runner and lead arranger, and certain other lenders party thereto. The credit agreement matures on July 8, 2019. The borrowing base is scheduled to be re-determined semi-annually with effective dates of April 1st and October 1st. In addition, the Partnership may request up to three additional redeterminations of the borrowing base during any 12-month period. As of June 30, 2017, the borrowing base was set at $315.0 million and Viper had $81.5 million in outstanding borrowings under its credit agreement. As of July 14, 2017, Viper had $152.8 million outstanding under its revolving credit facility, all of which was repaid with a portion of the net proceeds from Viper’s July 2017 public offering of common units. Following Viper’s July 2017 public offering and the application of the net proceeds thereof, Viper had $315.0 million available for future borrowings under its revolving credit facility.</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outstanding borrowings under Viper’s credit agreement bear interest at a rate elected by Viper that is equal to an alternative base rate (which is equal to the greatest of the prime rate, the Federal Funds effective rate plus 0.5%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Viper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Viper and its subsidiaries.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covenant prohibiting additional indebtedness allows for the issuance of unsecured debt of up to $250.0 million in the form of senior unsecured notes and, in connection with any such issuance, the reduction of the borrowing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2" w:name="page53"/>
    <w:bookmarkEnd w:id="52"/>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 by 25% of the stated principal amount of each such issuance. A borrowing base reduction in connection with such issuance may require a portion of the outstanding principal of the loan to be repaid.</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Viper’s revolving credit facility upon the occurrence and during the continuance of any event of default. Viper’s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approved a 2017 capital budget for drilling and infrastructure of approximately $800.0 million to $950.0 million, representing an increase of 126% over our 2016 capital budget. We estimate that, of these expenditures, approximately:</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$650.0 million to $825.0 million will be spent on drilling and completing 130 to 165 gross (110 to 140 net) operated horizontal wells focused in the Midland and Delaware Basins and participating in non-operated activity;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$150.0 million to $175.0 million will be spent on infrastructure and other expenditures, excluding the cost of any leasehold and mineral interest acquisitions;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 million in midstream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June 30, 2017, our aggregate capital expenditures for our development program were $296.2 million. We do not have a specific acquisition budget since the timing and size of acquisitions cannot be accurately forecasted. During the six months ended June 30, 2017, we spent approximately $1.9 billion in cash on acquisitions of leasehold interests.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nine rigs and three completion crews.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 and production expectations for 2017, we believe that our cash flow from operations, cash on hand and borrowings under our revolving credit facility will be sufficient to fund our operations through year-end 2017. However, future cash flows are subject to a number of variables, including the level of oil and natural gas production and prices, and significant additional capital expenditures will be required to more fully develop our properties. Further, our 2017 capital expenditure budget does not allocate any funds for leasehold interest and property acquisitions.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further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discussed in Note 15 of the Notes to the Consolidated Financial Statements of this report, there were no material changes to our contractual obligations and other commitments, as disclosed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June 30, 2017. Please read Note 15 included in Notes to the Combined Consolidated Financial Statements set forth in Part I, Item 1 of this report,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w:t>
      </w:r>
    </w:p>
    <w:p>
      <w:pPr>
        <w:sectPr>
          <w:pgSz w:w="11900" w:h="16867" w:orient="portrait"/>
          <w:cols w:equalWidth="0" w:num="1">
            <w:col w:w="11420"/>
          </w:cols>
          <w:pgMar w:left="240" w:top="584" w:right="239" w:bottom="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and with natural gas derivative settlements based on NYMEX Henry Hub pricing.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June 30, 2017, we had a net asset derivative position of $46.1 million as compared to a net liability derivative position of $22.6 million at December 31, 2016 related to our price swap derivatives. Utilizing actual derivative contractual volumes under our fixed price swaps as of June 30, 2017, a 10% increase in forward curves associated with the underlying commodity would have decreased the net asset position to $21.7 million, a decrease of $24.4 million, while a 10% decrease in forward curves associated with the underlying commodity would have increased the net asset derivative position to $70.5 million, an increase of $24.4 million. However, any cash derivative gain or loss would be substantially offset by a decrease or increase, respectively, in the actual sales value of production covered by the derivative instrument.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$71.7 million at June 30, 2017) and receivables from the sale of our oil and natural gas production (approximately $83.0 million at June 30, 2017).</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six months ended June 30, 2017, three purchasers each accounted for more than 10% of our revenue: Shell Trading (US) Company (37%); Koch Supply &amp; Trading LP (17%); and Enterprise Crude Oil LLC (11%). For the six months ended June 30, 2016, three purchasers each accounted for more than 10% of our revenue: Shell Trading (US) Company (52%); Enterprise Crude Oil LLC (13%); and Koch Supply &amp; Trading LP (11%). No other customer accounted for more than 10% of our revenue during these periods.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4" w:name="page55"/>
    <w:bookmarkEnd w:id="54"/>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June 30, 2017, we had two customers that represented approximately 62% of our total joint operations receivables. At December 31, 2016, we had three customers that represented approximately 75%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we had $84.0 million in outstanding borrowings under our revolving credit facility. Our weighted average interest rate on borrowings under our revolving credit facility was 2.63%. An increase or decrease of 1% in the interest rate would have a corresponding decrease or increase in our interest expense of approximately $0.8 million based on an aggregate of $84.0 million outstanding under our revolving credit facility as of June 30, 2017.</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2017, our disclosure controls and procedures are effective.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June 30, 2017 that have materially affected, or are reasonably likely to materially affect, internal controls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information set forth in this report, you should carefully consider the risk factors discussed in Part I, Item 1A. Risk Factors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2016. There have been no material changes in our risk factors from those described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234"/>
        </w:trPr>
        <w:tc>
          <w:tcPr>
            <w:tcW w:w="840" w:type="dxa"/>
            <w:vAlign w:val="bottom"/>
          </w:tcPr>
          <w:p>
            <w:pPr>
              <w:spacing w:after="0"/>
              <w:rPr>
                <w:sz w:val="20"/>
                <w:szCs w:val="20"/>
                <w:color w:val="auto"/>
              </w:rPr>
            </w:pPr>
          </w:p>
        </w:tc>
        <w:tc>
          <w:tcPr>
            <w:tcW w:w="1058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24"/>
                <w:szCs w:val="24"/>
                <w:color w:val="auto"/>
              </w:rPr>
            </w:pPr>
          </w:p>
        </w:tc>
      </w:tr>
      <w:tr>
        <w:trPr>
          <w:trHeight w:val="234"/>
        </w:trPr>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580" w:type="dxa"/>
            <w:vAlign w:val="bottom"/>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840" w:type="dxa"/>
            <w:vAlign w:val="bottom"/>
            <w:tcBorders>
              <w:bottom w:val="single" w:sz="8" w:color="auto"/>
            </w:tcBorders>
          </w:tcPr>
          <w:p>
            <w:pPr>
              <w:spacing w:after="0"/>
              <w:rPr>
                <w:sz w:val="18"/>
                <w:szCs w:val="18"/>
                <w:color w:val="auto"/>
              </w:rPr>
            </w:pPr>
          </w:p>
        </w:tc>
        <w:tc>
          <w:tcPr>
            <w:tcW w:w="10580" w:type="dxa"/>
            <w:vAlign w:val="bottom"/>
            <w:tcBorders>
              <w:bottom w:val="single" w:sz="8" w:color="auto"/>
            </w:tcBorders>
          </w:tcPr>
          <w:p>
            <w:pPr>
              <w:spacing w:after="0"/>
              <w:rPr>
                <w:sz w:val="18"/>
                <w:szCs w:val="18"/>
                <w:color w:val="auto"/>
              </w:rPr>
            </w:pPr>
          </w:p>
        </w:tc>
      </w:tr>
      <w:tr>
        <w:trPr>
          <w:trHeight w:val="222"/>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Amended and Restated Certificate of Incorporation of the Company (incorporated by reference to Exhibit 3.1 to the Form 10-Q, File No.</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001-35700, filed by the Company with the SEC on November 16, 2012).</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3.2</w:t>
            </w:r>
          </w:p>
        </w:tc>
        <w:tc>
          <w:tcPr>
            <w:tcW w:w="10580" w:type="dxa"/>
            <w:vAlign w:val="bottom"/>
          </w:tcPr>
          <w:p>
            <w:pPr>
              <w:ind w:left="480"/>
              <w:spacing w:after="0"/>
              <w:rPr>
                <w:sz w:val="20"/>
                <w:szCs w:val="20"/>
                <w:color w:val="auto"/>
              </w:rPr>
            </w:pPr>
            <w:r>
              <w:rPr>
                <w:rFonts w:ascii="Arial" w:cs="Arial" w:eastAsia="Arial" w:hAnsi="Arial"/>
                <w:sz w:val="18"/>
                <w:szCs w:val="18"/>
                <w:color w:val="auto"/>
                <w:w w:val="93"/>
              </w:rPr>
              <w:t>Amended and Restated Bylaws of the Company (incorporated by reference to Exhibit 3.2 to the Form 10-Q, File No. 001-35700, filed by</w:t>
            </w:r>
          </w:p>
        </w:tc>
      </w:tr>
      <w:tr>
        <w:trPr>
          <w:trHeight w:val="230"/>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the Company with the SEC on November 16, 2012).</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Specimen certificate for shares of common stock, par value $0.01 per share, of the Company (incorporated by reference to Exhibit 4.1 to</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Amendment No. 4 to the Registration Statement on Form S-1, File No. 333-179502, filed by the Company with the SEC on August 20,</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2012).</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4.2</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Registration Rights Agreement, dated as of October 11, 2012, by and between the Company and DB Energy Holdings LLC (incorporated</w:t>
            </w:r>
          </w:p>
        </w:tc>
      </w:tr>
      <w:tr>
        <w:trPr>
          <w:trHeight w:val="230"/>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by reference to Exhibit 4.2 to the Form 10-Q, File No. 001-35700, filed by the Company with the SEC on November 16, 2012).</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4.3</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Investor Rights Agreement, dated as of October 11, 2012, by and between the Company and Gulfport Energy Corporation (incorporated by</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reference to Exhibit 4.3 to the Form 10-Q, File No. 001-35700, filed by the Company with the SEC on November 16, 2012).</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4.4</w:t>
            </w:r>
          </w:p>
        </w:tc>
        <w:tc>
          <w:tcPr>
            <w:tcW w:w="10580" w:type="dxa"/>
            <w:vAlign w:val="bottom"/>
          </w:tcPr>
          <w:p>
            <w:pPr>
              <w:ind w:left="460"/>
              <w:spacing w:after="0"/>
              <w:rPr>
                <w:sz w:val="20"/>
                <w:szCs w:val="20"/>
                <w:color w:val="auto"/>
              </w:rPr>
            </w:pPr>
            <w:r>
              <w:rPr>
                <w:rFonts w:ascii="Arial" w:cs="Arial" w:eastAsia="Arial" w:hAnsi="Arial"/>
                <w:sz w:val="18"/>
                <w:szCs w:val="18"/>
                <w:color w:val="auto"/>
                <w:w w:val="92"/>
              </w:rPr>
              <w:t>Indenture, dated as of October 28, 2016, among Diamondback Energy, Inc., the guarantors party thereto and Wells Fargo Bank, National</w:t>
            </w:r>
          </w:p>
        </w:tc>
      </w:tr>
      <w:tr>
        <w:trPr>
          <w:trHeight w:val="216"/>
        </w:trPr>
        <w:tc>
          <w:tcPr>
            <w:tcW w:w="840" w:type="dxa"/>
            <w:vAlign w:val="bottom"/>
          </w:tcPr>
          <w:p>
            <w:pPr>
              <w:spacing w:after="0"/>
              <w:rPr>
                <w:sz w:val="18"/>
                <w:szCs w:val="18"/>
                <w:color w:val="auto"/>
              </w:rPr>
            </w:pPr>
          </w:p>
        </w:tc>
        <w:tc>
          <w:tcPr>
            <w:tcW w:w="10580" w:type="dxa"/>
            <w:vAlign w:val="bottom"/>
          </w:tcPr>
          <w:p>
            <w:pPr>
              <w:ind w:left="460"/>
              <w:spacing w:after="0"/>
              <w:rPr>
                <w:sz w:val="20"/>
                <w:szCs w:val="20"/>
                <w:color w:val="auto"/>
              </w:rPr>
            </w:pPr>
            <w:r>
              <w:rPr>
                <w:rFonts w:ascii="Arial" w:cs="Arial" w:eastAsia="Arial" w:hAnsi="Arial"/>
                <w:sz w:val="18"/>
                <w:szCs w:val="18"/>
                <w:color w:val="auto"/>
                <w:w w:val="93"/>
              </w:rPr>
              <w:t>Association, as trustee (including the form of Diamondback Energy, Inc.’s 4.750 % Senior Notes due 2024) (incorporated by reference to</w:t>
            </w:r>
          </w:p>
        </w:tc>
      </w:tr>
      <w:tr>
        <w:trPr>
          <w:trHeight w:val="230"/>
        </w:trPr>
        <w:tc>
          <w:tcPr>
            <w:tcW w:w="840" w:type="dxa"/>
            <w:vAlign w:val="bottom"/>
          </w:tcPr>
          <w:p>
            <w:pPr>
              <w:spacing w:after="0"/>
              <w:rPr>
                <w:sz w:val="20"/>
                <w:szCs w:val="20"/>
                <w:color w:val="auto"/>
              </w:rPr>
            </w:pPr>
          </w:p>
        </w:tc>
        <w:tc>
          <w:tcPr>
            <w:tcW w:w="10580" w:type="dxa"/>
            <w:vAlign w:val="bottom"/>
          </w:tcPr>
          <w:p>
            <w:pPr>
              <w:ind w:left="460"/>
              <w:spacing w:after="0"/>
              <w:rPr>
                <w:sz w:val="20"/>
                <w:szCs w:val="20"/>
                <w:color w:val="auto"/>
              </w:rPr>
            </w:pPr>
            <w:r>
              <w:rPr>
                <w:rFonts w:ascii="Arial" w:cs="Arial" w:eastAsia="Arial" w:hAnsi="Arial"/>
                <w:sz w:val="18"/>
                <w:szCs w:val="18"/>
                <w:color w:val="auto"/>
              </w:rPr>
              <w:t>Exhibit 4.1 to the Form 8-K , File No. 001-35700, filed by the Company with the SEC on November 2, 2016).</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4.5</w:t>
            </w:r>
          </w:p>
        </w:tc>
        <w:tc>
          <w:tcPr>
            <w:tcW w:w="105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Registration Rights Agreement, dated as of October 28, 2016, among Diamondback Energy, Inc., the guarantors party thereto and J.P.</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Morgan Securities LLC (incorporated by reference to Exhibit 4.2 to the Form 8-K , File No. 001-35700, filed by the Company with the</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SEC on November 2, 2016).</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4.6</w:t>
            </w:r>
          </w:p>
        </w:tc>
        <w:tc>
          <w:tcPr>
            <w:tcW w:w="10580" w:type="dxa"/>
            <w:vAlign w:val="bottom"/>
          </w:tcPr>
          <w:p>
            <w:pPr>
              <w:ind w:left="460"/>
              <w:spacing w:after="0"/>
              <w:rPr>
                <w:sz w:val="20"/>
                <w:szCs w:val="20"/>
                <w:color w:val="auto"/>
              </w:rPr>
            </w:pPr>
            <w:r>
              <w:rPr>
                <w:rFonts w:ascii="Arial" w:cs="Arial" w:eastAsia="Arial" w:hAnsi="Arial"/>
                <w:sz w:val="18"/>
                <w:szCs w:val="18"/>
                <w:color w:val="auto"/>
                <w:w w:val="95"/>
              </w:rPr>
              <w:t>Registration Rights Agreement, dated as of February 28, 2017, by and among Diamondback Energy, Inc., Brigham Resources, LLC,</w:t>
            </w:r>
          </w:p>
        </w:tc>
      </w:tr>
      <w:tr>
        <w:trPr>
          <w:trHeight w:val="216"/>
        </w:trPr>
        <w:tc>
          <w:tcPr>
            <w:tcW w:w="840" w:type="dxa"/>
            <w:vAlign w:val="bottom"/>
          </w:tcPr>
          <w:p>
            <w:pPr>
              <w:spacing w:after="0"/>
              <w:rPr>
                <w:sz w:val="18"/>
                <w:szCs w:val="18"/>
                <w:color w:val="auto"/>
              </w:rPr>
            </w:pPr>
          </w:p>
        </w:tc>
        <w:tc>
          <w:tcPr>
            <w:tcW w:w="10580" w:type="dxa"/>
            <w:vAlign w:val="bottom"/>
          </w:tcPr>
          <w:p>
            <w:pPr>
              <w:ind w:left="460"/>
              <w:spacing w:after="0"/>
              <w:rPr>
                <w:sz w:val="20"/>
                <w:szCs w:val="20"/>
                <w:color w:val="auto"/>
              </w:rPr>
            </w:pPr>
            <w:r>
              <w:rPr>
                <w:rFonts w:ascii="Arial" w:cs="Arial" w:eastAsia="Arial" w:hAnsi="Arial"/>
                <w:sz w:val="18"/>
                <w:szCs w:val="18"/>
                <w:color w:val="auto"/>
                <w:w w:val="92"/>
              </w:rPr>
              <w:t>Brigham Resources Operating, LLC and Brigham Resources Upstream Holdings, LP (incorporated by reference to Exhibit 4.1 to the Form</w:t>
            </w:r>
          </w:p>
        </w:tc>
      </w:tr>
      <w:tr>
        <w:trPr>
          <w:trHeight w:val="230"/>
        </w:trPr>
        <w:tc>
          <w:tcPr>
            <w:tcW w:w="840" w:type="dxa"/>
            <w:vAlign w:val="bottom"/>
          </w:tcPr>
          <w:p>
            <w:pPr>
              <w:spacing w:after="0"/>
              <w:rPr>
                <w:sz w:val="20"/>
                <w:szCs w:val="20"/>
                <w:color w:val="auto"/>
              </w:rPr>
            </w:pPr>
          </w:p>
        </w:tc>
        <w:tc>
          <w:tcPr>
            <w:tcW w:w="10580" w:type="dxa"/>
            <w:vAlign w:val="bottom"/>
          </w:tcPr>
          <w:p>
            <w:pPr>
              <w:ind w:left="460"/>
              <w:spacing w:after="0"/>
              <w:rPr>
                <w:sz w:val="20"/>
                <w:szCs w:val="20"/>
                <w:color w:val="auto"/>
              </w:rPr>
            </w:pPr>
            <w:r>
              <w:rPr>
                <w:rFonts w:ascii="Arial" w:cs="Arial" w:eastAsia="Arial" w:hAnsi="Arial"/>
                <w:sz w:val="18"/>
                <w:szCs w:val="18"/>
                <w:color w:val="auto"/>
              </w:rPr>
              <w:t>8-K, File No. 001-35700, filed by the Company with the SEC on March 6, 2017).</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31.1*</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Certification of Chief Executive Officer of the Registrant pursuant to Rule 13a-14(a) promulgated under the Securities Exchange Act of</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1934, as amended.</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31.2*</w:t>
            </w:r>
          </w:p>
        </w:tc>
        <w:tc>
          <w:tcPr>
            <w:tcW w:w="10580" w:type="dxa"/>
            <w:vAlign w:val="bottom"/>
          </w:tcPr>
          <w:p>
            <w:pPr>
              <w:ind w:left="480"/>
              <w:spacing w:after="0"/>
              <w:rPr>
                <w:sz w:val="20"/>
                <w:szCs w:val="20"/>
                <w:color w:val="auto"/>
              </w:rPr>
            </w:pPr>
            <w:r>
              <w:rPr>
                <w:rFonts w:ascii="Arial" w:cs="Arial" w:eastAsia="Arial" w:hAnsi="Arial"/>
                <w:sz w:val="18"/>
                <w:szCs w:val="18"/>
                <w:color w:val="auto"/>
                <w:w w:val="95"/>
              </w:rPr>
              <w:t>Certification of Chief Financial Officer of the Registrant pursuant to Rule 13a-14(a) promulgated under the Securities Exchange Act of</w:t>
            </w:r>
          </w:p>
        </w:tc>
      </w:tr>
      <w:tr>
        <w:trPr>
          <w:trHeight w:val="230"/>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1934, as amended.</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Certification of Chief Executive Officer of the Registrant pursuant to Rule 13a-14(b) promulgated under the Securities Exchange Act of</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1934, as amended, and Section 1350 of Chapter 63 of Title 18 of the United States Code.</w:t>
            </w: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32.2**</w:t>
            </w:r>
          </w:p>
        </w:tc>
        <w:tc>
          <w:tcPr>
            <w:tcW w:w="10580" w:type="dxa"/>
            <w:vAlign w:val="bottom"/>
          </w:tcPr>
          <w:p>
            <w:pPr>
              <w:ind w:left="480"/>
              <w:spacing w:after="0"/>
              <w:rPr>
                <w:sz w:val="20"/>
                <w:szCs w:val="20"/>
                <w:color w:val="auto"/>
              </w:rPr>
            </w:pPr>
            <w:r>
              <w:rPr>
                <w:rFonts w:ascii="Arial" w:cs="Arial" w:eastAsia="Arial" w:hAnsi="Arial"/>
                <w:sz w:val="18"/>
                <w:szCs w:val="18"/>
                <w:color w:val="auto"/>
                <w:w w:val="95"/>
              </w:rPr>
              <w:t>Certification of Chief Financial Officer of the Registrant pursuant to Rule 13a-14(b) promulgated under the Securities Exchange Act of</w:t>
            </w:r>
          </w:p>
        </w:tc>
      </w:tr>
      <w:tr>
        <w:trPr>
          <w:trHeight w:val="230"/>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1934, as amended, and Section 1350 of Chapter 63 of Title 18 of the United States Code.</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4"/>
              </w:rPr>
              <w:t>101.SCH*</w:t>
            </w:r>
          </w:p>
        </w:tc>
        <w:tc>
          <w:tcPr>
            <w:tcW w:w="10580" w:type="dxa"/>
            <w:vAlign w:val="bottom"/>
          </w:tcPr>
          <w:p>
            <w:pPr>
              <w:ind w:left="4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101.CAL*</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7"/>
              </w:rPr>
              <w:t>101.DEF*</w:t>
            </w:r>
          </w:p>
        </w:tc>
        <w:tc>
          <w:tcPr>
            <w:tcW w:w="10580" w:type="dxa"/>
            <w:vAlign w:val="bottom"/>
          </w:tcPr>
          <w:p>
            <w:pPr>
              <w:ind w:left="4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4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101.LAB*</w:t>
            </w:r>
          </w:p>
        </w:tc>
        <w:tc>
          <w:tcPr>
            <w:tcW w:w="10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6"/>
              </w:rPr>
              <w:t>101.PRE*</w:t>
            </w:r>
          </w:p>
        </w:tc>
        <w:tc>
          <w:tcPr>
            <w:tcW w:w="10580" w:type="dxa"/>
            <w:vAlign w:val="bottom"/>
          </w:tcPr>
          <w:p>
            <w:pPr>
              <w:ind w:left="4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85" w:lineRule="exact"/>
        <w:rPr>
          <w:sz w:val="20"/>
          <w:szCs w:val="20"/>
          <w:color w:val="auto"/>
        </w:rPr>
      </w:pPr>
    </w:p>
    <w:p>
      <w:pPr>
        <w:ind w:left="640" w:hanging="57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640" w:right="40" w:hanging="578"/>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420"/>
          </w:cols>
          <w:pgMar w:left="240" w:top="580" w:right="239" w:bottom="663"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0" w:right="239" w:bottom="663"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DIAMONDBACK ENERGY,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August 2, 2017</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August 2, 2017</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Teresa L. Dick</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jc w:val="right"/>
              <w:ind w:right="510"/>
              <w:spacing w:after="0"/>
              <w:rPr>
                <w:sz w:val="20"/>
                <w:szCs w:val="20"/>
                <w:color w:val="auto"/>
              </w:rPr>
            </w:pPr>
            <w:r>
              <w:rPr>
                <w:rFonts w:ascii="Arial" w:cs="Arial" w:eastAsia="Arial" w:hAnsi="Arial"/>
                <w:sz w:val="18"/>
                <w:szCs w:val="18"/>
                <w:color w:val="auto"/>
              </w:rPr>
              <w:t>51</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2,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2,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2,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2019-12-29T05:00:53Z</dcterms:created>
  <dcterms:modified xsi:type="dcterms:W3CDTF">2019-12-29T05:00:53Z</dcterms:modified>
</cp:coreProperties>
</file>