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220980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w:t>
      </w:r>
    </w:p>
    <w:p>
      <w:pPr>
        <w:spacing w:after="0" w:line="1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45"/>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001-35700</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-302895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right"/>
              <w:ind w:right="200"/>
              <w:spacing w:after="0"/>
              <w:rPr>
                <w:sz w:val="20"/>
                <w:szCs w:val="20"/>
                <w:color w:val="auto"/>
              </w:rPr>
            </w:pPr>
            <w:r>
              <w:rPr>
                <w:rFonts w:ascii="Arial" w:cs="Arial" w:eastAsia="Arial" w:hAnsi="Arial"/>
                <w:sz w:val="18"/>
                <w:szCs w:val="18"/>
                <w:b w:val="1"/>
                <w:bCs w:val="1"/>
                <w:color w:val="auto"/>
              </w:rPr>
              <w:t>45-4502447</w:t>
            </w:r>
          </w:p>
        </w:tc>
      </w:tr>
      <w:tr>
        <w:trPr>
          <w:trHeight w:val="180"/>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5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Incorporation or Organization)</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Identification Number)</w:t>
            </w:r>
          </w:p>
        </w:tc>
      </w:tr>
      <w:tr>
        <w:trPr>
          <w:trHeight w:val="507"/>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500 West Texas, Suite 1200</w:t>
            </w:r>
          </w:p>
        </w:tc>
        <w:tc>
          <w:tcPr>
            <w:tcW w:w="4960" w:type="dxa"/>
            <w:vAlign w:val="bottom"/>
          </w:tcPr>
          <w:p>
            <w:pPr>
              <w:spacing w:after="0"/>
              <w:rPr>
                <w:sz w:val="24"/>
                <w:szCs w:val="24"/>
                <w:color w:val="auto"/>
              </w:rPr>
            </w:pPr>
          </w:p>
        </w:tc>
      </w:t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Midland, Texas</w:t>
            </w:r>
          </w:p>
        </w:tc>
        <w:tc>
          <w:tcPr>
            <w:tcW w:w="4960" w:type="dxa"/>
            <w:vAlign w:val="bottom"/>
          </w:tcPr>
          <w:p>
            <w:pPr>
              <w:jc w:val="right"/>
              <w:ind w:right="400"/>
              <w:spacing w:after="0"/>
              <w:rPr>
                <w:sz w:val="20"/>
                <w:szCs w:val="20"/>
                <w:color w:val="auto"/>
              </w:rPr>
            </w:pPr>
            <w:r>
              <w:rPr>
                <w:rFonts w:ascii="Arial" w:cs="Arial" w:eastAsia="Arial" w:hAnsi="Arial"/>
                <w:sz w:val="18"/>
                <w:szCs w:val="18"/>
                <w:b w:val="1"/>
                <w:bCs w:val="1"/>
                <w:color w:val="auto"/>
              </w:rPr>
              <w:t>79701</w:t>
            </w:r>
          </w:p>
        </w:tc>
      </w:tr>
      <w:tr>
        <w:trPr>
          <w:trHeight w:val="245"/>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2540" w:type="dxa"/>
            <w:vAlign w:val="bottom"/>
          </w:tcPr>
          <w:p>
            <w:pPr>
              <w:spacing w:after="0"/>
              <w:rPr>
                <w:sz w:val="21"/>
                <w:szCs w:val="21"/>
                <w:color w:val="auto"/>
              </w:rPr>
            </w:pPr>
          </w:p>
        </w:tc>
        <w:tc>
          <w:tcPr>
            <w:tcW w:w="4960" w:type="dxa"/>
            <w:vAlign w:val="bottom"/>
          </w:tcPr>
          <w:p>
            <w:pPr>
              <w:jc w:val="right"/>
              <w:ind w:right="2560"/>
              <w:spacing w:after="0"/>
              <w:rPr>
                <w:sz w:val="20"/>
                <w:szCs w:val="20"/>
                <w:color w:val="auto"/>
              </w:rPr>
            </w:pPr>
            <w:r>
              <w:rPr>
                <w:rFonts w:ascii="Arial" w:cs="Arial" w:eastAsia="Arial" w:hAnsi="Arial"/>
                <w:sz w:val="18"/>
                <w:szCs w:val="18"/>
                <w:b w:val="1"/>
                <w:bCs w:val="1"/>
                <w:color w:val="auto"/>
              </w:rPr>
              <w:t>(432) 221-7400</w:t>
            </w:r>
          </w:p>
        </w:tc>
      </w:tr>
      <w:tr>
        <w:trPr>
          <w:trHeight w:val="186"/>
        </w:trPr>
        <w:tc>
          <w:tcPr>
            <w:tcW w:w="2540" w:type="dxa"/>
            <w:vAlign w:val="bottom"/>
          </w:tcPr>
          <w:p>
            <w:pPr>
              <w:spacing w:after="0"/>
              <w:rPr>
                <w:sz w:val="16"/>
                <w:szCs w:val="16"/>
                <w:color w:val="auto"/>
              </w:rPr>
            </w:pPr>
          </w:p>
        </w:tc>
        <w:tc>
          <w:tcPr>
            <w:tcW w:w="4960" w:type="dxa"/>
            <w:vAlign w:val="bottom"/>
          </w:tcPr>
          <w:p>
            <w:pPr>
              <w:jc w:val="center"/>
              <w:ind w:right="1380"/>
              <w:spacing w:after="0"/>
              <w:rPr>
                <w:sz w:val="20"/>
                <w:szCs w:val="20"/>
                <w:color w:val="auto"/>
              </w:rPr>
            </w:pPr>
            <w:r>
              <w:rPr>
                <w:rFonts w:ascii="Arial" w:cs="Arial" w:eastAsia="Arial" w:hAnsi="Arial"/>
                <w:sz w:val="14"/>
                <w:szCs w:val="14"/>
                <w:b w:val="1"/>
                <w:bCs w:val="1"/>
                <w:color w:val="auto"/>
                <w:w w:val="93"/>
              </w:rPr>
              <w:t>(Registrant Telephone Number, Including Area Code)</w:t>
            </w:r>
          </w:p>
        </w:tc>
      </w:tr>
    </w:tbl>
    <w:p>
      <w:pPr>
        <w:spacing w:after="0" w:line="218" w:lineRule="exact"/>
        <w:rPr>
          <w:sz w:val="24"/>
          <w:szCs w:val="24"/>
          <w:color w:val="auto"/>
        </w:rPr>
      </w:pPr>
    </w:p>
    <w:p>
      <w:pPr>
        <w:ind w:right="30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00" w:val="left"/>
          <w:tab w:leader="none" w:pos="11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35" w:lineRule="exact"/>
        <w:rPr>
          <w:sz w:val="24"/>
          <w:szCs w:val="24"/>
          <w:color w:val="auto"/>
        </w:rPr>
      </w:pPr>
    </w:p>
    <w:p>
      <w:pPr>
        <w:ind w:right="40"/>
        <w:spacing w:after="0" w:line="293"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40" w:val="left"/>
          <w:tab w:leader="none" w:pos="12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21"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372"/>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320"/>
              <w:spacing w:after="0"/>
              <w:rPr>
                <w:sz w:val="20"/>
                <w:szCs w:val="20"/>
                <w:color w:val="auto"/>
              </w:rPr>
            </w:pPr>
            <w:r>
              <w:rPr>
                <w:rFonts w:ascii="Arial" w:cs="Arial" w:eastAsia="Arial" w:hAnsi="Arial"/>
                <w:sz w:val="18"/>
                <w:szCs w:val="18"/>
                <w:color w:val="auto"/>
              </w:rPr>
              <w:t>o</w:t>
            </w:r>
          </w:p>
        </w:tc>
        <w:tc>
          <w:tcPr>
            <w:tcW w:w="530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392"/>
        </w:trPr>
        <w:tc>
          <w:tcPr>
            <w:tcW w:w="1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300" w:type="dxa"/>
            <w:vAlign w:val="bottom"/>
          </w:tcPr>
          <w:p>
            <w:pPr>
              <w:ind w:left="304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bl>
    <w:p>
      <w:pPr>
        <w:spacing w:after="0" w:line="260"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10" w:lineRule="exact"/>
        <w:rPr>
          <w:sz w:val="24"/>
          <w:szCs w:val="24"/>
          <w:color w:val="auto"/>
        </w:rPr>
      </w:pPr>
    </w:p>
    <w:p>
      <w:pPr>
        <w:ind w:right="278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May 4, 2018, 98,611,408 shares of the registrant’s common stock were outstanding.</w:t>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8"/>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3"/>
        </w:trPr>
        <w:tc>
          <w:tcPr>
            <w:tcW w:w="10740" w:type="dxa"/>
            <w:vAlign w:val="bottom"/>
            <w:gridSpan w:val="24"/>
            <w:shd w:val="clear" w:color="auto" w:fill="CCEEFF"/>
          </w:tcPr>
          <w:p>
            <w:pPr>
              <w:ind w:left="40"/>
              <w:spacing w:after="0" w:line="163" w:lineRule="exact"/>
              <w:rPr>
                <w:rFonts w:ascii="Arial" w:cs="Arial" w:eastAsia="Arial" w:hAnsi="Arial"/>
                <w:sz w:val="18"/>
                <w:szCs w:val="18"/>
                <w:color w:val="0000EE"/>
              </w:rPr>
            </w:pPr>
            <w:hyperlink w:anchor="page3">
              <w:r>
                <w:rPr>
                  <w:rFonts w:ascii="Arial" w:cs="Arial" w:eastAsia="Arial" w:hAnsi="Arial"/>
                  <w:sz w:val="18"/>
                  <w:szCs w:val="18"/>
                  <w:color w:val="0000EE"/>
                </w:rPr>
                <w:t>Glossary of Oil and Natural Gas Terms</w:t>
              </w:r>
            </w:hyperlink>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5"/>
            <w:shd w:val="clear" w:color="auto" w:fill="CCEEFF"/>
          </w:tcPr>
          <w:p>
            <w:pPr>
              <w:jc w:val="center"/>
              <w:ind w:right="28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5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r>
      <w:tr>
        <w:trPr>
          <w:trHeight w:val="203"/>
        </w:trPr>
        <w:tc>
          <w:tcPr>
            <w:tcW w:w="10740" w:type="dxa"/>
            <w:vAlign w:val="bottom"/>
            <w:gridSpan w:val="24"/>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Glossary of Certain Other Terms</w:t>
              </w:r>
            </w:hyperlink>
          </w:p>
        </w:tc>
        <w:tc>
          <w:tcPr>
            <w:tcW w:w="260" w:type="dxa"/>
            <w:vAlign w:val="bottom"/>
          </w:tcPr>
          <w:p>
            <w:pPr>
              <w:spacing w:after="0"/>
              <w:rPr>
                <w:sz w:val="17"/>
                <w:szCs w:val="17"/>
                <w:color w:val="auto"/>
              </w:rPr>
            </w:pPr>
          </w:p>
        </w:tc>
        <w:tc>
          <w:tcPr>
            <w:tcW w:w="420" w:type="dxa"/>
            <w:vAlign w:val="bottom"/>
            <w:gridSpan w:val="7"/>
          </w:tcPr>
          <w:p>
            <w:pPr>
              <w:jc w:val="center"/>
              <w:ind w:right="26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iii</w:t>
              </w:r>
            </w:hyperlink>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Forward-Looking Statements</w:t>
              </w:r>
            </w:hyperlink>
          </w:p>
        </w:tc>
        <w:tc>
          <w:tcPr>
            <w:tcW w:w="260" w:type="dxa"/>
            <w:vAlign w:val="bottom"/>
            <w:shd w:val="clear" w:color="auto" w:fill="CCEEFF"/>
          </w:tcPr>
          <w:p>
            <w:pPr>
              <w:spacing w:after="0"/>
              <w:rPr>
                <w:sz w:val="21"/>
                <w:szCs w:val="21"/>
                <w:color w:val="auto"/>
              </w:rPr>
            </w:pPr>
          </w:p>
        </w:tc>
        <w:tc>
          <w:tcPr>
            <w:tcW w:w="420" w:type="dxa"/>
            <w:vAlign w:val="bottom"/>
            <w:gridSpan w:val="7"/>
            <w:shd w:val="clear" w:color="auto" w:fill="CCEEFF"/>
          </w:tcPr>
          <w:p>
            <w:pPr>
              <w:jc w:val="center"/>
              <w:ind w:right="2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iv</w:t>
              </w:r>
            </w:hyperlink>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560" w:type="dxa"/>
            <w:vAlign w:val="bottom"/>
            <w:gridSpan w:val="8"/>
            <w:shd w:val="clear" w:color="auto" w:fill="CCEEFF"/>
          </w:tcPr>
          <w:p>
            <w:pPr>
              <w:jc w:val="center"/>
              <w:ind w:right="3500"/>
              <w:spacing w:after="0" w:line="202" w:lineRule="exact"/>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180" w:type="dxa"/>
            <w:vAlign w:val="bottom"/>
            <w:tcBorders>
              <w:top w:val="single" w:sz="8" w:color="CCEEFF"/>
            </w:tcBorders>
            <w:gridSpan w:val="16"/>
          </w:tcPr>
          <w:p>
            <w:pPr>
              <w:ind w:left="40"/>
              <w:spacing w:after="0" w:line="202" w:lineRule="exact"/>
              <w:rPr>
                <w:sz w:val="20"/>
                <w:szCs w:val="20"/>
                <w:color w:val="auto"/>
              </w:rPr>
            </w:pPr>
            <w:r>
              <w:rPr>
                <w:rFonts w:ascii="Arial" w:cs="Arial" w:eastAsia="Arial" w:hAnsi="Arial"/>
                <w:sz w:val="18"/>
                <w:szCs w:val="18"/>
                <w:color w:val="0000EE"/>
              </w:rPr>
              <w:t>Item 1. Financial Statements (Unaudited)</w:t>
            </w:r>
          </w:p>
        </w:tc>
        <w:tc>
          <w:tcPr>
            <w:tcW w:w="3060" w:type="dxa"/>
            <w:vAlign w:val="bottom"/>
            <w:tcBorders>
              <w:top w:val="single" w:sz="8" w:color="auto"/>
            </w:tcBorders>
            <w:gridSpan w:val="7"/>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Balance Sheets</w:t>
              </w:r>
            </w:hyperlink>
          </w:p>
        </w:tc>
        <w:tc>
          <w:tcPr>
            <w:tcW w:w="7940" w:type="dxa"/>
            <w:vAlign w:val="bottom"/>
            <w:gridSpan w:val="14"/>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Operations</w:t>
              </w:r>
            </w:hyperlink>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14"/>
            <w:shd w:val="clear" w:color="auto" w:fill="CCEEFF"/>
          </w:tcPr>
          <w:p>
            <w:pPr>
              <w:spacing w:after="0" w:line="202"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Stockholders’ Equity</w:t>
              </w:r>
            </w:hyperlink>
          </w:p>
        </w:tc>
        <w:tc>
          <w:tcPr>
            <w:tcW w:w="6480" w:type="dxa"/>
            <w:vAlign w:val="bottom"/>
            <w:gridSpan w:val="7"/>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4"/>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w:t>
              </w:r>
            </w:hyperlink>
          </w:p>
        </w:tc>
        <w:tc>
          <w:tcPr>
            <w:tcW w:w="6480" w:type="dxa"/>
            <w:vAlign w:val="bottom"/>
            <w:gridSpan w:val="7"/>
          </w:tcPr>
          <w:p>
            <w:pPr>
              <w:spacing w:after="0"/>
              <w:rPr>
                <w:sz w:val="17"/>
                <w:szCs w:val="17"/>
                <w:color w:val="auto"/>
              </w:rPr>
            </w:pPr>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2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6</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2. Management’s Discussion and Analysis of Financial Conditions and Results of Operations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32</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44</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45</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0" w:type="dxa"/>
            <w:vAlign w:val="bottom"/>
            <w:gridSpan w:val="6"/>
            <w:shd w:val="clear" w:color="auto" w:fill="CCEEFF"/>
          </w:tcPr>
          <w:p>
            <w:pPr>
              <w:jc w:val="center"/>
              <w:ind w:right="3640"/>
              <w:spacing w:after="0" w:line="202" w:lineRule="exact"/>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1.</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46</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1A. Risk Factors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46</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47</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67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660" w:type="dxa"/>
            <w:vAlign w:val="bottom"/>
          </w:tcPr>
          <w:p>
            <w:pPr>
              <w:ind w:left="90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tc>
      </w:tr>
      <w:tr>
        <w:trPr>
          <w:trHeight w:val="135"/>
        </w:trPr>
        <w:tc>
          <w:tcPr>
            <w:tcW w:w="2760" w:type="dxa"/>
            <w:vAlign w:val="bottom"/>
            <w:tcBorders>
              <w:bottom w:val="single" w:sz="8" w:color="auto"/>
            </w:tcBorders>
          </w:tcPr>
          <w:p>
            <w:pPr>
              <w:spacing w:after="0"/>
              <w:rPr>
                <w:sz w:val="11"/>
                <w:szCs w:val="11"/>
                <w:color w:val="auto"/>
              </w:rPr>
            </w:pPr>
          </w:p>
        </w:tc>
        <w:tc>
          <w:tcPr>
            <w:tcW w:w="8660" w:type="dxa"/>
            <w:vAlign w:val="bottom"/>
            <w:tcBorders>
              <w:bottom w:val="single" w:sz="8" w:color="auto"/>
            </w:tcBorders>
          </w:tcPr>
          <w:p>
            <w:pPr>
              <w:spacing w:after="0"/>
              <w:rPr>
                <w:sz w:val="11"/>
                <w:szCs w:val="1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Bbl</w:t>
            </w:r>
          </w:p>
        </w:tc>
        <w:tc>
          <w:tcPr>
            <w:tcW w:w="8660" w:type="dxa"/>
            <w:vAlign w:val="bottom"/>
          </w:tcPr>
          <w:p>
            <w:pPr>
              <w:ind w:left="480"/>
              <w:spacing w:after="0"/>
              <w:rPr>
                <w:sz w:val="20"/>
                <w:szCs w:val="20"/>
                <w:color w:val="auto"/>
              </w:rPr>
            </w:pPr>
            <w:r>
              <w:rPr>
                <w:rFonts w:ascii="Arial" w:cs="Arial" w:eastAsia="Arial" w:hAnsi="Arial"/>
                <w:sz w:val="18"/>
                <w:szCs w:val="18"/>
                <w:color w:val="auto"/>
                <w:w w:val="95"/>
              </w:rPr>
              <w:t>Stock tank barrel, or 42 U.S. gallons liquid volume, used in this report in reference to crude oil or other liquid</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Barrels of oil equivalent, with six thousand cubic feet of natural gas being equivalent to one barrel of oil.</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BOE/d</w:t>
            </w:r>
          </w:p>
        </w:tc>
        <w:tc>
          <w:tcPr>
            <w:tcW w:w="8660" w:type="dxa"/>
            <w:vAlign w:val="bottom"/>
          </w:tcPr>
          <w:p>
            <w:pPr>
              <w:ind w:left="480"/>
              <w:spacing w:after="0"/>
              <w:rPr>
                <w:sz w:val="20"/>
                <w:szCs w:val="20"/>
                <w:color w:val="auto"/>
              </w:rPr>
            </w:pPr>
            <w:r>
              <w:rPr>
                <w:rFonts w:ascii="Arial" w:cs="Arial" w:eastAsia="Arial" w:hAnsi="Arial"/>
                <w:sz w:val="18"/>
                <w:szCs w:val="18"/>
                <w:color w:val="auto"/>
              </w:rPr>
              <w:t>BOE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The quantity of heat required to raise the temperature of one pound of water by one degree Fahrenheit.</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The process of treating a drilled well followed by the installation of permanent equipment for the production of</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natural gas or oil, or in the case of a dry hole, the reporting of abandonment to the appropriate agency.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Finding and development costs</w:t>
            </w:r>
          </w:p>
        </w:tc>
        <w:tc>
          <w:tcPr>
            <w:tcW w:w="8660" w:type="dxa"/>
            <w:vAlign w:val="bottom"/>
          </w:tcPr>
          <w:p>
            <w:pPr>
              <w:ind w:left="480"/>
              <w:spacing w:after="0"/>
              <w:rPr>
                <w:sz w:val="20"/>
                <w:szCs w:val="20"/>
                <w:color w:val="auto"/>
              </w:rPr>
            </w:pPr>
            <w:r>
              <w:rPr>
                <w:rFonts w:ascii="Arial" w:cs="Arial" w:eastAsia="Arial" w:hAnsi="Arial"/>
                <w:sz w:val="18"/>
                <w:szCs w:val="18"/>
                <w:color w:val="auto"/>
                <w:w w:val="96"/>
              </w:rPr>
              <w:t>Capital costs incurred in the acquisition, exploitation and exploration of proved oil and natural gas reserves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660" w:type="dxa"/>
            <w:vAlign w:val="bottom"/>
          </w:tcPr>
          <w:p>
            <w:pPr>
              <w:ind w:left="480"/>
              <w:spacing w:after="0"/>
              <w:rPr>
                <w:sz w:val="20"/>
                <w:szCs w:val="20"/>
                <w:color w:val="auto"/>
              </w:rPr>
            </w:pPr>
            <w:r>
              <w:rPr>
                <w:rFonts w:ascii="Arial" w:cs="Arial" w:eastAsia="Arial" w:hAnsi="Arial"/>
                <w:sz w:val="18"/>
                <w:szCs w:val="18"/>
                <w:color w:val="auto"/>
                <w:w w:val="97"/>
              </w:rPr>
              <w:t>A drilling technique used in certain formations where a well is drilled vertically to a certain depth and then</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drilled at a right angle with a specified interval.</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Wells drilled directionally horizontal to allow for development of structures not reachable through traditional</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vertical drilling mechanisms.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Mcf</w:t>
            </w:r>
          </w:p>
        </w:tc>
        <w:tc>
          <w:tcPr>
            <w:tcW w:w="8660" w:type="dxa"/>
            <w:vAlign w:val="bottom"/>
          </w:tcPr>
          <w:p>
            <w:pPr>
              <w:ind w:left="480"/>
              <w:spacing w:after="0"/>
              <w:rPr>
                <w:sz w:val="20"/>
                <w:szCs w:val="20"/>
                <w:color w:val="auto"/>
              </w:rPr>
            </w:pPr>
            <w:r>
              <w:rPr>
                <w:rFonts w:ascii="Arial" w:cs="Arial" w:eastAsia="Arial" w:hAnsi="Arial"/>
                <w:sz w:val="18"/>
                <w:szCs w:val="18"/>
                <w:color w:val="auto"/>
              </w:rPr>
              <w:t>Thousand cubic feet of natural gas.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Mineral interests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The interests in ownership of the resource and mineral rights, giving an owner the right to profit from the</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extracted resources.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MMBtu</w:t>
            </w:r>
          </w:p>
        </w:tc>
        <w:tc>
          <w:tcPr>
            <w:tcW w:w="8660" w:type="dxa"/>
            <w:vAlign w:val="bottom"/>
          </w:tcPr>
          <w:p>
            <w:pPr>
              <w:ind w:left="48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acres or net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Oil and natural gas properties</w:t>
            </w:r>
          </w:p>
        </w:tc>
        <w:tc>
          <w:tcPr>
            <w:tcW w:w="8660" w:type="dxa"/>
            <w:vAlign w:val="bottom"/>
          </w:tcPr>
          <w:p>
            <w:pPr>
              <w:ind w:left="4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Plugging and abandonment</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Refers to the sealing off of fluids in the strata penetrated by a well so that the fluids from one stratum will not</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Prospect</w:t>
            </w:r>
          </w:p>
        </w:tc>
        <w:tc>
          <w:tcPr>
            <w:tcW w:w="8660" w:type="dxa"/>
            <w:vAlign w:val="bottom"/>
          </w:tcPr>
          <w:p>
            <w:pPr>
              <w:ind w:left="480"/>
              <w:spacing w:after="0"/>
              <w:rPr>
                <w:sz w:val="20"/>
                <w:szCs w:val="20"/>
                <w:color w:val="auto"/>
              </w:rPr>
            </w:pPr>
            <w:r>
              <w:rPr>
                <w:rFonts w:ascii="Arial" w:cs="Arial" w:eastAsia="Arial" w:hAnsi="Arial"/>
                <w:sz w:val="18"/>
                <w:szCs w:val="18"/>
                <w:color w:val="auto"/>
              </w:rPr>
              <w:t>A specific geographic area which, based on supporting geological, geophysical or other data and also</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preliminary economic analysis using reasonably anticipated prices and costs, is deemed to have potential for the</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discovery of commercial 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The estimated quantities of oil, natural gas and natural gas liquids which geological and engineering data</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demonstrate with reasonable certainty to be commercially recoverable in future years from known reservoirs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under existing economic and operating conditions.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Reserves</w:t>
            </w: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The estimated remaining quantities of oil and natural gas and related substances anticipated to be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producible, as of a given date, by application of development projects to known accumulations. In addition, there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must exist, or there must be a reasonable expectation that there will exist, the legal right to produce or a revenue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interest in the production, installed means of delivering oil and natural gas or related substances to the market</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0"/>
              </w:rPr>
              <w:t>and all permits and financing required to implement the project. Reserves are not assigned to adjacent reservoirs</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2"/>
              </w:rPr>
              <w:t>isolated by major, potentially sealing, faults until those reservoirs are penetrated and evaluated as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0"/>
              </w:rPr>
              <w:t>producible. Reserves should not be assigned to areas that are clearly separated from a known accumulation by a</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0"/>
              </w:rPr>
              <w:t>non-productive reservoir (i.e., absence of reservoir, structurally low reservoir or negative test results). Such areas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may contain prospective resources (i.e., potentially recoverable resources from undiscovered accumulations).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A porous and permeable underground formation containing a natural accumulation of producible natural gas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and/or oil that is confined by impermeable rock or water barriers and is separate from other reservoirs.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Royalty interest</w:t>
            </w: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any costs of development.</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Spacing</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The distance between wells producing from the same reservoir. Spacing is often expressed in terms of acres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(e.g., 40-acre spacing) and is often established by regulatory agencies.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Working interest</w:t>
            </w:r>
          </w:p>
        </w:tc>
        <w:tc>
          <w:tcPr>
            <w:tcW w:w="8660" w:type="dxa"/>
            <w:vAlign w:val="bottom"/>
          </w:tcPr>
          <w:p>
            <w:pPr>
              <w:ind w:left="480"/>
              <w:spacing w:after="0"/>
              <w:rPr>
                <w:sz w:val="20"/>
                <w:szCs w:val="20"/>
                <w:color w:val="auto"/>
              </w:rPr>
            </w:pPr>
            <w:r>
              <w:rPr>
                <w:rFonts w:ascii="Arial" w:cs="Arial" w:eastAsia="Arial" w:hAnsi="Arial"/>
                <w:sz w:val="18"/>
                <w:szCs w:val="18"/>
                <w:color w:val="auto"/>
                <w:w w:val="96"/>
              </w:rPr>
              <w:t>An operating interest that gives the owner the right to drill, produce and conduct operating activities on the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5"/>
              </w:rPr>
              <w:t>property and receive a share of production and requires the owner to pay a share of the costs of drilling and</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production operations.</w:t>
            </w:r>
          </w:p>
        </w:tc>
      </w:tr>
      <w:tr>
        <w:trPr>
          <w:trHeight w:val="27"/>
        </w:trPr>
        <w:tc>
          <w:tcPr>
            <w:tcW w:w="27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840" w:type="dxa"/>
            <w:vAlign w:val="bottom"/>
          </w:tcPr>
          <w:p>
            <w:pPr>
              <w:ind w:left="138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58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tcPr>
          <w:p>
            <w:pPr>
              <w:spacing w:after="0"/>
              <w:rPr>
                <w:sz w:val="11"/>
                <w:szCs w:val="1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Diamondback Energy, Inc., a Delaware corporation.</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Equity Plan</w:t>
            </w:r>
          </w:p>
        </w:tc>
        <w:tc>
          <w:tcPr>
            <w:tcW w:w="8840" w:type="dxa"/>
            <w:vAlign w:val="bottom"/>
          </w:tcPr>
          <w:p>
            <w:pPr>
              <w:ind w:left="880"/>
              <w:spacing w:after="0"/>
              <w:rPr>
                <w:sz w:val="20"/>
                <w:szCs w:val="20"/>
                <w:color w:val="auto"/>
              </w:rPr>
            </w:pPr>
            <w:r>
              <w:rPr>
                <w:rFonts w:ascii="Arial" w:cs="Arial" w:eastAsia="Arial" w:hAnsi="Arial"/>
                <w:sz w:val="18"/>
                <w:szCs w:val="18"/>
                <w:color w:val="auto"/>
              </w:rPr>
              <w:t>The Company’s Equity Incentive Plan.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GAAP</w:t>
            </w:r>
          </w:p>
        </w:tc>
        <w:tc>
          <w:tcPr>
            <w:tcW w:w="8840" w:type="dxa"/>
            <w:vAlign w:val="bottom"/>
          </w:tcPr>
          <w:p>
            <w:pPr>
              <w:ind w:left="8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391"/>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8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Viper Energy Partners GP LLC, a Delaware limited liability company and the General Partner of the</w:t>
            </w: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Partnership.</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NYMEX</w:t>
            </w:r>
          </w:p>
        </w:tc>
        <w:tc>
          <w:tcPr>
            <w:tcW w:w="8840" w:type="dxa"/>
            <w:vAlign w:val="bottom"/>
          </w:tcPr>
          <w:p>
            <w:pPr>
              <w:ind w:left="880"/>
              <w:spacing w:after="0"/>
              <w:rPr>
                <w:sz w:val="20"/>
                <w:szCs w:val="20"/>
                <w:color w:val="auto"/>
              </w:rPr>
            </w:pPr>
            <w:r>
              <w:rPr>
                <w:rFonts w:ascii="Arial" w:cs="Arial" w:eastAsia="Arial" w:hAnsi="Arial"/>
                <w:sz w:val="18"/>
                <w:szCs w:val="18"/>
                <w:color w:val="auto"/>
              </w:rPr>
              <w:t>New York Mercantile Exchange.</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58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8840" w:type="dxa"/>
            <w:vAlign w:val="bottom"/>
          </w:tcPr>
          <w:p>
            <w:pPr>
              <w:ind w:left="880"/>
              <w:spacing w:after="0"/>
              <w:rPr>
                <w:sz w:val="20"/>
                <w:szCs w:val="20"/>
                <w:color w:val="auto"/>
              </w:rPr>
            </w:pPr>
            <w:r>
              <w:rPr>
                <w:rFonts w:ascii="Arial" w:cs="Arial" w:eastAsia="Arial" w:hAnsi="Arial"/>
                <w:sz w:val="18"/>
                <w:szCs w:val="18"/>
                <w:color w:val="auto"/>
                <w:w w:val="93"/>
              </w:rPr>
              <w:t>The first amended and restated agreement of limited partnership, dated June 23, 2014, entered into by the</w:t>
            </w:r>
          </w:p>
        </w:tc>
      </w:tr>
      <w:tr>
        <w:trPr>
          <w:trHeight w:val="230"/>
        </w:trPr>
        <w:tc>
          <w:tcPr>
            <w:tcW w:w="2580" w:type="dxa"/>
            <w:vAlign w:val="bottom"/>
          </w:tcPr>
          <w:p>
            <w:pPr>
              <w:spacing w:after="0"/>
              <w:rPr>
                <w:sz w:val="20"/>
                <w:szCs w:val="20"/>
                <w:color w:val="auto"/>
              </w:rPr>
            </w:pPr>
          </w:p>
        </w:tc>
        <w:tc>
          <w:tcPr>
            <w:tcW w:w="8840" w:type="dxa"/>
            <w:vAlign w:val="bottom"/>
          </w:tcPr>
          <w:p>
            <w:pPr>
              <w:ind w:left="880"/>
              <w:spacing w:after="0"/>
              <w:rPr>
                <w:sz w:val="20"/>
                <w:szCs w:val="20"/>
                <w:color w:val="auto"/>
              </w:rPr>
            </w:pPr>
            <w:r>
              <w:rPr>
                <w:rFonts w:ascii="Arial" w:cs="Arial" w:eastAsia="Arial" w:hAnsi="Arial"/>
                <w:sz w:val="18"/>
                <w:szCs w:val="18"/>
                <w:color w:val="auto"/>
              </w:rPr>
              <w:t>General Partner and Diamondback in connection with the closing of the Viper Offering.</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United States Securities and Exchange Commission.</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8840" w:type="dxa"/>
            <w:vAlign w:val="bottom"/>
          </w:tcPr>
          <w:p>
            <w:pPr>
              <w:ind w:left="880"/>
              <w:spacing w:after="0"/>
              <w:rPr>
                <w:sz w:val="20"/>
                <w:szCs w:val="20"/>
                <w:color w:val="auto"/>
              </w:rPr>
            </w:pPr>
            <w:r>
              <w:rPr>
                <w:rFonts w:ascii="Arial" w:cs="Arial" w:eastAsia="Arial" w:hAnsi="Arial"/>
                <w:sz w:val="18"/>
                <w:szCs w:val="18"/>
                <w:color w:val="auto"/>
              </w:rPr>
              <w:t>The Securities Act of 1933, as amended.</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Senior Notes</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2"/>
              </w:rPr>
              <w:t>The Company’s 4.750% senior unsecured notes due 2024 in the aggregate principal amount of $500 million.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2025 Senior Notes</w:t>
            </w:r>
          </w:p>
        </w:tc>
        <w:tc>
          <w:tcPr>
            <w:tcW w:w="8840" w:type="dxa"/>
            <w:vAlign w:val="bottom"/>
          </w:tcPr>
          <w:p>
            <w:pPr>
              <w:ind w:left="880"/>
              <w:spacing w:after="0"/>
              <w:rPr>
                <w:sz w:val="20"/>
                <w:szCs w:val="20"/>
                <w:color w:val="auto"/>
              </w:rPr>
            </w:pPr>
            <w:r>
              <w:rPr>
                <w:rFonts w:ascii="Arial" w:cs="Arial" w:eastAsia="Arial" w:hAnsi="Arial"/>
                <w:sz w:val="18"/>
                <w:szCs w:val="18"/>
                <w:color w:val="auto"/>
                <w:w w:val="92"/>
              </w:rPr>
              <w:t>The Company’s 5.375% senior unsecured notes due 2025 in the aggregate principal amount of $500 million.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2024 Senior Notes and the 2025 Senior Notes.</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Viper LTIP</w:t>
            </w:r>
          </w:p>
        </w:tc>
        <w:tc>
          <w:tcPr>
            <w:tcW w:w="8840" w:type="dxa"/>
            <w:vAlign w:val="bottom"/>
          </w:tcPr>
          <w:p>
            <w:pPr>
              <w:ind w:left="880"/>
              <w:spacing w:after="0"/>
              <w:rPr>
                <w:sz w:val="20"/>
                <w:szCs w:val="20"/>
                <w:color w:val="auto"/>
              </w:rPr>
            </w:pPr>
            <w:r>
              <w:rPr>
                <w:rFonts w:ascii="Arial" w:cs="Arial" w:eastAsia="Arial" w:hAnsi="Arial"/>
                <w:sz w:val="18"/>
                <w:szCs w:val="18"/>
                <w:color w:val="auto"/>
              </w:rPr>
              <w:t>Viper Energy Partners LP Long Term Incentive Plan.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Offering</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Partnerships’ initial public offering.</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Wells Fargo</w:t>
            </w:r>
          </w:p>
        </w:tc>
        <w:tc>
          <w:tcPr>
            <w:tcW w:w="8840" w:type="dxa"/>
            <w:vAlign w:val="bottom"/>
          </w:tcPr>
          <w:p>
            <w:pPr>
              <w:ind w:left="880"/>
              <w:spacing w:after="0"/>
              <w:rPr>
                <w:sz w:val="20"/>
                <w:szCs w:val="20"/>
                <w:color w:val="auto"/>
              </w:rPr>
            </w:pPr>
            <w:r>
              <w:rPr>
                <w:rFonts w:ascii="Arial" w:cs="Arial" w:eastAsia="Arial" w:hAnsi="Arial"/>
                <w:sz w:val="18"/>
                <w:szCs w:val="18"/>
                <w:color w:val="auto"/>
              </w:rPr>
              <w:t>Wells Fargo Bank, National Association.</w:t>
            </w:r>
          </w:p>
        </w:tc>
      </w:tr>
      <w:tr>
        <w:trPr>
          <w:trHeight w:val="27"/>
        </w:trPr>
        <w:tc>
          <w:tcPr>
            <w:tcW w:w="258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i w:val="1"/>
          <w:iCs w:val="1"/>
          <w:color w:val="auto"/>
        </w:rPr>
        <w:t>Part II, Item 1A. Risk Factors</w:t>
      </w:r>
      <w:r>
        <w:rPr>
          <w:rFonts w:ascii="Arial" w:cs="Arial" w:eastAsia="Arial" w:hAnsi="Arial"/>
          <w:sz w:val="17"/>
          <w:szCs w:val="17"/>
          <w:color w:val="auto"/>
        </w:rPr>
        <w:t xml:space="preserve"> in this report and our Annual Report on Form 10–K for the year ended December 31, 2017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585"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(In thousands, except par values and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ind w:left="40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72,487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112,446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Joint interest and other</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71,017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73,038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Oil and natural gas sales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165,263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158,575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6,737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324,467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358,601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Oil and natural gas properties, full cost method of accounting ($4,204,745 and $4,105,865 excluded from</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at March 31, 2018 and December 31, 2017,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9,648,825</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9,232,694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Midstream assets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295,161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82,095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(2,274,909)</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(2,161,372)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7,751,172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7,343,617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40,136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62,463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8,224,888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payable-trade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94,590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262,242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221,256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100,557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92,512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and royalties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82,055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99,685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100,367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607,668</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577,428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1,701,912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1,477,347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21,258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 term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2,489,706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2,189,248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0"/>
              </w:rPr>
              <w:t>Common stock, $0.01 par value, 200,000,000 shares authorized, 98,610,608 issued and outstanding at March 31,</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2018; 98,167,289 issued and outstanding at December 31, 2017</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5,299,811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5,291,011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116,286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5,417,083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5,254,860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318,099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326,877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5,735,182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5,581,737</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8,224,888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20"/>
              <w:spacing w:after="0"/>
              <w:rPr>
                <w:sz w:val="20"/>
                <w:szCs w:val="20"/>
                <w:color w:val="auto"/>
              </w:rPr>
            </w:pPr>
            <w:r>
              <w:rPr>
                <w:rFonts w:ascii="Arial" w:cs="Arial" w:eastAsia="Arial" w:hAnsi="Arial"/>
                <w:sz w:val="18"/>
                <w:szCs w:val="18"/>
                <w:color w:val="auto"/>
                <w:w w:val="93"/>
              </w:rPr>
              <w:t>See accompanying notes to combined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55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557"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9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94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22860</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9360" w:type="dxa"/>
            <w:vAlign w:val="bottom"/>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r>
      <w:tr>
        <w:trPr>
          <w:trHeight w:val="218"/>
        </w:trPr>
        <w:tc>
          <w:tcPr>
            <w:tcW w:w="936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(In thousands, except per</w:t>
            </w:r>
          </w:p>
        </w:tc>
      </w:tr>
      <w:tr>
        <w:trPr>
          <w:trHeight w:val="234"/>
        </w:trPr>
        <w:tc>
          <w:tcPr>
            <w:tcW w:w="9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share amounts)</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419,268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207,074</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14,378</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9,922</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33,113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15,502</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11,395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3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480,195</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235,230</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37,345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26,626</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and ad valorem taxes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15,725</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Gathering and transportation</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4,285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2,619</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services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115,216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58,929</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General and administrative expenses (including non-cash equity-based compensation, net of capitalized amounts, of $7,451</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$7,063 for the three months ended March 31, 2018 and 2017,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16,325</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13,744</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3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212,549</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118,820</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267,646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116,410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2,736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37,701</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Gain on revaluation of investment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(42,411)</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26,621</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225,235</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143,031</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47,081</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178,154</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141,074</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15,342</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4,801</w:t>
            </w:r>
          </w:p>
        </w:tc>
      </w:tr>
      <w:tr>
        <w:trPr>
          <w:trHeight w:val="29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Diamondback Energy,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162,812</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136,273</w:t>
            </w: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98,555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93,161</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98,769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93,364</w:t>
            </w:r>
          </w:p>
        </w:tc>
      </w:tr>
      <w:tr>
        <w:trPr>
          <w:trHeight w:val="27"/>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6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00" w:type="dxa"/>
            <w:vAlign w:val="bottom"/>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6"/>
                <w:szCs w:val="16"/>
                <w:color w:val="auto"/>
              </w:rPr>
            </w:pP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4,215,955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4,018,292</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w w:val="95"/>
              </w:rPr>
              <w:t>Net proceeds from issuance of common units - Viper Energy</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147,523</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147,523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8,587</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w w:val="93"/>
              </w:rPr>
              <w:t>Common shares issued in public offering, net of offering costs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 issued for acquisition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809,096</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809,173</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136,273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4,801</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141,074</w:t>
            </w:r>
          </w:p>
        </w:tc>
        <w:tc>
          <w:tcPr>
            <w:tcW w:w="0" w:type="dxa"/>
            <w:vAlign w:val="bottom"/>
          </w:tcPr>
          <w:p>
            <w:pPr>
              <w:spacing w:after="0"/>
              <w:rPr>
                <w:sz w:val="1"/>
                <w:szCs w:val="1"/>
                <w:color w:val="auto"/>
              </w:rPr>
            </w:pPr>
          </w:p>
        </w:tc>
      </w:tr>
      <w:tr>
        <w:trPr>
          <w:trHeight w:val="29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March 31, 2017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5,034,007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(383,121)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467,491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5,119,358</w:t>
            </w:r>
          </w:p>
        </w:tc>
        <w:tc>
          <w:tcPr>
            <w:tcW w:w="0" w:type="dxa"/>
            <w:vAlign w:val="bottom"/>
          </w:tcPr>
          <w:p>
            <w:pPr>
              <w:spacing w:after="0"/>
              <w:rPr>
                <w:sz w:val="1"/>
                <w:szCs w:val="1"/>
                <w:color w:val="auto"/>
              </w:rPr>
            </w:pPr>
          </w:p>
        </w:tc>
      </w:tr>
      <w:tr>
        <w:trPr>
          <w:trHeight w:val="311"/>
        </w:trPr>
        <w:tc>
          <w:tcPr>
            <w:tcW w:w="48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920" w:type="dxa"/>
            <w:vAlign w:val="bottom"/>
          </w:tcPr>
          <w:p>
            <w:pPr>
              <w:jc w:val="right"/>
              <w:spacing w:after="0"/>
              <w:rPr>
                <w:sz w:val="20"/>
                <w:szCs w:val="20"/>
                <w:color w:val="auto"/>
              </w:rPr>
            </w:pPr>
            <w:r>
              <w:rPr>
                <w:rFonts w:ascii="Arial" w:cs="Arial" w:eastAsia="Arial" w:hAnsi="Arial"/>
                <w:sz w:val="18"/>
                <w:szCs w:val="18"/>
                <w:color w:val="auto"/>
              </w:rPr>
              <w:t>98,167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5,291,011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326,877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5,581,737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adoption of ASU 2016-01, net of tax</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(18,737)</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(18,737)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162,812</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15,342</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178,154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5,299,811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116,286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318,099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5,735,182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178,154</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141,074</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Provision for deferred income taxes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46,908</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1,425</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 retirement obligation accretion</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115,216</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58,929</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(39,375)</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equity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Gain on revaluation of investment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Gain on sale of assets, net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(20,104)</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(6,765)</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(19,894)</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10,281</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 and royalties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339,427</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175,927</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(280,015)</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(116,174)</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midstream assets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other property, equipment and land</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(1,947)</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(11,918)</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leasehold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(1,760,810)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mineral interests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(150,013)</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(8,579)</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midstream assets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1,238</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(109,664)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Funds held in escrow</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10,989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119,340</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(584,931)</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(1,825,479)</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224,000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under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senior notes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312,000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Public offering costs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public offerings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147,725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(18,737)</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205,545</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20,418</w:t>
            </w:r>
          </w:p>
        </w:tc>
      </w:tr>
    </w:tbl>
    <w:p>
      <w:pPr>
        <w:spacing w:after="0" w:line="200" w:lineRule="exact"/>
        <w:rPr>
          <w:sz w:val="20"/>
          <w:szCs w:val="20"/>
          <w:color w:val="auto"/>
        </w:rPr>
      </w:pPr>
    </w:p>
    <w:p>
      <w:pPr>
        <w:sectPr>
          <w:pgSz w:w="11900" w:h="16838" w:orient="portrait"/>
          <w:cols w:equalWidth="0" w:num="1">
            <w:col w:w="11420"/>
          </w:cols>
          <w:pgMar w:left="240" w:top="121" w:right="239" w:bottom="1029"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029"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6"/>
        </w:trPr>
        <w:tc>
          <w:tcPr>
            <w:tcW w:w="8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(39,959)</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(1,629,134)</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112,446</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1,666,574</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72,487</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37,440</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1,118</w:t>
            </w: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40,986</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34,460</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stock-based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91"/>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Common stock issued for oil and natural gas properties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809,173</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wholly-owned subsidiaries of Diamondback, as of March 31, 2018, include Diamondback E&amp;P LLC, a Delaware limited liability company, Diamondback O&amp;G LLC, a Delaware limited liability company, Viper Energy Partners GP LLC, a Delaware limited liability company, Rattler Midstream LLC (formerly known as White Fang Energy LLC), a Delaware limited liability company, and Tall City Towers LLC, a Delaware limited liability company. The consolidated subsidiaries include these wholly-owned subsidiaries as well as Viper Energy Partners LP, a Delaware limited partnership (the “Partnership”), and the Partnership’s wholly-owned subsidiary Viper Energy Partners LLC, a Delaware limited liability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is consolidated in the financial statements of the Company. As of March 31, 2018, the Company owned approximately 64% of the common units of the Partnership. The Company’s wholly-owned subsidiary, Viper Energy Partners GP LLC, is the General Partner of the Partnership.</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2017,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commodity derivatives and estimates of income taxes.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Partnership has an equity interest in a limited partnership that is so minor that the Partnership has no influence over the limited partnership’s operating and financial policies. This interest was acquired during the year ended December 31, 2014 and is accounted for under the cost method. Effective January 1, 2018, the Partnership adopted Accounting Standards Update 2016-01 which requires the Partnership to measure this investment at fair value which resulted in a downward adjustment of $18.7 million to record the impact of this adoption. For the three months ended March 31, 2018, the Partnership recorded a gain of $0.9 million which then increased the Partnership’s investment balance to $16.0 million, which is included in other assets in the accompanying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The Partnership adopted this standard effective January 1, 2018 by means of a negative cumulative-effect adjustment totaling $18.7 million.</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August 2016, the Financial Accounting Standards Board issued Accounting Standards Update 2016-15, “Statement of Cash Flows - Classification of Certain Cash Receipts and Cash Payments”. This update apples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 adopted this update effective January 1, 2018 using the retrospective transition method. Adoption of this standard did not have an effect on the presentation on the Statement of Cash Flows.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The Company adopted this update effective January 1, 2018. The adoption of this update did not have an effect on the presentation on the Statement of Cash Flows.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the Financial Accounting Standards Board issued Accounting Standards Update 2017-01, “Business Combinations - Clarifying the Definition of a Business”. This update apples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The Company adopted this update prospectively effective January 1, 2018. The adoption of this update did not have an impact on its financial position, results of operations or liquidity.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believes the primary impact of adopting this standard will be the recognition of assets and liabilities on the balance sheet for current operating leases. The Company is still evaluating the impact of this standard.</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2018, the Financial Accounting Standards Board issued Accounting Standards Update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 842. The Company believes the adoption of this update will not have an impact on its financial position, results of operations or liquidity.</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the Company’s consolidated financial statements since the Company does not have a history of credit losses.</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Accounting Standards Codification Topic 606 Adoption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Financial Accounting Standards Board issued Accounting Standards Update 2014-09, “Revenue from Contracts with Customers”. This standard included a five-step revenue recognition model to depict the transfer of goods or services to customers in an amount that reflects the consideration to which the Company expects to be entitled in exchange for those goods or services. Among other things, the standard also eliminated industry-specific revenue guidance, required enhanced disclosures about revenue, provided guidance for transactions that were not previously addressed comprehensively and improved guidance for multiple-element arrangements. The Company adopted this Accounting Standards Update effective January 1, 2018 using the modified retrospective approach. The Company utilized a bottom-up approach to analyze the impact of the new standard by reviewing its current accounting policies and practices to identify potential differences that would result from applying the requirements of the new standard to its revenue contracts and the impact of adopting this standards update on its total revenues, operating income and its consolidated balance sheet. The adoption of this standard did not result in a cumulative-effect adjustment.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Oil sales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Midstream LLC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product sales contracts do not originate until production occurs and, therefore, are not considered to exist beyond each days’ production. Therefore, there are no remaining performance obligation under any of our product sales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Accounting Standards Codification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Prior-period performance obligations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revenue in the month production is delivered to the purchaser. However, settlement statements for certain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three months ended March 31, 2018,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31, 2018, Tall City Towers LLC, a subsidiary of the Company, completed its acquisition of the Fasken Center office buildings in Midland, TX where the Company’s corporate offices are located for a net purchase price of $109.7 million.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includes the acquisition of (i) approximately 100,306 gross (80,339 net) acres primarily in Pecos and Reeves counties for approximately $2.5 billion and (ii) midstream assets for approximately $47.6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the fair value of the assets and liabilities assumed on the acquisition date. The aggregate consideration transferred was $2.5 billion, resulting in no goodwill or bargain purchase gain.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386,308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2,122,597</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3,460</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royalties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net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2,549,599</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included in its consolidated statements of operations revenues of $12.2 million and direct operating expenses of $2.7 million for the period from February 28, 2017 to March 31, 2017 due to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unaudited summary pro forma consolidated statement of operations data of Diamondback for the three months ended March 31, 2017 have been prepared to give effect to the February 28, 2017 acquisition as if it had occurred on January 1, 2016. The pro forma data are not necessarily indicative of financial results that would have been attained had the acquisitions occurred on January 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 forma data also necessarily exclude various operation expenses related to the properties and the financial statements should not be viewed as indicative of operations in future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8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31, 2017</w:t>
            </w:r>
          </w:p>
        </w:tc>
      </w:tr>
      <w:tr>
        <w:trPr>
          <w:trHeight w:val="27"/>
        </w:trPr>
        <w:tc>
          <w:tcPr>
            <w:tcW w:w="8900" w:type="dxa"/>
            <w:vAlign w:val="bottom"/>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r>
      <w:tr>
        <w:trPr>
          <w:trHeight w:val="218"/>
        </w:trPr>
        <w:tc>
          <w:tcPr>
            <w:tcW w:w="890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 except per share</w:t>
            </w:r>
          </w:p>
        </w:tc>
      </w:tr>
      <w:tr>
        <w:trPr>
          <w:trHeight w:val="234"/>
        </w:trPr>
        <w:tc>
          <w:tcPr>
            <w:tcW w:w="8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amounts)</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258,159</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133,162</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150,615</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8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spacing w:after="0"/>
              <w:rPr>
                <w:sz w:val="21"/>
                <w:szCs w:val="21"/>
                <w:color w:val="auto"/>
              </w:rPr>
            </w:pPr>
          </w:p>
        </w:tc>
        <w:tc>
          <w:tcPr>
            <w:tcW w:w="2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8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Partnership is a publicly traded Delaware limited partnership, the common units of which are listed on the NASDAQ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and the Eagle Ford Shale. Viper Energy Partners GP LLC, a fully-consolidated subsidiary of Diamondback, serves as the general partner of, and holds a non-economic general partner interest in, the Partnership. As of March 31, 2018, the Company owned approximately 64% of the common units of the Partnership.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closing of the Viper Offering, the General Partner and Diamondback entered into the first amended and restated agreement of limited partnership, dated June 23, 2014 (the “Partnership Agreement”).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For both the three months ended March 31, 2018 and 2017, the General Partner allocated $0.6 million to the Partnership.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12—Related Party Transactions for information regarding the advisory services agreement the Partnership and the General Partner entered into with Wexford Capital LP (“Wexford”).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entered into a secured revolving credit facility with Wells Fargo, as administrative agent sole book runner and lead arranger. See Note 9—Debt for a description of this credit facility.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86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r>
      <w:tr>
        <w:trPr>
          <w:trHeight w:val="358"/>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5,444,080</w:t>
            </w: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5,126,829</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4,204,745</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4,105,865</w:t>
            </w: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9,648,825</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9,232,694</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(1,114,399)</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(1,009,893)</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(1,143,498)</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(1,143,498)</w:t>
            </w:r>
          </w:p>
        </w:tc>
      </w:tr>
      <w:tr>
        <w:trPr>
          <w:trHeight w:val="27"/>
        </w:trPr>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7,390,928</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7,079,303</w:t>
            </w: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295,161</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191,519</w:t>
            </w: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82,095</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80,776</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(17,012)</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(7,981)</w:t>
            </w:r>
          </w:p>
        </w:tc>
      </w:tr>
      <w:tr>
        <w:trPr>
          <w:trHeight w:val="27"/>
        </w:trPr>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Property and equipment, net of accumulated depreciation, depletion, amortization and impairment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7,751,172</w:t>
            </w: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7,343,617</w:t>
            </w: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159,352</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2017</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2,746,718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2016</w:t>
            </w:r>
          </w:p>
        </w:tc>
        <w:tc>
          <w:tcPr>
            <w:tcW w:w="3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721,400</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2015</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283,673</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2014</w:t>
            </w:r>
          </w:p>
        </w:tc>
        <w:tc>
          <w:tcPr>
            <w:tcW w:w="3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293,602</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not subject to depletion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4,204,745</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$7.0 million and $5.1 million for the three months ended March 31, 2018 and 2017,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or financial derivatives, if any, that hedge the Company’s oil and natural gas revenue, and excluding the estimated abandonment costs for properties with asset retirement obligations recorded on the balance sheet, (b) the cost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At March 31, 2018, there was $48.5 million in exploration costs and development costs and $28.8 million in capitalized interest that was not subject to depletion. At December 31, 2017, there were $26.0 million in exploration costs and development costs and $22.1 million in capitalized interest that was not subject to depletion.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21,285</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(775)</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21,652</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1,572</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21,258</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18,939</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2014, the Company obtained a 25% interest in HMW Fluid Management LLC, which was formed to develop, own and operate an integrated water management system to gather, store, process, treat, distribute and dispose of water to exploration and production companies operating in Midland, Martin and Andrews Counties, Texas. The board of this entity may also authorize the entity to offer these services to other counties in the Permian Basin and to pursue other business opportunities. During the three months ended March 31, 2018, the Company recorded $2.2 million, which is the Company’s share of HMW Fluid Management LLC’s net income, bringing its total investment to $9.4 million at March 31, 2018. During the three months ended March 31, 2017, the Company invested $0.2 million in this entity and recorded $3,000, which is the Company’s share of HMW Fluid Management LLC’s net income, bringing its total investment to $6.5 million at March 31, 2017. The Company will retain a minority interest after all commitments are received. The entity was formed as a limited liability company and maintains a specific ownership account for each investor, similar to a partnership capital account structure. Therefore, the Company accounts for this investment under the equity method of accounting.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b w:val="1"/>
                <w:bCs w:val="1"/>
                <w:color w:val="auto"/>
                <w:w w:val="87"/>
              </w:rPr>
              <w:t>December 31,</w:t>
            </w:r>
          </w:p>
        </w:tc>
      </w:tr>
      <w:tr>
        <w:trPr>
          <w:trHeight w:val="270"/>
        </w:trPr>
        <w:tc>
          <w:tcPr>
            <w:tcW w:w="7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3"/>
                <w:szCs w:val="23"/>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7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 Senior Notes due 2024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5.375 % Senior Notes due 2025</w:t>
            </w: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800,000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Unamortized premium costs</w:t>
            </w: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11,724</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Partnership revolving credit facility</w:t>
            </w: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240,500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1,701,912</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1,477,347</w:t>
            </w: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the Company issued $500.0 million in aggregate principal amount of 4.750% Senior Notes due 2024 (the “2024 Senior Notes”). The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2024 Senior Notes; provided, however, that the 2024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20, 2016, the Company issued $500.0 million in aggregate principal amount of 5.375% Senior Notes due 2025 (the “2025 Senior Notes”). The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facility or certain other debt guarantee the 2025 Senior Notes, provided, however, that the 2025 Senior Notes are not guaranteed by the Partnership, the General Partner, Viper Energy Partners LLC or Rattler Midstream LLC, and will not be guaranteed by any of the Company’s future unrestricted subsidiaries.</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29, 2018, the Company issued $300.0 million aggregate principal amount of new 5.375% Senior Notes due 2025 (the “New 2025 Notes”) as additional notes under, and subject to the terms of, the 2025 Indenture. The New 2025 Notes were issued in a transaction exempt from the registration requirements under the Securities Act. The Company received approximately $308.4 million in net proceeds, after deducting the initial purchaser’s discount and its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1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the Company’s assets, enter into transactions with affiliates, incur liens, engage in business other than the oil and natural gas business and designate certain of the Company’s subsidiaries as unrestricted subsidiaries.</w:t>
      </w:r>
    </w:p>
    <w:p>
      <w:pPr>
        <w:spacing w:after="0" w:line="19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(including the New 2025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(including the New 2025 Notes) at a price equal to 100% of the principal amount of the 2025 Senior Notes (including the New 2025 Notes) plus a “make-whole” premium and accrued and unpaid interest to the redemption date. In addition, any time prior to May 31, 2020, the Company may on any one or more occasions redeem the 2025 Senior Notes (including the New 2025 Notes) in an aggregate principal amount not to exceed 35% of the aggregate principal amount of the 2025 Senior Notes (including the New 2025 Notes) issued prior to such date at a redemption price of 105.375%, plus accrued and unpaid interest to the redemption date, with an amount equal to the net cash proceeds from certain equity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and Diamondback O&amp;G LLC, as borrower, entered into the second amended and restated credit agreement, dated November 1, 2013, as amended on June 9, 2014, November 13, 2014, June 21, 2016, December 15, 2016 and November 28, 2017, with a syndicate of banks, including Wells Fargo, as administrative agent, and its affiliate Wells Fargo Securities, LLC, as sole book runner and lead arranger. The credit agreement provides for a revolving credit facility in the maximum credit amount of $5.0 billion, subject to a borrowing base based on the Company’s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the Company may request up to two additional redeterminations of the borrowing base during any 12-month period. As of March 31, 2018, the borrowing base was set at $1.8 billion, the Company had elected a commitment amount of $1.0 billion and the Company had $166.0 million of outstanding borrowings under the revolving credit facility and $834.0 million available for future borrowings under its revolving credit facility.</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the credit agreement. As of December 31, 2017, the credit agreement is guaranteed by the Company, Diamondback E&amp;P LLC and Rattler Midstream LLC (formerly known as White Fang Energy LLC) and will also be guaranteed by any of the Company’s future subsidiaries that are classified as restricted subsidiaries under the credit agreement. The credit agreement is also secured by substantially all of the assets of the Company, Diamondback O&amp;G LLC and the guarantors.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the Company that is equal to an alternate base rate (which is equal to the greatest of the prime rate, the Federal Funds effective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plus 0.5%, and 3-month LIBOR plus 1.0%) or LIBOR, in each case plus the applicable margin. The applicable margin ranges from 0.25% to 1.25% in the case of the alternate base rate and from 1.25% to 2.25% in the case of LIBOR, each of which applicable margin rates is increased by 0.25% per annum if the total debt to EBITDAX ratio is greater than 3.0 to 1.0. The applicable margin depends on the amount of loans and letters of credit outstanding in relation to the commitment, which is defined as the least of the maximum credit amount, the borrowing base and the elected commitment amount. The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March 31, 2018 and December 31, 2017,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Partnership’s Credit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8, 2014, the Partnership entered into a secured revolving credit agreement with Wells Fargo, as administrative agent, and Wells Fargo Securities, as sole book runner and lead arranger. The credit agreement, as amended, provides for a revolving credit facility in the maximum credit amount of $2.0 billion and a borrowing base based on the Partnership’s oil and natural gas reserves and other factors (the “borrowing base”) of $400.0 million, subject to scheduled semi-annual and other elective borrowing base redeterminations. The borrowing base is scheduled to be re-determined semi-annually with effective dates of May 1st and November 1st. In addition, the Partnership may request up to three additional redeterminations of the borrowing base during any 12-month period. As of March 31, 2018, the borrowing base was set at $400.0 million, and the Partnership had $240.5 million of outstanding borrowings and $159.5 million available for future borrowings under its revolving credit facility.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the Partnership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Partnership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Partnership and its subsidiary’s assets.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Partnership’s credit agreement upon the occurrence and during the continuance of any event of default. The Partnership’s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completed no equity offerings during the three months ended March 31, 2018 and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Equity Offerings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$147.5 million, after deducting underwriting discounts and commissions and estimated offering expenses, of which the Partnership used $120.5 million to repay the outstanding borrowings under its revolving credit agreement and the balance was used for general partnership purposes, which included additional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7"/>
              </w:rPr>
              <w:t>(in thousands, except per share</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amounts)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162,812</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136,273</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98,555</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97"/>
        </w:trPr>
        <w:tc>
          <w:tcPr>
            <w:tcW w:w="8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98,769</w:t>
            </w:r>
          </w:p>
        </w:tc>
        <w:tc>
          <w:tcPr>
            <w:tcW w:w="4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93,364</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attributable to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Diluted net income attributable to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2018 and 2017, there were zero shares and 14 shares, respectively, that were not included in the computation of diluted earnings per share because their inclusion would have been anti-dilutive for the periods presented. These shares could dilute basic earnings per share in future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11.  EQUITY-BASED COMPENSATION</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900" w:type="dxa"/>
            <w:vAlign w:val="bottom"/>
          </w:tcPr>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900" w:type="dxa"/>
            <w:vAlign w:val="bottom"/>
          </w:tcPr>
          <w:p>
            <w:pPr>
              <w:spacing w:after="0"/>
              <w:rPr>
                <w:sz w:val="24"/>
                <w:szCs w:val="24"/>
                <w:color w:val="auto"/>
              </w:rPr>
            </w:pPr>
          </w:p>
        </w:tc>
        <w:tc>
          <w:tcPr>
            <w:tcW w:w="252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7,451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w w:val="96"/>
              </w:rPr>
              <w:t>Equity-based compensation capitalized pursuant to full cost method of accounting for oil and natural gas properties</w:t>
            </w:r>
          </w:p>
        </w:tc>
        <w:tc>
          <w:tcPr>
            <w:tcW w:w="30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2,641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units activity under the Equity Plan during the three months ended March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Arial" w:cs="Arial" w:eastAsia="Arial" w:hAnsi="Arial"/>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90.88</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73,763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113.78</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280" w:type="dxa"/>
            <w:vAlign w:val="bottom"/>
          </w:tcPr>
          <w:p>
            <w:pPr>
              <w:jc w:val="right"/>
              <w:spacing w:after="0"/>
              <w:rPr>
                <w:sz w:val="20"/>
                <w:szCs w:val="20"/>
                <w:color w:val="auto"/>
              </w:rPr>
            </w:pPr>
            <w:r>
              <w:rPr>
                <w:rFonts w:ascii="Arial" w:cs="Arial" w:eastAsia="Arial" w:hAnsi="Arial"/>
                <w:sz w:val="18"/>
                <w:szCs w:val="18"/>
                <w:color w:val="auto"/>
              </w:rPr>
              <w:t>(1,427)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94.43</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2018</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209,222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101.26</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restricted stock units that vested during the three months ended March 31, 2018 and 2017 was $9.2 million and $11.3 million, respectively. As of March 31, 2018, the Company’s unrecognized compensation cost related to unvested restricted stock awards and units was $17.3 million. Such cost is expected to be recognized over a weighted-average period of 1.8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two-year or three-year performance period.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2018, eligible employees received performance restricted stock unit awards totaling 117,423 units from which a minimum of 0% and a maximum of 200% units could be awarded. The awards have a performance period of January 1, 2018 to December 31, 2020 and cliff vest at December 31, 2020.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February 2018 awards.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9"/>
              </w:rPr>
              <w:t>2018</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8"/>
        </w:trPr>
        <w:tc>
          <w:tcPr>
            <w:tcW w:w="2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8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1"/>
              </w:rPr>
              <w:t>Three-Year Performance</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4"/>
        </w:trPr>
        <w:tc>
          <w:tcPr>
            <w:tcW w:w="29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170.45</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292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2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9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18"/>
        </w:trPr>
        <w:tc>
          <w:tcPr>
            <w:tcW w:w="11420" w:type="dxa"/>
            <w:vAlign w:val="bottom"/>
            <w:gridSpan w:val="8"/>
          </w:tcPr>
          <w:p>
            <w:pPr>
              <w:jc w:val="right"/>
              <w:spacing w:after="0"/>
              <w:rPr>
                <w:sz w:val="20"/>
                <w:szCs w:val="20"/>
                <w:color w:val="auto"/>
              </w:rPr>
            </w:pPr>
            <w:r>
              <w:rPr>
                <w:rFonts w:ascii="Arial" w:cs="Arial" w:eastAsia="Arial" w:hAnsi="Arial"/>
                <w:sz w:val="18"/>
                <w:szCs w:val="18"/>
                <w:color w:val="auto"/>
                <w:w w:val="97"/>
              </w:rPr>
              <w:t>The following table presents the Company’s performance restricted stock units activity under the Equity Plan for the three months ended March 31,</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2018.</w:t>
            </w: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0"/>
        </w:trPr>
        <w:tc>
          <w:tcPr>
            <w:tcW w:w="2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Performance Restricted</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2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Stock Units</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r>
      <w:tr>
        <w:trPr>
          <w:trHeight w:val="27"/>
        </w:trPr>
        <w:tc>
          <w:tcPr>
            <w:tcW w:w="640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4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spacing w:after="0"/>
              <w:rPr>
                <w:sz w:val="21"/>
                <w:szCs w:val="21"/>
                <w:color w:val="auto"/>
              </w:rPr>
            </w:pPr>
          </w:p>
        </w:tc>
        <w:tc>
          <w:tcPr>
            <w:tcW w:w="2620" w:type="dxa"/>
            <w:vAlign w:val="bottom"/>
            <w:gridSpan w:val="3"/>
          </w:tcPr>
          <w:p>
            <w:pPr>
              <w:jc w:val="right"/>
              <w:ind w:right="100"/>
              <w:spacing w:after="0"/>
              <w:rPr>
                <w:sz w:val="20"/>
                <w:szCs w:val="20"/>
                <w:color w:val="auto"/>
              </w:rPr>
            </w:pPr>
            <w:r>
              <w:rPr>
                <w:rFonts w:ascii="Arial" w:cs="Arial" w:eastAsia="Arial" w:hAnsi="Arial"/>
                <w:sz w:val="18"/>
                <w:szCs w:val="18"/>
                <w:color w:val="auto"/>
              </w:rPr>
              <w:t>285,737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130.96</w:t>
            </w:r>
          </w:p>
        </w:tc>
      </w:tr>
      <w:tr>
        <w:trPr>
          <w:trHeight w:val="27"/>
        </w:trPr>
        <w:tc>
          <w:tcPr>
            <w:tcW w:w="64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103.41</w:t>
            </w:r>
          </w:p>
        </w:tc>
      </w:tr>
      <w:tr>
        <w:trPr>
          <w:trHeight w:val="306"/>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Unvested at March 31, 2018</w:t>
            </w:r>
            <w:r>
              <w:rPr>
                <w:rFonts w:ascii="Arial" w:cs="Arial" w:eastAsia="Arial" w:hAnsi="Arial"/>
                <w:sz w:val="25"/>
                <w:szCs w:val="25"/>
                <w:color w:val="auto"/>
                <w:vertAlign w:val="superscript"/>
              </w:rPr>
              <w:t>(1)</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319,749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-26035</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-8890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A maximum of 639,498 units could be awarded based upon the Company’s final TSR ranking.</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2018, the Company’s unrecognized compensation cost related to unvested performance based restricted stock awards and units was $34.8 million. Such cost is expected to be recognized over a weighted-average period of 2.8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three months ended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Weighted Average Grant-</w:t>
            </w:r>
          </w:p>
        </w:tc>
      </w:t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b w:val="1"/>
                <w:bCs w:val="1"/>
                <w:color w:val="auto"/>
              </w:rPr>
              <w:t>Date</w:t>
            </w:r>
          </w:p>
        </w:tc>
      </w:tr>
      <w:tr>
        <w:trPr>
          <w:trHeight w:val="234"/>
        </w:trPr>
        <w:tc>
          <w:tcPr>
            <w:tcW w:w="7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105,439</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101,403</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23.18</w:t>
            </w:r>
          </w:p>
        </w:tc>
      </w:tr>
      <w:tr>
        <w:trPr>
          <w:trHeight w:val="27"/>
        </w:trPr>
        <w:tc>
          <w:tcPr>
            <w:tcW w:w="7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Unvested at March 31,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167,695</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19.56</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three months ended March 31, 2018 was $0.9 million. As of March 31, 2018, the unrecognized compensation cost related to unvested phantom units was $2.4 million. Such cost is expected to be recognized over a weighted-average period of 1.6 years.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Partnership</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Viper Advisory Services Agreement had an initial term of two years commencing on June 23, 2014, and will continue for additional one-year periods unless terminated in writing by either party at least ten days prior to the expiration of the then current term. The Partnership did not incur any costs during the three months ended March 31, 2018 or March 31, 2017 under the Viper Advisory Services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 - The Partnership</w:t>
      </w:r>
    </w:p>
    <w:p>
      <w:pPr>
        <w:spacing w:after="0" w:line="14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three months ended March 31, 2018, the Company did not pay the Partnership any lease bonus payments. During the three months ended March 31, 2017, the Company paid the Partnership $1,500 in lease bonus payments to extend the term of one lease, reflecting an average bonus of $400 per acre.</w:t>
      </w:r>
    </w:p>
    <w:p>
      <w:pPr>
        <w:spacing w:after="0" w:line="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effective income tax rates were 20.9% and 1.4% for the three months ended March 31, 2018 and 2017, respectively. Total income tax expense for the three months ended March 31, 2018 differed from amounts computed by applying the United States federal statutory tax rate to pre-tax income primarily due to current and deferred state income taxes, net income attributable to the non-controlling interest and the impact of permanent differences between book and taxable income. The Company recorded a discrete income tax benefit of approximately $0.2 million related to equity-based compensation for the three months ended March 31, 2018. Total income tax expense for the three months ended March 31, 2017 differed from amounts computed by applying the federal statutory rate to pre-tax income primarily due to state income taxes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Tax Cuts and Jobs Act, a historic reform of the U.S. federal income tax statutes, was enacted on December 22, 2017. As of the completion of the Company’s financial statements for the year ended December 31, 2017, the Company had substantially completed its accounting for the effects of the enactment of the Tax Cuts and Jobs Act and, with respect to those items for which the Company’s accounting was not complete, the Company made reasonable estimates of the effects on its deferred tax balances. At March 31, 2018, the Company has not made an adjustment to the provisional estimates recorded for the year ended December 31, 2017. The Company has considered in its estimated annual effective tax rate for 2018 the impact of the statutory changes enacted by the Tax Cuts and Jobs Act, including reasonable estimates of those provisions effective for the 2018 tax year.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discussed further in Note 17, on March 29, 2018, the Partnership announced that the Board of Directors of its General Partner had unanimously approved a change of the Partnership’s federal income tax status from that of a pass-through partnership to that of a taxable entity, which change became effective on May 10, 2018. The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be undertaken in connection with the change in the Partnership’s tax status are not expected to be taxable to the Company.</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DERIVATIVES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used fixed price swap contracts, fixed price basis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Midland price and the WTI Cushing price.</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derivative contracts are based upon reported settlement prices on commodity exchanges, with crude oil derivative settlements based on New York Mercantile Exchange West Texas Intermediate pricing and Crude Oil Brent, and with natural gas derivative settlements based on the New York Mercantile Exchange Henry Hub pricing.</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2018, the Company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Volume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Fixed Price Swap</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Fixed Price Swap</w:t>
            </w:r>
          </w:p>
        </w:tc>
      </w:tr>
      <w:tr>
        <w:trPr>
          <w:trHeight w:val="234"/>
        </w:trPr>
        <w:tc>
          <w:tcPr>
            <w:tcW w:w="5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(Bbls/MMBtu)</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(per Bbl/MMBtu)</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(Bbls/MMBtu)</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 Bbl/MMBtu)</w:t>
            </w:r>
          </w:p>
        </w:tc>
      </w:tr>
      <w:tr>
        <w:trPr>
          <w:trHeight w:val="27"/>
        </w:trPr>
        <w:tc>
          <w:tcPr>
            <w:tcW w:w="5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7,515,000</w:t>
            </w:r>
          </w:p>
        </w:tc>
        <w:tc>
          <w:tcPr>
            <w:tcW w:w="7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Oil Swaps - BRENT</w:t>
            </w:r>
          </w:p>
        </w:tc>
        <w:tc>
          <w:tcPr>
            <w:tcW w:w="1300" w:type="dxa"/>
            <w:vAlign w:val="bottom"/>
          </w:tcPr>
          <w:p>
            <w:pPr>
              <w:jc w:val="right"/>
              <w:spacing w:after="0"/>
              <w:rPr>
                <w:sz w:val="20"/>
                <w:szCs w:val="20"/>
                <w:color w:val="auto"/>
              </w:rPr>
            </w:pPr>
            <w:r>
              <w:rPr>
                <w:rFonts w:ascii="Arial" w:cs="Arial" w:eastAsia="Arial" w:hAnsi="Arial"/>
                <w:sz w:val="18"/>
                <w:szCs w:val="18"/>
                <w:color w:val="auto"/>
              </w:rPr>
              <w:t>1,650,000</w:t>
            </w:r>
          </w:p>
        </w:tc>
        <w:tc>
          <w:tcPr>
            <w:tcW w:w="78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4,125,000</w:t>
            </w:r>
          </w:p>
        </w:tc>
        <w:tc>
          <w:tcPr>
            <w:tcW w:w="7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Natural Gas Swaps</w:t>
            </w:r>
          </w:p>
        </w:tc>
        <w:tc>
          <w:tcPr>
            <w:tcW w:w="1300" w:type="dxa"/>
            <w:vAlign w:val="bottom"/>
          </w:tcPr>
          <w:p>
            <w:pPr>
              <w:jc w:val="right"/>
              <w:spacing w:after="0"/>
              <w:rPr>
                <w:sz w:val="20"/>
                <w:szCs w:val="20"/>
                <w:color w:val="auto"/>
              </w:rPr>
            </w:pPr>
            <w:r>
              <w:rPr>
                <w:rFonts w:ascii="Arial" w:cs="Arial" w:eastAsia="Arial" w:hAnsi="Arial"/>
                <w:sz w:val="18"/>
                <w:szCs w:val="18"/>
                <w:color w:val="auto"/>
              </w:rPr>
              <w:t>5,500,000</w:t>
            </w:r>
          </w:p>
        </w:tc>
        <w:tc>
          <w:tcPr>
            <w:tcW w:w="78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March 31, 2018 and December 31, 2017.</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 2018</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assets presented in the Consolidated Balance Sheet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amounts of assets presented in the Consolidated Balance Sheet</w:t>
            </w:r>
          </w:p>
        </w:tc>
        <w:tc>
          <w:tcPr>
            <w:tcW w:w="30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r>
      <w:tr>
        <w:trPr>
          <w:trHeight w:val="31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Gross amounts of liabilities presented in the Consolidated Balance Sheet</w:t>
            </w:r>
          </w:p>
        </w:tc>
        <w:tc>
          <w:tcPr>
            <w:tcW w:w="3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106,177</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106,670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liabilities presented in the Consolidated Balance Sheet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106,670</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2018</w:t>
            </w:r>
          </w:p>
        </w:tc>
        <w:tc>
          <w:tcPr>
            <w:tcW w:w="30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gridSpan w:val="3"/>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99,685</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100,367</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3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3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r>
      <w:tr>
        <w:trPr>
          <w:trHeight w:val="257"/>
        </w:trPr>
        <w:tc>
          <w:tcPr>
            <w:tcW w:w="69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106,177</w:t>
            </w: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106,670</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52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7"/>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39,375</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Loss on settlement of non-hedge derivative instruments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(32,307)</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7"/>
        </w:trPr>
        <w:tc>
          <w:tcPr>
            <w:tcW w:w="8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37,701</w:t>
            </w:r>
          </w:p>
        </w:tc>
      </w:tr>
      <w:tr>
        <w:trPr>
          <w:trHeight w:val="20"/>
        </w:trPr>
        <w:tc>
          <w:tcPr>
            <w:tcW w:w="8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Level 1 - Observable inputs that reflect unadjusted quoted prices for identical assets or liabilities in active markets as of the reporting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derivative instruments.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March 31, 2018 and December 31, 2017.</w:t>
      </w:r>
    </w:p>
    <w:p>
      <w:pPr>
        <w:spacing w:after="0" w:line="112" w:lineRule="exact"/>
        <w:rPr>
          <w:sz w:val="20"/>
          <w:szCs w:val="20"/>
          <w:color w:val="auto"/>
        </w:rPr>
      </w:pPr>
    </w:p>
    <w:p>
      <w:pPr>
        <w:ind w:left="7580"/>
        <w:spacing w:after="0"/>
        <w:tabs>
          <w:tab w:leader="none" w:pos="9600" w:val="left"/>
        </w:tabs>
        <w:rPr>
          <w:sz w:val="20"/>
          <w:szCs w:val="20"/>
          <w:color w:val="auto"/>
        </w:rPr>
      </w:pPr>
      <w:r>
        <w:rPr>
          <w:rFonts w:ascii="Arial" w:cs="Arial" w:eastAsia="Arial" w:hAnsi="Arial"/>
          <w:sz w:val="18"/>
          <w:szCs w:val="18"/>
          <w:b w:val="1"/>
          <w:bCs w:val="1"/>
          <w:color w:val="auto"/>
        </w:rPr>
        <w:t>March 31, 2018</w:t>
      </w:r>
      <w:r>
        <w:rPr>
          <w:sz w:val="20"/>
          <w:szCs w:val="20"/>
          <w:color w:val="auto"/>
        </w:rPr>
        <w:tab/>
      </w:r>
      <w:r>
        <w:rPr>
          <w:rFonts w:ascii="Arial" w:cs="Arial" w:eastAsia="Arial" w:hAnsi="Arial"/>
          <w:sz w:val="15"/>
          <w:szCs w:val="15"/>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price swaps: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Quoted prices in active markets level 1</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Significant other observable inputs level 2</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(106,177)</w:t>
            </w:r>
          </w:p>
        </w:tc>
        <w:tc>
          <w:tcPr>
            <w:tcW w:w="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(106,139)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Significant unobservable inputs level 3</w:t>
            </w:r>
          </w:p>
        </w:tc>
        <w:tc>
          <w:tcPr>
            <w:tcW w:w="7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(106,177)</w:t>
            </w: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(106,139)</w:t>
            </w:r>
          </w:p>
        </w:tc>
      </w:tr>
      <w:tr>
        <w:trPr>
          <w:trHeight w:val="20"/>
        </w:trPr>
        <w:tc>
          <w:tcPr>
            <w:tcW w:w="7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60" w:type="dxa"/>
            <w:vAlign w:val="bottom"/>
            <w:gridSpan w:val="2"/>
          </w:tcPr>
          <w:p>
            <w:pPr>
              <w:ind w:left="1140"/>
              <w:spacing w:after="0"/>
              <w:rPr>
                <w:sz w:val="20"/>
                <w:szCs w:val="20"/>
                <w:color w:val="auto"/>
              </w:rPr>
            </w:pPr>
            <w:r>
              <w:rPr>
                <w:rFonts w:ascii="Arial" w:cs="Arial" w:eastAsia="Arial" w:hAnsi="Arial"/>
                <w:sz w:val="18"/>
                <w:szCs w:val="18"/>
                <w:b w:val="1"/>
                <w:bCs w:val="1"/>
                <w:color w:val="auto"/>
              </w:rPr>
              <w:t>March 31, 2018</w:t>
            </w:r>
          </w:p>
        </w:tc>
        <w:tc>
          <w:tcPr>
            <w:tcW w:w="33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20" w:type="dxa"/>
            <w:vAlign w:val="bottom"/>
          </w:tcPr>
          <w:p>
            <w:pPr>
              <w:spacing w:after="0"/>
              <w:rPr>
                <w:sz w:val="20"/>
                <w:szCs w:val="20"/>
                <w:color w:val="auto"/>
              </w:rPr>
            </w:pPr>
          </w:p>
        </w:tc>
      </w:tr>
      <w:tr>
        <w:trPr>
          <w:trHeight w:val="270"/>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60" w:type="dxa"/>
            <w:vAlign w:val="bottom"/>
          </w:tcPr>
          <w:p>
            <w:pPr>
              <w:ind w:left="480"/>
              <w:spacing w:after="0"/>
              <w:rPr>
                <w:sz w:val="20"/>
                <w:szCs w:val="20"/>
                <w:color w:val="auto"/>
              </w:rPr>
            </w:pPr>
            <w:r>
              <w:rPr>
                <w:rFonts w:ascii="Arial" w:cs="Arial" w:eastAsia="Arial" w:hAnsi="Arial"/>
                <w:sz w:val="18"/>
                <w:szCs w:val="18"/>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20" w:type="dxa"/>
            <w:vAlign w:val="bottom"/>
          </w:tcPr>
          <w:p>
            <w:pPr>
              <w:ind w:left="46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397,000</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4.750% Senior Notes due 2024</w:t>
            </w:r>
          </w:p>
        </w:tc>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496,250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501,855</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5.375% Senior Notes due 2025</w:t>
            </w:r>
          </w:p>
        </w:tc>
        <w:tc>
          <w:tcPr>
            <w:tcW w:w="1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800,000</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813,200</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515,000</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Partnership revolving credit facility</w:t>
            </w:r>
          </w:p>
        </w:tc>
        <w:tc>
          <w:tcPr>
            <w:tcW w:w="1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37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the revolving credit facility and the Partnership’s revolving credit facility approximates their carrying value based on borrowing rates available to the Company for bank loans with similar terms and maturities and is classified as Level 2 in the fair value hierarchy. The fair value of the Senior Notes was determined using the March 31, 2018 quoted market price, a Level 1 classification in the fair value hierarchy.</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owners may be paid for production from their leases, environmental issues and other matters. Management believes it has complied with the various laws and regulations, administrative rulings and interpretations.</w:t>
      </w:r>
    </w:p>
    <w:p>
      <w:pPr>
        <w:spacing w:after="0" w:line="166" w:lineRule="exact"/>
        <w:rPr>
          <w:sz w:val="20"/>
          <w:szCs w:val="20"/>
          <w:color w:val="auto"/>
        </w:rPr>
      </w:pPr>
    </w:p>
    <w:p>
      <w:pPr>
        <w:ind w:left="660" w:right="9040" w:hanging="652"/>
        <w:spacing w:after="0" w:line="566" w:lineRule="auto"/>
        <w:tabs>
          <w:tab w:leader="none" w:pos="41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color w:val="auto"/>
        </w:rPr>
        <w:t>Commodity Contracts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March 31, 2018, the Company entered into new fixed price swaps and three-way costless collars. The Company’s derivative contracts are based upon reported settlement prices on commodity exchanges, with crude oil derivative settlements based on New York Mercantile Exchange West Texas Intermediate pricing and Crude Oil Brent.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March 31, 2018. When aggregating multiple contracts, the weighted average contract price is disclosed.</w:t>
      </w:r>
    </w:p>
    <w:p>
      <w:pPr>
        <w:spacing w:after="0" w:line="112"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5"/>
              </w:rPr>
              <w:t>Fixed Price Swap (per</w:t>
            </w:r>
          </w:p>
        </w:tc>
      </w:tr>
      <w:tr>
        <w:trPr>
          <w:trHeight w:val="234"/>
        </w:trPr>
        <w:tc>
          <w:tcPr>
            <w:tcW w:w="4480" w:type="dxa"/>
            <w:vAlign w:val="bottom"/>
          </w:tcPr>
          <w:p>
            <w:pPr>
              <w:spacing w:after="0"/>
              <w:rPr>
                <w:sz w:val="20"/>
                <w:szCs w:val="20"/>
                <w:color w:val="auto"/>
              </w:rPr>
            </w:pPr>
          </w:p>
        </w:tc>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Volume (Bbls/MMBtu)</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Bbl/MMBtu)</w:t>
            </w:r>
          </w:p>
        </w:tc>
        <w:tc>
          <w:tcPr>
            <w:tcW w:w="660" w:type="dxa"/>
            <w:vAlign w:val="bottom"/>
          </w:tcPr>
          <w:p>
            <w:pPr>
              <w:spacing w:after="0"/>
              <w:rPr>
                <w:sz w:val="20"/>
                <w:szCs w:val="20"/>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2019 - December 2019</w:t>
            </w:r>
          </w:p>
        </w:tc>
        <w:tc>
          <w:tcPr>
            <w:tcW w:w="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Oil Swaps - WTI</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57.96</w:t>
            </w:r>
          </w:p>
        </w:tc>
      </w:tr>
      <w:tr>
        <w:trPr>
          <w:trHeight w:val="621"/>
        </w:trPr>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gridSpan w:val="5"/>
          </w:tcPr>
          <w:p>
            <w:pPr>
              <w:jc w:val="right"/>
              <w:ind w:right="470"/>
              <w:spacing w:after="0"/>
              <w:rPr>
                <w:sz w:val="20"/>
                <w:szCs w:val="20"/>
                <w:color w:val="auto"/>
              </w:rPr>
            </w:pPr>
            <w:r>
              <w:rPr>
                <w:rFonts w:ascii="Arial" w:cs="Arial" w:eastAsia="Arial" w:hAnsi="Arial"/>
                <w:sz w:val="18"/>
                <w:szCs w:val="18"/>
                <w:b w:val="1"/>
                <w:bCs w:val="1"/>
                <w:i w:val="1"/>
                <w:iCs w:val="1"/>
                <w:color w:val="auto"/>
              </w:rPr>
              <w:t>January 2019 - June 2019</w:t>
            </w:r>
          </w:p>
        </w:tc>
        <w:tc>
          <w:tcPr>
            <w:tcW w:w="660" w:type="dxa"/>
            <w:vAlign w:val="bottom"/>
          </w:tcPr>
          <w:p>
            <w:pPr>
              <w:spacing w:after="0"/>
              <w:rPr>
                <w:sz w:val="24"/>
                <w:szCs w:val="24"/>
                <w:color w:val="auto"/>
              </w:rPr>
            </w:pPr>
          </w:p>
        </w:tc>
      </w:tr>
      <w:tr>
        <w:trPr>
          <w:trHeight w:val="27"/>
        </w:trPr>
        <w:tc>
          <w:tcPr>
            <w:tcW w:w="4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i w:val="1"/>
                <w:iCs w:val="1"/>
                <w:color w:val="auto"/>
              </w:rPr>
              <w:t>WTI</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Brent</w:t>
            </w:r>
          </w:p>
        </w:tc>
        <w:tc>
          <w:tcPr>
            <w:tcW w:w="660" w:type="dxa"/>
            <w:vAlign w:val="bottom"/>
          </w:tcPr>
          <w:p>
            <w:pPr>
              <w:spacing w:after="0"/>
              <w:rPr>
                <w:sz w:val="20"/>
                <w:szCs w:val="20"/>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1,810,000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724,000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Short put price (per Bbl)</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4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9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1"/>
                <w:szCs w:val="21"/>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77.85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Proposed Tax Status Election and Related Transactions of the Partnership</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March 29, 2018, the Partnership announced that the Board of Directors of its General Partner had unanimously approved a change of the Partnership’s federal income tax status from that of a pass-through partnership to that of a taxable entity via a “check the box” election (the “Tax Status Election”). In connection with making this election, on May 9, 2018, the Partnership (i) amended and restated its First Amended and Restated Partnership Agreement, (ii) amended and restated the First Amended and Restated Limited Liability Company Agreement of Viper Energy Partners LLC (the “Operating Company”), (iii) amended and restated its existing registration rights agreement with Diamondback and (iv) entered into an exchange agreement with Diamondback, the General Partner and the Operating Company. Simultaneously with the effectiveness of these agreements, Diamondback delivered and assigned to the Partnership the 73,150,000 common units it owned in exchange for (i) 73,150,000 newly-issued Class B Units of the Partnership and (ii) 73,150,000 newly-issued units of the Operating Company pursuant to the terms of a Recapitalization Agreement dated March 28, 2018, as amended as of May 9, 2018. The Tax Status Election was effective on May 10, 2018. On that date, pursuant to the terms of the Recapitalization Agreement, (i) the General Partner made a cash capital contribution of $1.0 million to the Partnership in respect of its general partner interest and (ii) the Company made a cash capital contribution of $1.0 million to the Partnership in respect of its Class B Units. The Company, as the holder of the Class B Units, and the General Partner, as the holder of the general partner interest, are entitled to receive an 8% annual distribution on the outstanding amount of these capital contributions, payable quarterly, as a return on their invested capital. None of the transactions undertaken as part of the change in the Partnership’s tax status are expected to be taxable to the Company. On May 10, 2018, the Company also exchanged 731,500 Class B Units and 731,500 units in the Operating Company for 731,500 common units of the Partnership and a cash amount of $10,000 representing a proportionate return of the $1.0 million invested capital made in respect of the Class B Units.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Company’s spring 2018 redetermination, the agent lender under the credit agreement has recommended that the Company’s borrowing base be increased to $2.0 billion. This increase is subject to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3"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of the required other lenders. Notwithstanding such adjustment, the Company intends to continue to limit the lenders’ aggregate commitment to $1.0 billion.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Partnership’s Credit Facility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connection with the Partnership’s spring 2018 redetermination, the agent lender under the credit agreement has recommended that the Partnership’s borrowing base be increased to $475.0 million. This increase is subject to approval of the required other lenders.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GUARANTOR FINANCIAL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March 31, 2018, Diamondback E&amp;P LLC and Diamondback O&amp;G LLC (the “Guarantor Subsidiaries”) are guarantors under the indentures relating to the 2024 Senior Notes and the 2025 Senior Notes, as supplemented. In connection with the issuance of the 2024 Senior Notes and the 2025 Senior Notes (including the New 2025 Senior Notes), the Partnership, the General Partner, Viper Energy Partners LLC and Rattler Midstream LLC were designated as Non-Guarantor Subsidiaries. The following presents condensed consolidated financial information for the Company (which for purposes of this Note 18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72,487</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207,407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28,873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236,280</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2,869,030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654,684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(3,523,714)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8,963</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5,838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6,737</w:t>
            </w:r>
          </w:p>
        </w:tc>
      </w:tr>
      <w:tr>
        <w:trPr>
          <w:trHeight w:val="256"/>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2,897,815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902,981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53,890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(3,530,219)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324,467</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8,390,912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1,258,327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9,648,825</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295,161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295,161</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82,095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82,095</w:t>
            </w: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(2,074,783)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(2,274,909)</w:t>
            </w:r>
          </w:p>
        </w:tc>
      </w:tr>
      <w:tr>
        <w:trPr>
          <w:trHeight w:val="25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6,693,385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1,057,335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7,751,172</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Funds held in escrow</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3,992,760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(3,992,760)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Investment in real estate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109,103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109,103</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21,312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40,136</w:t>
            </w:r>
          </w:p>
        </w:tc>
      </w:tr>
      <w:tr>
        <w:trPr>
          <w:trHeight w:val="283"/>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6,890,575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7,726,791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1,130,049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(7,522,527)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8,224,888</w:t>
            </w:r>
          </w:p>
        </w:tc>
      </w:tr>
      <w:tr>
        <w:trPr>
          <w:trHeight w:val="251"/>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payable-trade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63,129</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3,530,219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(3,530,219)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516,910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544,539</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25,711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4,109,682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2,494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(3,530,219)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607,668</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1,295,412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240,500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1,701,912</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6,492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6,492</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21,258</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152,369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152,369</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 term liabilities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1,473,492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4,303,439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242,994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(3,530,219)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2,489,706</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5,417,083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3,423,352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887,055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(4,310,407)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5,417,083</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318,099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318,099</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5,417,083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3,423,352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887,055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(3,992,308)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5,735,182</w:t>
            </w:r>
          </w:p>
        </w:tc>
      </w:tr>
      <w:tr>
        <w:trPr>
          <w:trHeight w:val="243"/>
        </w:trPr>
        <w:tc>
          <w:tcPr>
            <w:tcW w:w="4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6,890,575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7,726,791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1,130,049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(7,522,527)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8,224,888</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205,859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231,613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2,624,810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2,267,308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(4,892,118)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9,108</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2,679,502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2,520,911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55,448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358,601</w:t>
            </w:r>
          </w:p>
        </w:tc>
        <w:tc>
          <w:tcPr>
            <w:tcW w:w="0" w:type="dxa"/>
            <w:vAlign w:val="bottom"/>
          </w:tcPr>
          <w:p>
            <w:pPr>
              <w:spacing w:after="0"/>
              <w:rPr>
                <w:sz w:val="1"/>
                <w:szCs w:val="1"/>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8,129,211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1,103,897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9,232,694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191,519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191,519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80,776</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(1,976,248)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(2,161,372)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6,425,258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914,431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7,343,617</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25,609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62,463</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91,629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2,960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94,590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4,765,193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7,236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472,933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482,838</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139,304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5,329,755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577,428</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986,847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1,477,347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20,122</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108,048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1,234,199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5,753,180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99,129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2,189,248</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(4,132,506)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5,254,860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(3,805,629)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5,581,737</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363,581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55,687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419,268</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14,378</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28,985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4,128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33,113</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11,395</w:t>
            </w: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operating income</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r>
      <w:tr>
        <w:trPr>
          <w:trHeight w:val="250"/>
        </w:trPr>
        <w:tc>
          <w:tcPr>
            <w:tcW w:w="436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417,752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480,195</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37,345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37,345</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27,304</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4,285</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11,189</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100,216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11,525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115,216</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16,325</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355</w:t>
            </w: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operating expense</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w:t>
            </w:r>
          </w:p>
        </w:tc>
      </w:tr>
      <w:tr>
        <w:trPr>
          <w:trHeight w:val="250"/>
        </w:trPr>
        <w:tc>
          <w:tcPr>
            <w:tcW w:w="4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7,490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183,459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18,740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212,549</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234,293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267,646</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(13,701)</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2,736</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(32,345)</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Gain on revaluation of investment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50"/>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(8,809)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(32,180)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(42,411)</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(16,299)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202,113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225,235</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47,081</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(63,380)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202,113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42,896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178,154</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15,342</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(63,380)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202,113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42,896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162,812</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178,230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28,844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207,074</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9,922</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13,643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15,502</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1,602</w:t>
            </w: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1,130</w:t>
            </w:r>
          </w:p>
        </w:tc>
      </w:tr>
      <w:tr>
        <w:trPr>
          <w:trHeight w:val="250"/>
        </w:trPr>
        <w:tc>
          <w:tcPr>
            <w:tcW w:w="432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201,578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235,230</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26,626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26,626</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15,725</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2,476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2,619</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50,891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7,847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58,929</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13,744</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323</w:t>
            </w:r>
          </w:p>
        </w:tc>
      </w:tr>
      <w:tr>
        <w:trPr>
          <w:trHeight w:val="256"/>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99,934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12,202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118,820</w:t>
            </w:r>
          </w:p>
        </w:tc>
      </w:tr>
      <w:tr>
        <w:trPr>
          <w:trHeight w:val="24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101,644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116,410</w:t>
            </w:r>
          </w:p>
        </w:tc>
      </w:tr>
      <w:tr>
        <w:trPr>
          <w:trHeight w:val="27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(10,808)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(12,225)</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37,701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37,701</w:t>
            </w:r>
          </w:p>
        </w:tc>
      </w:tr>
      <w:tr>
        <w:trPr>
          <w:trHeight w:val="250"/>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(9,716)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37,750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26,621</w:t>
            </w:r>
          </w:p>
        </w:tc>
      </w:tr>
      <w:tr>
        <w:trPr>
          <w:trHeight w:val="250"/>
        </w:trPr>
        <w:tc>
          <w:tcPr>
            <w:tcW w:w="43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(16,824)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139,394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143,031</w:t>
            </w:r>
          </w:p>
        </w:tc>
      </w:tr>
      <w:tr>
        <w:trPr>
          <w:trHeight w:val="27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1,957</w:t>
            </w:r>
          </w:p>
        </w:tc>
      </w:tr>
      <w:tr>
        <w:trPr>
          <w:trHeight w:val="24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(18,781)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139,394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20,652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141,074</w:t>
            </w: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4,801</w:t>
            </w:r>
          </w:p>
        </w:tc>
      </w:tr>
      <w:tr>
        <w:trPr>
          <w:trHeight w:val="24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(18,781)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139,394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20,652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136,273</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300" w:top="283" w:right="2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263,320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339,427</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(280,015)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(38,395)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(38,395)</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(16,011)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(150,013)</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(86,679)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86,679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real estate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(109,664)</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(86,679)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(348,383)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(584,931)</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224,000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312,000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33,649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(33,649)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(18,737)</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(308,000)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308,000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33,957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76,977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94,611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205,545</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(39,959)</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28,247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26,089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18,151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72,487</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175,927</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(116,174)</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(11,918)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(1,760,810)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(1,760,810)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(8,579)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(48,329)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119,340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119,340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(1,660,917)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1,660,917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(1,660,917)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(1,825,479)</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147,725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147,725</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358</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18,692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(6,482)</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20,418</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(1,642,315)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(1,629,134)</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1,666,574</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37,440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3" w:right="239" w:bottom="1440" w:gutter="0" w:footer="0" w:header="0"/>
        </w:sectPr>
      </w:pPr>
    </w:p>
    <w:bookmarkStart w:id="36" w:name="page37"/>
    <w:bookmarkEnd w:id="36"/>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2017.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ind w:left="660"/>
              <w:spacing w:after="0"/>
              <w:rPr>
                <w:sz w:val="20"/>
                <w:szCs w:val="20"/>
                <w:color w:val="auto"/>
              </w:rPr>
            </w:pPr>
            <w:r>
              <w:rPr>
                <w:rFonts w:ascii="Arial" w:cs="Arial" w:eastAsia="Arial" w:hAnsi="Arial"/>
                <w:sz w:val="18"/>
                <w:szCs w:val="18"/>
                <w:color w:val="auto"/>
              </w:rPr>
              <w:t>The following table sets forth our production data for the periods indicated:</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878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
        </w:trPr>
        <w:tc>
          <w:tcPr>
            <w:tcW w:w="87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780" w:type="dxa"/>
            <w:vAlign w:val="bottom"/>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87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780" w:type="dxa"/>
            <w:vAlign w:val="bottom"/>
          </w:tcPr>
          <w:p>
            <w:pPr>
              <w:spacing w:after="0"/>
              <w:rPr>
                <w:sz w:val="20"/>
                <w:szCs w:val="20"/>
                <w:color w:val="auto"/>
              </w:rPr>
            </w:pP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7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we had approximately 207,336 net acres, which consisted of approximately 102,511 net acres in the Northern Midland Basin and approximately 104,825 net acres in the Southern Delaware Basin. We have an estimated 3,800 gross horizontal locations that we believe to be economic at $60 per Bbl West Texas Intermediate, or WTI.</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first quarter of 2018, we again demonstrated our operational focus on achieving best-in-class execution, low-cost operations and a conservative balance sheet as we continued to reduce operating expenses while improving cash operating margins on a per BOE and percentage basis. In doing so, we achieved another quarter of robust production growth within cash flow, which has allowed us to maintain what we believe to be a peer leading leverage ratio. We are currently operating 11 drilling rigs and five completion crews and plan to operate between 10 and 12 drilling rigs for the remainder of 2018 at current commodity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Update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During the three months ended March 31, 2018, we drilled 41 gross (36 net) operated horizontal wells, of which 14 gross (13 net) wells were in the Delaware Basin and the remaining wells were in the Midland Basin, and turned 35 gross (30 net) operated horizontal wells into production, of which six gross (six net) wells were in the Delaware Basin and the remaining wells were in the Midland Basin.</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operating 11 drilling rigs and intend to operate between 10 and 12 drilling rigs during 2018 across our asset base in the Midland and Delaware Basins, based on current commodity prices. We plan to operate six to seven of these drilling rigs in the Midland Basin targeting horizontal development of the Wolfcamp and Spraberry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formations, while the remainder of the drilling rigs are expected to operate in the Delaware Basin targeting the Wolfcamp and Bone Spring formations.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Midland Basin, we continue to see positive well results from our core development areas in Midland, Glasscock, Howard, Andrews and Martin counties. Assuming commodity prices at current levels, we anticipate operating between six and seven drilling rigs across our Northern Midland Basin acreage for the remainder of 2018.</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Delaware Basin, we are currently operating five drilling rigs, with plans to operate between five and six drilling rigs for the remainder of 2018. Our 2018 development plan is primarily focused on long-lateral Wolfcamp A wells in Pecos, Reeves and Ward counties. Additionally, in 2018 we expect to conduct further appraisal of the Second Bone Spring interval in Pecos county as well as the Wolfcamp B interval in Reeves and Ward counties.</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continue to focus on low cost operations and best in class execution. In doing so, we are focused on controlling oilfield service costs as our service providers seek additional pricing increases after a prolonged period of declining costs in 2015 and 2016. To combat rising service costs, we have taken proactive measures such as securing frac sand supply for future well completions and will continue to seek opportunities to control and de-bundle additional costs where possible. We believe that our 2018 drilling and completion budget covers potential increases in our service costs during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3E3E3E"/>
        </w:rPr>
        <w:t>Proposed Tax Status Election and Related Transactions by Viper</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March 29, 2018, Viper announced that the Board of Directors of its general partner had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Viper Energy Partners LLC, or the Operating Company, (iii) amended and restated its existing registration rights agreement with us and (iv) entered into an exchange agreement with us, Viper’s general partner, or the General Partner, and the Operating Company. Simultaneously with the effectiveness of these agreements, we delivered and assigned to Viper the 73,150,000 common units we owned in exchange for (i) 73,150,000 of Viper’s newly-issued Class B units and (ii) 73,150,000 newly-issued units of the Operating Company pursuant to the terms of a Recapitalization Agreement dated March 28, 2018, as amended as of May 9, 2018, or the Recapitalization Agreement. Immediately following that exchange, Viper continued to be the managing member of the Operating Company, with sole control of its operations, and owned approximately 36% of the outstanding units issued by the Operating Company, and we owned the remaining approximately 64% of the outstanding units issued by the Operating Company. The Operating Company units and Viper’s Class B units owned by us are exchangeable from time to time for Viper’s common units (that is, one Operating Company unit and one Viper Class B unit, together, will be exchangeable for one Viper common unit).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10, 2018, the change in Viper’s income tax status became effective. On that date, pursuant to the terms of the Recapitalization Agreement,</w:t>
      </w:r>
    </w:p>
    <w:p>
      <w:pPr>
        <w:spacing w:after="0" w:line="46" w:lineRule="exact"/>
        <w:rPr>
          <w:sz w:val="20"/>
          <w:szCs w:val="20"/>
          <w:color w:val="auto"/>
        </w:rPr>
      </w:pPr>
    </w:p>
    <w:p>
      <w:pPr>
        <w:jc w:val="both"/>
        <w:ind w:firstLine="8"/>
        <w:spacing w:after="0" w:line="267" w:lineRule="auto"/>
        <w:tabs>
          <w:tab w:leader="none" w:pos="2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General Partner made a cash capital contribution of $1.0 million to Viper in respect of its general partner interest and (ii) we made a cash capital contribution of $1.0 million to Viper in respect of the Class B Units. We,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we also exchanged 731,500 Class B Units and 731,500 units in the Operating Company for 731,500 common units of Viper and a cash amount of $10,000 representing a proportionate return of the $1.0 million invested capital in respect of the Class B Units. The General Partner, our wholly-owned subsidiary, continues to serve as Viper’s general partner. Accordingly, we continue to control Viper and its financial results will continue to be consolidated with ours. None of the transactions undertaken as part of the change in Viper’s tax status are expected to be taxable to us. After the effectiveness of the tax status election and the completion of related transactions, Viper’s minerals business will continue to be conducted through the Operating Company, which will be taxed as a partnership for federal and state income tax purposes. This structure is anticipated to provide significant benefits to Viper’s business, including operational effectiveness, acquisition and disposition transactional planning flexibility and income tax efficiency. For additional information regarding the tax status election and related transactions, please refer to Viper’s Definitive Information Statement on Schedule 14C filed with the SEC on April 17, 2018.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table summarizes our average daily production for the periods presented:</w:t>
      </w:r>
    </w:p>
    <w:p>
      <w:pPr>
        <w:spacing w:after="0" w:line="16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22860</wp:posOffset>
            </wp:positionV>
            <wp:extent cx="1586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9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(Bbls)/d</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75,557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46,201</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Natural Gas (Mcf)/d</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72,728</w:t>
            </w:r>
          </w:p>
        </w:tc>
        <w:tc>
          <w:tcPr>
            <w:tcW w:w="1040" w:type="dxa"/>
            <w:vAlign w:val="bottom"/>
          </w:tcPr>
          <w:p>
            <w:pPr>
              <w:jc w:val="right"/>
              <w:spacing w:after="0"/>
              <w:rPr>
                <w:sz w:val="20"/>
                <w:szCs w:val="20"/>
                <w:color w:val="auto"/>
              </w:rPr>
            </w:pPr>
            <w:r>
              <w:rPr>
                <w:rFonts w:ascii="Arial" w:cs="Arial" w:eastAsia="Arial" w:hAnsi="Arial"/>
                <w:sz w:val="18"/>
                <w:szCs w:val="18"/>
                <w:color w:val="auto"/>
              </w:rPr>
              <w:t>40,923</w:t>
            </w:r>
          </w:p>
        </w:tc>
      </w:tr>
      <w:tr>
        <w:trPr>
          <w:trHeight w:val="27"/>
        </w:trPr>
        <w:tc>
          <w:tcPr>
            <w:tcW w:w="8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(Bbls)/d</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14,929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Total average production per day (BOE)</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102,607</w:t>
            </w:r>
          </w:p>
        </w:tc>
        <w:tc>
          <w:tcPr>
            <w:tcW w:w="1040" w:type="dxa"/>
            <w:vAlign w:val="bottom"/>
          </w:tcPr>
          <w:p>
            <w:pPr>
              <w:jc w:val="right"/>
              <w:spacing w:after="0"/>
              <w:rPr>
                <w:sz w:val="20"/>
                <w:szCs w:val="20"/>
                <w:color w:val="auto"/>
              </w:rPr>
            </w:pPr>
            <w:r>
              <w:rPr>
                <w:rFonts w:ascii="Arial" w:cs="Arial" w:eastAsia="Arial" w:hAnsi="Arial"/>
                <w:sz w:val="18"/>
                <w:szCs w:val="18"/>
                <w:color w:val="auto"/>
              </w:rPr>
              <w:t>61,610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average daily production for the three months ended March 31, 2018 as compared to the three months ended March 31, 2017 increased 40,997 BOE/d, or 66.5%.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main sources of revenues are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ind w:left="660"/>
              <w:spacing w:after="0"/>
              <w:rPr>
                <w:sz w:val="20"/>
                <w:szCs w:val="20"/>
                <w:color w:val="auto"/>
              </w:rPr>
            </w:pPr>
            <w:r>
              <w:rPr>
                <w:rFonts w:ascii="Arial" w:cs="Arial" w:eastAsia="Arial" w:hAnsi="Arial"/>
                <w:sz w:val="18"/>
                <w:szCs w:val="18"/>
                <w:color w:val="auto"/>
              </w:rPr>
              <w:t>The following table presents the breakdown of our revenues for the following periods:</w:t>
            </w: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8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8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8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8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Oil sales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8880" w:type="dxa"/>
            <w:vAlign w:val="bottom"/>
          </w:tcPr>
          <w:p>
            <w:pPr>
              <w:ind w:left="280"/>
              <w:spacing w:after="0"/>
              <w:rPr>
                <w:sz w:val="20"/>
                <w:szCs w:val="20"/>
                <w:color w:val="auto"/>
              </w:rPr>
            </w:pPr>
            <w:r>
              <w:rPr>
                <w:rFonts w:ascii="Arial" w:cs="Arial" w:eastAsia="Arial" w:hAnsi="Arial"/>
                <w:sz w:val="18"/>
                <w:szCs w:val="18"/>
                <w:color w:val="auto"/>
              </w:rPr>
              <w:t>Natural gas sales</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liquid sales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880" w:type="dxa"/>
            <w:vAlign w:val="bottom"/>
          </w:tcPr>
          <w:p>
            <w:pPr>
              <w:spacing w:after="0"/>
              <w:rPr>
                <w:sz w:val="20"/>
                <w:szCs w:val="20"/>
                <w:color w:val="auto"/>
              </w:rPr>
            </w:pPr>
          </w:p>
        </w:tc>
        <w:tc>
          <w:tcPr>
            <w:tcW w:w="1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Since our production consists primarily of oil, our revenues are more sensitive to fluctuations in oil prices than they are to fluctuations in natural gas or natural gas liquids prices. Oil, natural gas and natural gas liquids prices have historically been volatile. During 2017, WTI posted prices ranged from $42.48 to $60.46 per Bbl and the Henry Hub spot market price of natural gas ranged from $2.44 to $3.71 per MMBtu. During the first three months of 2018, WTI posted prices ranged from $59.20 to $66.27 per Bbl and the Henry Hub spot market price of natural gas ranged from $2.49 to $6.24 per MMBtu. On March 29, 2018, the WTI posted price for crude oil was $64.87 per Bbl and the Henry Hub spot market price of natural gas was $2.81 per MMBtu.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(in thousands, except Bbl, Mcf and</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BOE amounts)</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Oil, natural gas and natural gas liquids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466,759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232,498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bonus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11,395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income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480,195</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235,230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Lease operating expenses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37,345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26,626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Gathering and transportation</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4,285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Midstream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115,216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58,929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212,549</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118,820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267,646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116,410</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(32,345)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revaluation of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(42,411)</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26,621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225,235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143,031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47,081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178,154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141,074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15,342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Diamondback Energy,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162,812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136,273</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562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998220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Production Data:</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Oil (MBbls)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Natural gas (MMcf)</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Natural gas liquids (MBbls)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Combined volumes (MBOE)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Daily combined volumes (BOE/d)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Average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Oil (per Bbl)</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Natural gas (per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Natural gas liquids (per Bbl)</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Combined (per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p>
      <w:pPr>
        <w:ind w:left="500"/>
        <w:spacing w:after="0" w:line="225" w:lineRule="auto"/>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Average Costs per BOE: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Production and ad valorem taxes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Gathering and transportation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General and administrative - cash component</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 -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 - non-cash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Depreciation, depletion and amortization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realized oil price ($/Bbl)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NYMEX ($/Bbl)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Differential to NYMEX</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realized oil price to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realized natural gas price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NYMEX ($/Mcf)</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Differential to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realized natural gas price to NYMEX</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1972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00"/>
        <w:spacing w:after="0"/>
        <w:tabs>
          <w:tab w:leader="none" w:pos="21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1972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6,800</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4,158</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6,546</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3,683</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1,344</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773</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9,235</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5,545</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102,607</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61,610</w:t>
            </w:r>
          </w:p>
        </w:tc>
      </w:tr>
      <w:tr>
        <w:trPr>
          <w:trHeight w:val="77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61.66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49.80</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2.69</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24.64</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20.05</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50.55</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41.93</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56.82</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49.40</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2.69</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47.05</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41.63</w:t>
            </w:r>
          </w:p>
        </w:tc>
      </w:tr>
      <w:tr>
        <w:trPr>
          <w:trHeight w:val="77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4.04</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4.80</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2.96</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2.84</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0.46</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0.47</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0.96</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1.20</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8.42</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9.31</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3"/>
        </w:trPr>
        <w:tc>
          <w:tcPr>
            <w:tcW w:w="44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0.81</w:t>
            </w:r>
          </w:p>
        </w:tc>
        <w:tc>
          <w:tcPr>
            <w:tcW w:w="5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1.28</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12.48</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10.63</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2.20</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14.77</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14.11</w:t>
            </w:r>
          </w:p>
        </w:tc>
      </w:tr>
      <w:tr>
        <w:trPr>
          <w:trHeight w:val="27"/>
        </w:trPr>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3"/>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61.66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49.80</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62.91</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51.62</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5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(1.82)</w:t>
            </w:r>
          </w:p>
        </w:tc>
      </w:tr>
      <w:tr>
        <w:trPr>
          <w:trHeight w:val="270"/>
        </w:trPr>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50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2.69</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3.08</w:t>
            </w:r>
          </w:p>
        </w:tc>
        <w:tc>
          <w:tcPr>
            <w:tcW w:w="5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3.02</w:t>
            </w:r>
          </w:p>
        </w:tc>
      </w:tr>
      <w:tr>
        <w:trPr>
          <w:trHeight w:val="270"/>
        </w:trPr>
        <w:tc>
          <w:tcPr>
            <w:tcW w:w="4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(0.88)</w:t>
            </w:r>
          </w:p>
        </w:tc>
        <w:tc>
          <w:tcPr>
            <w:tcW w:w="5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(0.33)</w:t>
            </w:r>
          </w:p>
        </w:tc>
      </w:tr>
      <w:tr>
        <w:trPr>
          <w:trHeight w:val="270"/>
        </w:trPr>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0" w:lineRule="exact"/>
        <w:rPr>
          <w:sz w:val="20"/>
          <w:szCs w:val="20"/>
          <w:color w:val="auto"/>
        </w:rPr>
      </w:pPr>
    </w:p>
    <w:p>
      <w:pPr>
        <w:sectPr>
          <w:pgSz w:w="11900" w:h="16838" w:orient="portrait"/>
          <w:cols w:equalWidth="0" w:num="2">
            <w:col w:w="7600" w:space="720"/>
            <w:col w:w="3100"/>
          </w:cols>
          <w:pgMar w:left="240" w:top="742" w:right="239" w:bottom="1440" w:gutter="0" w:footer="0" w:header="0"/>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($/Bbl)</w:t>
            </w:r>
          </w:p>
        </w:tc>
        <w:tc>
          <w:tcPr>
            <w:tcW w:w="2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24.64</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20.05</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Average NYMEX oil price ($/Bbl)</w:t>
            </w:r>
          </w:p>
        </w:tc>
        <w:tc>
          <w:tcPr>
            <w:tcW w:w="24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62.91</w:t>
            </w:r>
          </w:p>
        </w:tc>
        <w:tc>
          <w:tcPr>
            <w:tcW w:w="5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51.62</w:t>
            </w:r>
          </w:p>
        </w:tc>
      </w:tr>
      <w:tr>
        <w:trPr>
          <w:trHeight w:val="27"/>
        </w:trPr>
        <w:tc>
          <w:tcPr>
            <w:tcW w:w="6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to NYMEX oil price</w:t>
            </w:r>
          </w:p>
        </w:tc>
        <w:tc>
          <w:tcPr>
            <w:tcW w:w="2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4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Oil, Natural Gas and Natural Gas Liquids Revenues. </w:t>
      </w:r>
      <w:r>
        <w:rPr>
          <w:rFonts w:ascii="Arial" w:cs="Arial" w:eastAsia="Arial" w:hAnsi="Arial"/>
          <w:sz w:val="17"/>
          <w:szCs w:val="17"/>
          <w:color w:val="auto"/>
        </w:rPr>
        <w:t>Our oil, natural gas and natural gas liquids revenues increased by approximately $234.3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101%, to $466.8 million for the three months ended March 31, 2018 from $232.5 million for the three months ended March 31, 2017. Our revenues are a function of oil, natural gas and natural gas liquids production volumes sold and average sales prices received for those volumes. Average daily production sold increased by 40,997 BOE/d to 102,607 BOE/d during the three months ended March 31, 2018 from 61,610 BOE/d during the three months ended March 31, 2017. The total increase in revenue of approximately $234.3 million is largely attributable to higher oil, natural gas and natural gas liquids production volumes and higher average sales prices for the three months ended March 31, 2018 as compared to the three months ended March 31, 2017. The increases in production volumes were due to a combination of increased drilling activity and growth through acquisitions. Our production increased by 2,642,003 Bbls of oil, 570,623 Bbls of natural gas liquids and 2,862,436 Mcf of natural gas for the three months ended March 31, 2018 as compared to the three months ended March 31, 2017.</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$83.6 million (calculated as the change in period-to-period average prices multiplied by current period production volumes of oil, natural gas and natural gas liquids) and the net dollar effect of the increase in production of approximately $150.7 million (calculated as the increase in period-to-period volumes for oil, natural gas and natural gas liquids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Change in prices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11.86</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6,800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80,611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6,546</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6,167</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83,571</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Change in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49.80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131,535</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11,444</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150,690</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Bonus Revenue. </w:t>
      </w:r>
      <w:r>
        <w:rPr>
          <w:rFonts w:ascii="Arial" w:cs="Arial" w:eastAsia="Arial" w:hAnsi="Arial"/>
          <w:sz w:val="18"/>
          <w:szCs w:val="18"/>
          <w:color w:val="auto"/>
        </w:rPr>
        <w:t>During the three months ended March 31, 2018, we did not receive any lease bonus revenue. Lease bonus revenue was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2017 attributable to lease bonus payments to extend the term of one lease, reflecting an average bonus of $2,500 per acre.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$11.4 million for the three months ended March 31, 2018, an increase of $10.3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$1.1 million for the three months ended March 31, 2017. We began generating midstream services revenue during the first quarter of 2017 and, prior to that period, had no midstream services revenue.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$37.3 million ($4.04 per BOE) for the three months ended March 31, 2018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$26.6 million ($4.80 per BOE) for the three months ended March 31, 2017. The decrease in lease operating expense per BOE was a result of higher production volumes.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2" w:name="page43"/>
    <w:bookmarkEnd w:id="42"/>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$27.3 million for the three months ended March 31, 2018,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$11.6 million, or 74%, from $15.7 million for the three months ended March 31, 2017. In general, production taxes and ad valorem taxes are directly related to commodity price changes; however, Texas ad valorem taxes are based upon prior year commodity prices, among other factors, whereas production taxes are based upon current year commodity prices. During the three months ended March 31, 2018, our production and ad valorem taxes per BOE increased by $0.12 as compared to the three months ended March 31, 2017, primarily due to increased commodity prices and production volumes.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Midstream services expense was $11.2 million for the three months ended March 31, 2018, an increase of $10.3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$0.9 million for the three months ended March 31, 2017. Prior to the first quarter of 2017, we had no midstream services expense. Midstream services expense represents costs incurred to operate and maintain our oil and natural gas gathering and transportation systems, natural gas lift, compression infrastructure and water transportation facilities.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$56.3 million, or 96%, to $115.2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2018 from $58.9 million for the three months ended March 31,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108,987</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58,138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4,502</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115,216</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58,929</w:t>
            </w:r>
          </w:p>
        </w:tc>
      </w:tr>
      <w:tr>
        <w:trPr>
          <w:trHeight w:val="23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48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7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$50.8 million for the three months ended March 31, 2018 as compared to the three months ended March 31, 2017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$2.6 million from $13.7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2017 to $16.3 million for the three months ended March 31, 2018. The increase was primarily due to an increase in salaries and benefits.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three months ended March 31, 2018 was $13.7 million as compared to $12.2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2017, an increase of $1.5 million. This increase was due to a higher interest rate and increased borrowings during the three months ended March 31, 2018 as compared to the three months ended March 31, 2017.</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Derivatives. </w:t>
      </w:r>
      <w:r>
        <w:rPr>
          <w:rFonts w:ascii="Arial" w:cs="Arial" w:eastAsia="Arial" w:hAnsi="Arial"/>
          <w:sz w:val="17"/>
          <w:szCs w:val="17"/>
          <w:color w:val="auto"/>
        </w:rPr>
        <w:t>We are required to recognize all derivative instruments on the balance sheet as either assets or liabilities measured at fair value.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three months ended March 31, 2018 and 2017, we had a cash loss on settlement of derivative instruments of $32.3 million and $1.7 million, respectively. For the three months ended March 31, 2018, we had a negative change in the fair value of open derivative instruments of $38,000 as compared to a positive change of $39.4 million for the three months ended March 31, 2017.</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We recorded an income tax provision of $47.1 million and $2.0 million for the three months ended March 31,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respectively. The change in our income tax provision was primarily due to the increase in pre-tax book income for the three months ended March 31, 2018 as compared to the three months ended March 31, 2017, and the change in the valuation allowance for the three months ended March 31,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Cash Flow</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Our cash flows for the three months ended March 31, 2018 and 2017 are presented below:</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339,427</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175,927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(584,931)</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(1,825,479)</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205,545</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20,418</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Net decrease in cash</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(39,959)</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(1,629,134)</w:t>
            </w:r>
          </w:p>
        </w:tc>
      </w:tr>
      <w:tr>
        <w:trPr>
          <w:trHeight w:val="20"/>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$339.4 million for the three months ended March 31, 2018 as compared to $175.9 million for the three months ended March 31, 2017. The increase in operating cash flows is primarily the result of an increase in our oil and natural gas revenues due to an increase in average prices and production growth during the three months ended March 31, 2018.</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Net cash used in investing activities was $584.9 million and $1,825.5 million during the three months ended March 31, 2018 and 2017, respectively.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three months ended March 31, 2018, we spent (a) $280.0 million on capital expenditures in conjunction with our development program, in which we drilled 41 gross (36 net) operated horizontal wells, of which 14 gross (13 net) wells were in the Delaware Basin and the remaining wells were in the Midland Basin, and turned 35 gross (30 net) operated horizontal wells into production, of which six gross (six net) wells were in the Delaware Basin and the remaining wells were in the Midland Basin, (b) $38.4 million on additions to midstream assets, (c) $16.0 million on leasehold acquisitions, (d) $150.0 million for the acquisition of mineral interests and (e) $1.9 million for the purchase of other property and equipment.</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three months ended March 31, 2017, we spent (a) $116.2 million on capital expenditures in conjunction with our drilling program and related infrastructure projects, in which we drilled 28 gross (23 net) horizontal wells, completed 26 gross (20 net) horizontal wells and participated in the drilling of six gross (one net) non-operated wells in the Permian Basin, (b) $1,760.8 million on leasehold acquisitions, (c) $48.3 million for the acquisition of midstream assets, (d) $8.6 million on mineral interest acquisitions and (e) $11.9 million for the purchase of other property and equipment.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Our investing activities for the three months ended March 31, 2018 and 2017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8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(280,015)</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(116,174)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Additions to midstream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(38,395)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leasehold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(1,760,810)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Acquisition of mineral interests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(150,013)</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(8,579)</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midstream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Purchase of other property, equipment and land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(11,918)</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(109,664)</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1,238</w:t>
            </w:r>
          </w:p>
        </w:tc>
      </w:tr>
      <w:tr>
        <w:trPr>
          <w:trHeight w:val="27"/>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held in escrow</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10,989</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119,340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(584,931)</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(1,825,479)</w:t>
            </w:r>
          </w:p>
        </w:tc>
      </w:tr>
      <w:tr>
        <w:trPr>
          <w:trHeight w:val="20"/>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cash provided by financing activities for the three months ended March 31, 2018 and 2017 was $205.5 million and $20.4 million, respectively. During the three months ended March 31, 2018, the amount provided by financing activities was primarily attributable to the issuance of $300.0 million of new senior notes and $12.0 million of premium on proceeds of the new senior notes, partially offset by $84.0 million of repayments, net of borrowings, and $18.7 million of distributions to non-controlling interest. The 2017 amount provided by financing activities was primarily attributable to $147.7 million of proceeds from Viper’s January 2017 equity offering, partially offset by $120.5 million of repayments, net of borrowings, under Viper’s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we issued $500.0 million in aggregate principal amount of 4.750% senior notes due 2024, which we refer to as the 2024 senior notes. 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LLC, and will not be guaranteed by any of the our future unrestricted subsidiaries.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2024 senior notes were issued under, and are governed by, an indenture among us, the subsidiary guarantors party thereto and Wells Fargo, as the trustee, as supplemented. The 2024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6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we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we may on any one or more occasions redeem the 2024 senior notes in an aggregate principal amount not to exceed 35% of the aggregate principal amount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of the 2024 senior notes issued prior to such date at a redemption price of 104.750%, plus accrued and unpaid interest to the redemption date, with an amount equal to the net cash proceeds from certain equity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20, 2016, we issued $500.0 million in aggregate principal amount of 5.375% senior notes due 2025, which we refer to as the exiting 2025 notes, under an indenture (which, as may be amended or supplemented from time to time, is referred to as the 2025 Indenture) among us, the subsidiary guarantors party thereto and Wells Fargo, as the trustee. On July 27, 2017, we exchanged all of the existing 2025 notes for substantially identical notes in the same aggregate principal amount that were registered under the Securities Act.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29, 2018, we issued $300.0 million aggregate principal amount of new 5.375% senior notes due 2025, which we refer to as the new 2025 notes, as additional notes under the 2025 Indenture. The new 2025 notes were issued in a transaction exempt from the registration requirements under the Securities Act. We refer to the new 2025 notes, together with the existing 2025 notes, as the 2025 senior notes.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19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LLC, and will not be guaranteed by any of our future unrestricted subsidiaries.</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2025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we may on any one or more occasions redeem all or a portion of the 2025 senior notes at a price equal to 100% of the principal amount of the 2025 senior notes plus a “make-whole” premium and accrued and unpaid interest to the redemption date. In addition, any time prior to May 31, 2020, we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a registration rights agreement executed in connection with the issuance of the new 2025 notes, we and our subsidiary guarantors agreed to file, subject to certain conditions, a registration statement relating to the new 2025 notes with the SEC pursuant to which we will either offer to exchange the new 2025 notes for registered notes with substantially identical terms or, in certain circumstances, register the resale of the new 2025 notes. Additional interest on the new 2025 notes may become payable if we do not comply with our obligations under the registration rights agreement relating to the new 2025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credit agreement dated November 1, 2013, as amended and restated, with a syndicate of banks, including Wells Fargo, as administrative agent, and its affiliate Wells Fargo Securities, LLC, as sole book runner and lead arranger, provides for a revolving credit facility in the maximum credit amount of $5.0 billion, subject to a borrowing base based on our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we may request up to two additional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redeterminations of the borrowing base during any 12-month period. As of March 31, 2018, the borrowing base was set at $1.8 billion, we had elected a commitment amount of $1.0 billion and we had borrowings of $166.0 million outstanding under the revolving credit facility and $834.0 million available for future borrowings under our revolving credit facility. In connection with our spring 2018 redetermination, the agent lender under the credit agreement has recommended that our borrowing base be increased to $2.0 billion. This increase is subject to approval of the required other lenders. Notwithstanding such adjustment, we intend to continue to limit the lenders’ aggregate commitment to $1.0 billion.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our credit agreement. As of March 31, 2018, the credit agreement is guaranteed by us, Diamondback E&amp;P LLC and Rattler Midstream LLC (formerly known as White Fang Energy LLC) and will also be guaranteed by any of our future subsidiaries that are classified as restricted subsidiaries under the credit agreement. The credit agreement is also secured by substantially all of our assets and the assets of Diamondback O&amp;G LLC and the guarantors.</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us that is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each of which applicable margin rates is increased by 0.25% per annum if the total debt to EBITDAX ratio is greater than 3.0 to 1.0. The applicable margin depends on the amount of loans and letters of credit outstanding in relation to the commitment, which is defined as the least of the maximum credit amount, the borrowing base and the elected commitment amount. We are obligated to pay a quarterly commitment fee ranging from 0.375% to 0.500% per year on the unused portion of the borrowing base, which fee is also dependent on the amount of loans and letters of credit outstanding in relation to the commitment. Loan principal may be optionally repaid from time to time without premium or penalty (other than customary LIBOR breakage), and is required to be repaid</w:t>
      </w:r>
    </w:p>
    <w:p>
      <w:pPr>
        <w:spacing w:after="0" w:line="1" w:lineRule="exact"/>
        <w:rPr>
          <w:sz w:val="20"/>
          <w:szCs w:val="20"/>
          <w:color w:val="auto"/>
        </w:rPr>
      </w:pPr>
    </w:p>
    <w:p>
      <w:pPr>
        <w:jc w:val="both"/>
        <w:ind w:firstLine="8"/>
        <w:spacing w:after="0" w:line="255" w:lineRule="auto"/>
        <w:tabs>
          <w:tab w:leader="none" w:pos="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2018,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8, 2014, Viper entered into a secured revolving credit agreement with Wells Fargo, as administrative agent, and Wells Fargo Securities, as sole book runner and lead arranger. The credit agreement, as amended, provides for a revolving credit facility in the maximum credit amount of $2.0 billion and a borrowing base based on Viper’s oil and natural gas reserves and other factors (the “borrowing base”) of $400.0 million, subject to scheduled semi-annual and other elective borrowing base redeterminations. The borrowing base is scheduled to be re-determined semi-annually with effective dates of May 1st and November 1st. In addition, Viper may request up to three additional redeterminations of the borrowing base during any 12-month period. As of March 31, 2018, the borrowing base was set at $400.0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and Viper had $240.5 million of outstanding borrowings and $159.5 million available for future borrowings under its revolving credit facility. In connection with Viper’s spring 2018 redetermination, the agent lender under the credit agreement has recommended that Viper’s borrowing base be increased to $475.0 million. This increase is subject to approval of the required other lenders.</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outstanding borrowings under Viper’s credit agreement bear interest at a per annum rate elected by Viper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w:t>
      </w:r>
    </w:p>
    <w:p>
      <w:pPr>
        <w:spacing w:after="0" w:line="3" w:lineRule="exact"/>
        <w:rPr>
          <w:sz w:val="20"/>
          <w:szCs w:val="20"/>
          <w:color w:val="auto"/>
        </w:rPr>
      </w:pPr>
    </w:p>
    <w:p>
      <w:pPr>
        <w:jc w:val="both"/>
        <w:ind w:firstLine="8"/>
        <w:spacing w:after="0" w:line="254" w:lineRule="auto"/>
        <w:tabs>
          <w:tab w:leader="none" w:pos="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Viper and its subsidiary’s assets.</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Viper’s revolving credit facility upon the occurrence and during the continuance of any event of default. Viper’s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approved a 2018 capital budget for drilling and infrastructure of approximately $1.3 billion to $1.5 billion, representing an increase of 60% over our 2017 capital budget. We estimate that, of these expenditures, approximately:</w:t>
      </w:r>
    </w:p>
    <w:p>
      <w:pPr>
        <w:spacing w:after="0" w:line="170"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$1,175.0 million to $1,325.0 million will be spent on drilling and completing 170 to 190 gross (146 to 163 net) horizontal wells across our operated leasehold acreage in the Northern Midland and Southern Delaware Basins;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$125.0 million to $175.0 million will be spent on infrastructure and other expenditures, excluding the cost of any leasehold and mineral interest acquisitions.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March 31, 2018, our aggregate capital expenditures for our development program were $280.0 million. We do not have a specific acquisition budget since the timing and size of acquisitions cannot be accurately forecasted. During the three months ended March 31, 2018, we spent approximately $16.0 million in cash on acquisitions of leasehold interests and mineral acres.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648"/>
        <w:spacing w:after="0" w:line="255" w:lineRule="auto"/>
        <w:rPr>
          <w:sz w:val="20"/>
          <w:szCs w:val="20"/>
          <w:color w:val="auto"/>
        </w:rPr>
      </w:pPr>
      <w:r>
        <w:rPr>
          <w:rFonts w:ascii="Arial" w:cs="Arial" w:eastAsia="Arial" w:hAnsi="Arial"/>
          <w:sz w:val="18"/>
          <w:szCs w:val="18"/>
          <w:color w:val="auto"/>
        </w:rPr>
        <w:t>The amount and timing of these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11 drilling rigs and five completion crews. We will continue monitoring commodity prices and overall market conditions and can adjust our rig cadence up or down in response to changes in commodity prices and overall market conditions.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current oil and natural gas prices and production expectations for 2018, we believe that our cash flow from operations, cash on hand and borrowings under our revolving credit facility will be sufficient to fund our operations through year-end 2018. However, future cash flows are subject to a number of variables, including the level of oil and natural gas production and prices, and significant additional capital expenditures will be required to more fully develop our properties. Further, our 2018 capital expenditure budget does not allocate any funds for leasehold interest and property acquisitions.</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discussed in Note 16 of the Notes to the Consolidated Financial Statements of this report, there were no material changes to our contractual obligations and other commitments, as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off-balance sheet arrangements as of March 31, 2018. Please read Note 16 included in Notes to the Consolidated Financial Statements set forth in Part I, Item 1 of this report,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price swap derivatives, including basis swaps and costless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308" w:lineRule="auto"/>
        <w:rPr>
          <w:sz w:val="20"/>
          <w:szCs w:val="20"/>
          <w:color w:val="auto"/>
        </w:rPr>
      </w:pPr>
      <w:r>
        <w:rPr>
          <w:rFonts w:ascii="Arial" w:cs="Arial" w:eastAsia="Arial" w:hAnsi="Arial"/>
          <w:sz w:val="17"/>
          <w:szCs w:val="17"/>
          <w:color w:val="auto"/>
        </w:rPr>
        <w:t>Our derivative contracts are based upon reported settlement prices on commodity exchanges, with crude oil derivative settlements based on NYMEX West Texas Intermediate pricing and Crude Oil - Brent and with natural gas derivative settlements based on NYMEX Henry Hub pricing.</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March 31, 2018 and December 31, 2017, we had a net liability derivative position of $106.2 million and $106.7 million, respectively, related to our price swap derivatives. Utilizing actual derivative contractual volumes under our fixed price swaps as of March 31, 2018, a 10% increase in forward curves associated with the underlying commodity would have increased the net liability position to $172.8 million, an increase of $66.6 million, while a 10% decrease in forward curves associated with the underlying commodity would have decreased the net asset derivative position to $39.6 million, a decrease of $66.6 million. However, any cash derivative gain or loss would be substantially offset by a decrease or increase, respectively, in the actual sales value of production covered by the derivative instrument.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$71.0 million at March 31, 2018) and receivables from the sale of our oil and natural gas production (approximately $165.3 million at March 31, 2018).</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three months ended March 31, 2018, two purchasers each accounted for more than 10% of our revenue: Shell Trading (US) Company (30%) and Koch Supply &amp; Trading LP (20%). For the three months ended March 31, 2017, three purchasers each accounted for more than 10% of our revenue: Shell Trading (US) Company (42%); Koch Supply &amp; Trading LP (18%); and Enterprise Crude Oil LLC (14%). No other customer accounted for more than 10% of our revenue during these periods.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March 31, 2018, we had five customers that represented approximately 86% of our total joint operations receivables. At December 31, 2017, we had three customers that represented approximately 74% of our total joint operations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2018, we had $166.0 million in outstanding borrowings under our revolving credit facility. Our weighted average interest rate on borrowings under our revolving credit facility was 3.05%. An increase or decrease of 1% in the interest rate would have a corresponding decrease or increase in our interest expense of approximately $1.7 million based on an aggregate of $166.0 million outstanding under our revolving credit facility as of March 31, 2018.</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2018,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2018,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March 31, 2018 that have materially affected, or are reasonably likely to materially affect, internal controls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information set forth in this report, you should carefully consider the risk factors discussed in Part I, Item 1A. Risk Factors 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2017. There have been no material changes in our risk factors from those described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1" w:name="page52"/>
    <w:bookmarkEnd w:id="51"/>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700" w:type="dxa"/>
            <w:vAlign w:val="bottom"/>
            <w:gridSpan w:val="8"/>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10200" w:type="dxa"/>
            <w:vAlign w:val="bottom"/>
            <w:gridSpan w:val="1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96"/>
        </w:trPr>
        <w:tc>
          <w:tcPr>
            <w:tcW w:w="1220" w:type="dxa"/>
            <w:vAlign w:val="bottom"/>
            <w:tcBorders>
              <w:righ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3.1</w:t>
            </w:r>
          </w:p>
        </w:tc>
        <w:tc>
          <w:tcPr>
            <w:tcW w:w="10200" w:type="dxa"/>
            <w:vAlign w:val="bottom"/>
            <w:gridSpan w:val="13"/>
            <w:shd w:val="clear" w:color="auto" w:fill="CCEEFF"/>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Amended and Restated Certificate of Incorporation of the Company (incorporated by reference to Exhibit 3.1 to the Form 10-Q, File No.</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24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001-35700, filed by the Company with the SEC on November 16, 2012).</w:t>
              </w:r>
            </w:hyperlink>
          </w:p>
        </w:tc>
        <w:tc>
          <w:tcPr>
            <w:tcW w:w="492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3.2</w:t>
            </w:r>
          </w:p>
        </w:tc>
        <w:tc>
          <w:tcPr>
            <w:tcW w:w="10200" w:type="dxa"/>
            <w:vAlign w:val="bottom"/>
            <w:gridSpan w:val="13"/>
          </w:tcPr>
          <w:p>
            <w:pPr>
              <w:spacing w:after="0" w:line="202"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Amended and Restated Bylaws of the Company (incorporated by reference to Exhibit 3.2 to the Form 10-Q, File No. 001-35700, filed by the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 xml:space="preserve">Specimen certificate for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of the Company (incorporated by reference to Exhibit 4.1 to</w:t>
              </w:r>
            </w:hyperlink>
          </w:p>
        </w:tc>
      </w:tr>
      <w:tr>
        <w:trPr>
          <w:trHeight w:val="20"/>
        </w:trPr>
        <w:tc>
          <w:tcPr>
            <w:tcW w:w="1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3"/>
            <w:shd w:val="clear" w:color="auto" w:fill="CCEEFF"/>
          </w:tcPr>
          <w:p>
            <w:pPr>
              <w:spacing w:after="0" w:line="196"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Amendment No. 4 to the Registration Statement on Form S-1, File No. 333-179502, filed by the Company with the SEC on August 20,</w:t>
              </w:r>
            </w:hyperlink>
          </w:p>
        </w:tc>
      </w:tr>
      <w:tr>
        <w:trPr>
          <w:trHeight w:val="20"/>
        </w:trPr>
        <w:tc>
          <w:tcPr>
            <w:tcW w:w="1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300" w:type="dxa"/>
            <w:vAlign w:val="bottom"/>
            <w:gridSpan w:val="2"/>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2012).</w:t>
              </w:r>
            </w:hyperlink>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4.2</w:t>
            </w:r>
          </w:p>
        </w:tc>
        <w:tc>
          <w:tcPr>
            <w:tcW w:w="10200" w:type="dxa"/>
            <w:vAlign w:val="bottom"/>
            <w:gridSpan w:val="13"/>
          </w:tcPr>
          <w:p>
            <w:pPr>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Registration Rights Agreement, dated as of October 11, 2012, by and between the Company and DB Energy Holdings LLC (incorporated by</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reference to Exhibit 4.2 to the Form 10-Q, File No. 001-35700, filed by the Company with the SEC on November 16, 2012).</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4.3</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Investor Rights Agreement, dated as of October 11, 2012, by and between the Company and Gulfport Energy Corporation (incorporated by</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reference to Exhibit 4.3 to the Form 10-Q, File No. 001-35700, filed by the Company with the SEC on November 16,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4.4</w:t>
            </w:r>
          </w:p>
        </w:tc>
        <w:tc>
          <w:tcPr>
            <w:tcW w:w="10200" w:type="dxa"/>
            <w:vAlign w:val="bottom"/>
            <w:gridSpan w:val="13"/>
          </w:tcPr>
          <w:p>
            <w:pPr>
              <w:spacing w:after="0" w:line="202"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Indenture, dated as of October 28, 2016, among Diamondback Energy, Inc., the guarantors party thereto and Wells Fargo Bank, National</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Association, as trustee (including the form of Diamondback Energy, Inc.’s 4.750 % Senior Notes due 2024) (incorporated by reference to</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Exhibit 4.1 to the Form 8-K , File No. 001-35700, filed by the Company with the SEC on November 2, 2016).</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4.5</w:t>
            </w:r>
          </w:p>
        </w:tc>
        <w:tc>
          <w:tcPr>
            <w:tcW w:w="1016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Indenture, dated as of December 20, 2016, among Diamondback Energy, Inc., the guarantors party thereto and Wells Fargo Bank, National</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bottom w:val="single" w:sz="8" w:color="CCEEFF"/>
              <w:right w:val="single" w:sz="8" w:color="CCEEFF"/>
            </w:tcBorders>
            <w:shd w:val="clear" w:color="auto" w:fill="CCEEFF"/>
          </w:tcPr>
          <w:p>
            <w:pPr>
              <w:spacing w:after="0"/>
              <w:rPr>
                <w:sz w:val="17"/>
                <w:szCs w:val="17"/>
                <w:color w:val="auto"/>
              </w:rPr>
            </w:pPr>
          </w:p>
        </w:tc>
        <w:tc>
          <w:tcPr>
            <w:tcW w:w="1016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Association, as trustee (including the form of Diamondback Energy, Inc.’s 5.375% Senior Notes due 2025) (incorporated by reference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3"/>
            <w:shd w:val="clear" w:color="auto" w:fill="CCEEFF"/>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Exhibit 4.1 to the Form 8-K, File No. 001-35700, filed by the Company with the SEC on December 21, 2016).</w:t>
              </w:r>
            </w:hyperlink>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4.6</w:t>
            </w:r>
          </w:p>
        </w:tc>
        <w:tc>
          <w:tcPr>
            <w:tcW w:w="10200" w:type="dxa"/>
            <w:vAlign w:val="bottom"/>
            <w:gridSpan w:val="13"/>
          </w:tcPr>
          <w:p>
            <w:pPr>
              <w:spacing w:after="0" w:line="202"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First Supplemental Indenture, dated as of January 29, 2018, among Diamondback Energy, Inc., the guarantors party thereto and Wells Fargo</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Bank, National Association, as trustee (incorporated by reference to Exhibit 4.3 to the Form 8-K, File No. 001-35700, filed by the Company</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with the SEC on January 30, 2018).</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4.7</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Registration Rights Agreement, dated as of January 29, 2018, among Diamondback Energy, Inc., the guarantors party thereto and Wells</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3"/>
            <w:shd w:val="clear" w:color="auto" w:fill="CCEEFF"/>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Fargo Securities, LLC (incorporated by reference to Exhibit 4.1 to the Form 8-K, File No. 001-35700, filed by the Company with the SEC on</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January 30,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4.8</w:t>
            </w:r>
          </w:p>
        </w:tc>
        <w:tc>
          <w:tcPr>
            <w:tcW w:w="10200" w:type="dxa"/>
            <w:vAlign w:val="bottom"/>
            <w:gridSpan w:val="13"/>
          </w:tcPr>
          <w:p>
            <w:pPr>
              <w:spacing w:after="0" w:line="202" w:lineRule="exact"/>
              <w:rPr>
                <w:rFonts w:ascii="Arial" w:cs="Arial" w:eastAsia="Arial" w:hAnsi="Arial"/>
                <w:sz w:val="18"/>
                <w:szCs w:val="18"/>
                <w:color w:val="0000FF"/>
                <w:w w:val="96"/>
              </w:rPr>
            </w:pPr>
            <w:hyperlink r:id="rId52">
              <w:r>
                <w:rPr>
                  <w:rFonts w:ascii="Arial" w:cs="Arial" w:eastAsia="Arial" w:hAnsi="Arial"/>
                  <w:sz w:val="18"/>
                  <w:szCs w:val="18"/>
                  <w:color w:val="0000FF"/>
                  <w:w w:val="96"/>
                </w:rPr>
                <w:t>Registration Rights Agreement, dated as of February 28, 2017, by and among Diamondback Energy, Inc., Brigham Resources, LLC,</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Brigham Resources Operating, LLC and Brigham Resources Upstream Holdings, LP (incorporated by reference to Exhibit 4.1 to the Form 8-</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K, File No. 001-35700, filed by the Company with the SEC on March 6, 2017).</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31.1*</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5"/>
              </w:rPr>
            </w:pPr>
            <w:hyperlink w:anchor="page55">
              <w:r>
                <w:rPr>
                  <w:rFonts w:ascii="Arial" w:cs="Arial" w:eastAsia="Arial" w:hAnsi="Arial"/>
                  <w:sz w:val="18"/>
                  <w:szCs w:val="18"/>
                  <w:color w:val="0000FF"/>
                  <w:w w:val="95"/>
                </w:rPr>
                <w:t>Certification of Chief Executive Officer of the Registrant pursuant to Rule 13a-14(a) promulgated under the Securities Exchange Act of</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1934, as amended.</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31.2*</w:t>
            </w:r>
          </w:p>
        </w:tc>
        <w:tc>
          <w:tcPr>
            <w:tcW w:w="10200" w:type="dxa"/>
            <w:vAlign w:val="bottom"/>
            <w:gridSpan w:val="13"/>
          </w:tcPr>
          <w:p>
            <w:pPr>
              <w:spacing w:after="0" w:line="202" w:lineRule="exact"/>
              <w:rPr>
                <w:rFonts w:ascii="Arial" w:cs="Arial" w:eastAsia="Arial" w:hAnsi="Arial"/>
                <w:sz w:val="18"/>
                <w:szCs w:val="18"/>
                <w:color w:val="0000FF"/>
                <w:w w:val="95"/>
              </w:rPr>
            </w:pPr>
            <w:hyperlink w:anchor="page56">
              <w:r>
                <w:rPr>
                  <w:rFonts w:ascii="Arial" w:cs="Arial" w:eastAsia="Arial" w:hAnsi="Arial"/>
                  <w:sz w:val="18"/>
                  <w:szCs w:val="18"/>
                  <w:color w:val="0000FF"/>
                  <w:w w:val="95"/>
                </w:rPr>
                <w:t>Certification of Chief Financial Officer of the Registrant pursuant to Rule 13a-14(a)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1934, as amended.</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32.1**</w:t>
            </w:r>
          </w:p>
        </w:tc>
        <w:tc>
          <w:tcPr>
            <w:tcW w:w="10200" w:type="dxa"/>
            <w:vAlign w:val="bottom"/>
            <w:gridSpan w:val="13"/>
            <w:shd w:val="clear" w:color="auto" w:fill="CCEEFF"/>
          </w:tcPr>
          <w:p>
            <w:pPr>
              <w:spacing w:after="0" w:line="202" w:lineRule="exact"/>
              <w:rPr>
                <w:rFonts w:ascii="Arial" w:cs="Arial" w:eastAsia="Arial" w:hAnsi="Arial"/>
                <w:sz w:val="18"/>
                <w:szCs w:val="18"/>
                <w:color w:val="0000FF"/>
                <w:w w:val="95"/>
              </w:rPr>
            </w:pPr>
            <w:hyperlink w:anchor="page57">
              <w:r>
                <w:rPr>
                  <w:rFonts w:ascii="Arial" w:cs="Arial" w:eastAsia="Arial" w:hAnsi="Arial"/>
                  <w:sz w:val="18"/>
                  <w:szCs w:val="18"/>
                  <w:color w:val="0000FF"/>
                  <w:w w:val="95"/>
                </w:rPr>
                <w:t>Certification of Chief Executive Officer of the Registrant pursuant to Rule 13a-14(b) promulgated under the Securities Exchange Act of</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0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1934, as amended, and Section 1350 of Chapter 63 of Title 18 of the United States Code.</w:t>
              </w:r>
            </w:hyperlink>
          </w:p>
        </w:tc>
        <w:tc>
          <w:tcPr>
            <w:tcW w:w="376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32.2**</w:t>
            </w:r>
          </w:p>
        </w:tc>
        <w:tc>
          <w:tcPr>
            <w:tcW w:w="10200" w:type="dxa"/>
            <w:vAlign w:val="bottom"/>
            <w:gridSpan w:val="13"/>
          </w:tcPr>
          <w:p>
            <w:pPr>
              <w:spacing w:after="0" w:line="202" w:lineRule="exact"/>
              <w:rPr>
                <w:rFonts w:ascii="Arial" w:cs="Arial" w:eastAsia="Arial" w:hAnsi="Arial"/>
                <w:sz w:val="18"/>
                <w:szCs w:val="18"/>
                <w:color w:val="0000FF"/>
                <w:w w:val="95"/>
              </w:rPr>
            </w:pPr>
            <w:hyperlink w:anchor="page58">
              <w:r>
                <w:rPr>
                  <w:rFonts w:ascii="Arial" w:cs="Arial" w:eastAsia="Arial" w:hAnsi="Arial"/>
                  <w:sz w:val="18"/>
                  <w:szCs w:val="18"/>
                  <w:color w:val="0000FF"/>
                  <w:w w:val="95"/>
                </w:rPr>
                <w:t>Certification of Chief Financial Officer of the Registrant pursuant to Rule 13a-14(b)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1934, as amended, and Section 1350 of Chapter 63 of Title 18 of the United States Code.</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101.INS*</w:t>
            </w:r>
          </w:p>
        </w:tc>
        <w:tc>
          <w:tcPr>
            <w:tcW w:w="102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r>
      <w:tr>
        <w:trPr>
          <w:trHeight w:val="243"/>
        </w:trPr>
        <w:tc>
          <w:tcPr>
            <w:tcW w:w="1220" w:type="dxa"/>
            <w:vAlign w:val="bottom"/>
          </w:tcPr>
          <w:p>
            <w:pPr>
              <w:ind w:left="60"/>
              <w:spacing w:after="0"/>
              <w:rPr>
                <w:sz w:val="20"/>
                <w:szCs w:val="20"/>
                <w:color w:val="auto"/>
              </w:rPr>
            </w:pPr>
            <w:r>
              <w:rPr>
                <w:rFonts w:ascii="Arial" w:cs="Arial" w:eastAsia="Arial" w:hAnsi="Arial"/>
                <w:sz w:val="18"/>
                <w:szCs w:val="18"/>
                <w:color w:val="auto"/>
              </w:rPr>
              <w:t>101.SCH*</w:t>
            </w: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101.CAL*</w:t>
            </w:r>
          </w:p>
        </w:tc>
        <w:tc>
          <w:tcPr>
            <w:tcW w:w="102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r>
      <w:tr>
        <w:trPr>
          <w:trHeight w:val="243"/>
        </w:trPr>
        <w:tc>
          <w:tcPr>
            <w:tcW w:w="1220" w:type="dxa"/>
            <w:vAlign w:val="bottom"/>
          </w:tcPr>
          <w:p>
            <w:pPr>
              <w:ind w:left="60"/>
              <w:spacing w:after="0"/>
              <w:rPr>
                <w:sz w:val="20"/>
                <w:szCs w:val="20"/>
                <w:color w:val="auto"/>
              </w:rPr>
            </w:pPr>
            <w:r>
              <w:rPr>
                <w:rFonts w:ascii="Arial" w:cs="Arial" w:eastAsia="Arial" w:hAnsi="Arial"/>
                <w:sz w:val="18"/>
                <w:szCs w:val="18"/>
                <w:color w:val="auto"/>
              </w:rPr>
              <w:t>101.DEF*</w:t>
            </w: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101.LAB*</w:t>
            </w:r>
          </w:p>
        </w:tc>
        <w:tc>
          <w:tcPr>
            <w:tcW w:w="102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r>
      <w:tr>
        <w:trPr>
          <w:trHeight w:val="243"/>
        </w:trPr>
        <w:tc>
          <w:tcPr>
            <w:tcW w:w="1220" w:type="dxa"/>
            <w:vAlign w:val="bottom"/>
          </w:tcPr>
          <w:p>
            <w:pPr>
              <w:ind w:left="60"/>
              <w:spacing w:after="0"/>
              <w:rPr>
                <w:sz w:val="20"/>
                <w:szCs w:val="20"/>
                <w:color w:val="auto"/>
              </w:rPr>
            </w:pPr>
            <w:r>
              <w:rPr>
                <w:rFonts w:ascii="Arial" w:cs="Arial" w:eastAsia="Arial" w:hAnsi="Arial"/>
                <w:sz w:val="18"/>
                <w:szCs w:val="18"/>
                <w:color w:val="auto"/>
              </w:rPr>
              <w:t>101.PRE*</w:t>
            </w: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52" w:name="page53"/>
    <w:bookmarkEnd w:id="52"/>
    <w:p>
      <w:pPr>
        <w:ind w:left="538" w:hanging="538"/>
        <w:spacing w:after="0"/>
        <w:tabs>
          <w:tab w:leader="none" w:pos="5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538" w:hanging="538"/>
        <w:spacing w:after="0" w:line="264" w:lineRule="auto"/>
        <w:tabs>
          <w:tab w:leader="none" w:pos="5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24" w:lineRule="exact"/>
        <w:rPr>
          <w:sz w:val="20"/>
          <w:szCs w:val="20"/>
          <w:color w:val="auto"/>
        </w:rPr>
      </w:pPr>
    </w:p>
    <w:p>
      <w:pPr>
        <w:ind w:left="5558"/>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498"/>
          </w:cols>
          <w:pgMar w:left="302" w:top="746" w:right="10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DIAMONDBACK ENERGY,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May 10, 2018</w:t>
            </w:r>
          </w:p>
        </w:tc>
        <w:tc>
          <w:tcPr>
            <w:tcW w:w="5020" w:type="dxa"/>
            <w:vAlign w:val="bottom"/>
          </w:tcPr>
          <w:p>
            <w:pPr>
              <w:ind w:left="40"/>
              <w:spacing w:after="0"/>
              <w:rPr>
                <w:sz w:val="20"/>
                <w:szCs w:val="20"/>
                <w:color w:val="auto"/>
              </w:rPr>
            </w:pPr>
            <w:r>
              <w:rPr>
                <w:rFonts w:ascii="Arial" w:cs="Arial" w:eastAsia="Arial" w:hAnsi="Arial"/>
                <w:sz w:val="18"/>
                <w:szCs w:val="18"/>
                <w:color w:val="auto"/>
              </w:rPr>
              <w:t>/s/ Travis D. Stice</w:t>
            </w:r>
          </w:p>
        </w:tc>
      </w:tr>
      <w:tr>
        <w:trPr>
          <w:trHeight w:val="27"/>
        </w:trPr>
        <w:tc>
          <w:tcPr>
            <w:tcW w:w="6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Travis D. Stice</w:t>
            </w:r>
          </w:p>
        </w:tc>
      </w:tr>
      <w:tr>
        <w:trPr>
          <w:trHeight w:val="270"/>
        </w:trPr>
        <w:tc>
          <w:tcPr>
            <w:tcW w:w="60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May 10, 2018</w:t>
            </w:r>
          </w:p>
        </w:tc>
        <w:tc>
          <w:tcPr>
            <w:tcW w:w="5020" w:type="dxa"/>
            <w:vAlign w:val="bottom"/>
          </w:tcPr>
          <w:p>
            <w:pPr>
              <w:ind w:left="40"/>
              <w:spacing w:after="0"/>
              <w:rPr>
                <w:sz w:val="20"/>
                <w:szCs w:val="20"/>
                <w:color w:val="auto"/>
              </w:rPr>
            </w:pPr>
            <w:r>
              <w:rPr>
                <w:rFonts w:ascii="Arial" w:cs="Arial" w:eastAsia="Arial" w:hAnsi="Arial"/>
                <w:sz w:val="18"/>
                <w:szCs w:val="18"/>
                <w:color w:val="auto"/>
              </w:rPr>
              <w:t>/s/ Teresa L. Dick</w:t>
            </w:r>
          </w:p>
        </w:tc>
      </w:tr>
      <w:tr>
        <w:trPr>
          <w:trHeight w:val="27"/>
        </w:trPr>
        <w:tc>
          <w:tcPr>
            <w:tcW w:w="6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Teresa L. Dick</w:t>
            </w:r>
          </w:p>
        </w:tc>
      </w:tr>
    </w:tbl>
    <w:p>
      <w:pPr>
        <w:spacing w:after="0" w:line="4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May 10,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May 10,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Teresa L. Dick, Chief Financial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May 10,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7"/>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43" Type="http://schemas.openxmlformats.org/officeDocument/2006/relationships/hyperlink" Target="http://www.sec.gov/Archives/edgar/data/1539838/000153983812000004/exhibit31amendcertofincorp.htm" TargetMode="External"/><Relationship Id="rId44" Type="http://schemas.openxmlformats.org/officeDocument/2006/relationships/hyperlink" Target="http://www.sec.gov/Archives/edgar/data/1539838/000153983812000004/exhibit32amendandrestatedb.htm" TargetMode="External"/><Relationship Id="rId45" Type="http://schemas.openxmlformats.org/officeDocument/2006/relationships/hyperlink" Target="http://www.sec.gov/Archives/edgar/data/1539838/000119312512360997/d295327dex41.htm" TargetMode="External"/><Relationship Id="rId46" Type="http://schemas.openxmlformats.org/officeDocument/2006/relationships/hyperlink" Target="http://www.sec.gov/Archives/edgar/data/1539838/000153983812000004/exhibit-registrationrights.htm" TargetMode="External"/><Relationship Id="rId47" Type="http://schemas.openxmlformats.org/officeDocument/2006/relationships/hyperlink" Target="http://www.sec.gov/Archives/edgar/data/1539838/000153983812000004/exhibit-investorrightsagre.htm" TargetMode="External"/><Relationship Id="rId48" Type="http://schemas.openxmlformats.org/officeDocument/2006/relationships/hyperlink" Target="http://www.sec.gov/Archives/edgar/data/1539838/000153983816000247/diamondbackex41-11x2x16.htm" TargetMode="External"/><Relationship Id="rId49" Type="http://schemas.openxmlformats.org/officeDocument/2006/relationships/hyperlink" Target="http://www.sec.gov/Archives/edgar/data/1539838/000153983816000272/diamondbackex41-12x21x16.htm" TargetMode="External"/><Relationship Id="rId50" Type="http://schemas.openxmlformats.org/officeDocument/2006/relationships/hyperlink" Target="http://www.sec.gov/Archives/edgar/data/1539838/000153983818000006/diamondbackex43-1x30x18.htm" TargetMode="External"/><Relationship Id="rId51" Type="http://schemas.openxmlformats.org/officeDocument/2006/relationships/hyperlink" Target="http://www.sec.gov/Archives/edgar/data/1539838/000153983818000006/diamondbackex41-1x30x18.htm" TargetMode="External"/><Relationship Id="rId52" Type="http://schemas.openxmlformats.org/officeDocument/2006/relationships/hyperlink" Target="http://www.sec.gov/Archives/edgar/data/1539838/000153983817000040/diamondbackex41-3x6x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2019-12-28T22:11:12Z</dcterms:created>
  <dcterms:modified xsi:type="dcterms:W3CDTF">2019-12-28T22:11:12Z</dcterms:modified>
</cp:coreProperties>
</file>