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May 4, 2026 </w:t>
      </w:r>
    </w:p>
    <w:p>
      <w:pPr>
        <w:pStyle w:val="TextBody"/>
        <w:bidi w:val="0"/>
        <w:spacing w:lineRule="auto" w:line="288" w:before="0" w:after="0"/>
        <w:jc w:val="center"/>
        <w:rPr>
          <w:rFonts w:ascii="Times New Roman;serif" w:hAnsi="Times New Roman;serif"/>
          <w:b w:val="false"/>
          <w:color w:val="808080"/>
          <w:sz w:val="18"/>
        </w:rPr>
      </w:pPr>
      <w:r>
        <w:rPr>
          <w:rFonts w:ascii="Times New Roman;serif" w:hAnsi="Times New Roman;serif"/>
          <w:b w:val="false"/>
          <w:color w:val="808080"/>
          <w:sz w:val="18"/>
        </w:rPr>
        <w:t>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DIAMONDBACK ENERGY, INC.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35" w:type="dxa"/>
        <w:jc w:val="center"/>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827"/>
        <w:gridCol w:w="827"/>
        <w:gridCol w:w="836"/>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001-35700</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45-4502447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79701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w:t>
              <w:b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(432) 221-7400 </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Soliciting material pursuant to Rule 14a-12 under the Exchange Act (17 CFR 240.14a-12)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Pre-commencement communications pursuant to Rule 14d-2(b) under the Exchange Act (17 CFR 240.14d-2(b))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827" w:type="dxa"/>
        <w:jc w:val="center"/>
        <w:tblInd w:w="0" w:type="dxa"/>
        <w:tblLayout w:type="fixed"/>
        <w:tblCellMar>
          <w:top w:w="28" w:type="dxa"/>
          <w:left w:w="28" w:type="dxa"/>
          <w:bottom w:w="28" w:type="dxa"/>
          <w:right w:w="28" w:type="dxa"/>
        </w:tblCellMar>
      </w:tblPr>
      <w:tblGrid>
        <w:gridCol w:w="1106"/>
        <w:gridCol w:w="970"/>
        <w:gridCol w:w="983"/>
        <w:gridCol w:w="484"/>
        <w:gridCol w:w="484"/>
        <w:gridCol w:w="48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FANG</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4, 2026, Diamondback Energy, Inc. (the “Company”) issued a press release announcing financial and operating results for the first quarter ended March 31, 2026, including the first quarter 2026 base cash dividend and an increase in the annual base dividend and production guidance (the “earnings release”). A copy of the earnings release is furnished to the Securities and Exchange Commission (the “SEC”) as Exhibit 99.1 to this Current Report on Form 8-K. The Company also issued a letter to its stockholders as a supplement to the earnings release, which is furnished to the SEC as Exhibit 99.2 to this Current Report on Form 8-K.</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510"/>
        <w:gridCol w:w="2510"/>
        <w:gridCol w:w="3582"/>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diamondbackex991-5x4x26.htm">
              <w:r>
                <w:rPr>
                  <w:rStyle w:val="InternetLink"/>
                  <w:rFonts w:ascii="Times New Roman;serif" w:hAnsi="Times New Roman;serif"/>
                  <w:b w:val="false"/>
                  <w:color w:val="0000FF"/>
                  <w:sz w:val="20"/>
                  <w:u w:val="single"/>
                </w:rPr>
                <w:t>Press release, dated May 4, 2026, entitled “Diamondback Energy, Inc. Announces First Quarter 2026 Financial and Operating Results; Increases Base Dividend and Production Guidance.”</w:t>
              </w:r>
            </w:hyperlink>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diamondbackex992-5x4x26.htm">
              <w:r>
                <w:rPr>
                  <w:rStyle w:val="InternetLink"/>
                  <w:rFonts w:ascii="Times New Roman;serif" w:hAnsi="Times New Roman;serif"/>
                  <w:b w:val="false"/>
                  <w:color w:val="0000FF"/>
                  <w:sz w:val="20"/>
                  <w:u w:val="single"/>
                </w:rPr>
                <w:t>Letter to Stockholders, dated May 4, 2026, issued by the Company.</w:t>
              </w:r>
            </w:hyperlink>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62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50"/>
        <w:gridCol w:w="450"/>
        <w:gridCol w:w="450"/>
        <w:gridCol w:w="1825"/>
        <w:gridCol w:w="1825"/>
        <w:gridCol w:w="26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Assistant Secretary</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left"/>
        <w:rPr/>
      </w:pPr>
      <w:r>
        <w:rPr/>
        <w:drawing>
          <wp:inline distT="0" distB="0" distL="0" distR="0">
            <wp:extent cx="2857500" cy="1038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10382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DIAMONDBACK ENERGY, INC. ANNOUNCES FIRST QUARTER 2026 FINANCIAL AND OPERATING RESULTS; INCREASES BASE DIVIDEND AND PRODUCTION GUIDANCE</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Midland, TX (May 4, 2026) - Diamondback Energy, Inc. (NASDAQ: FANG) (“Diamondback,” “we,” “our” or the “Company”) today announced financial and operating results for the first quarter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FIRST QUARTER 2026 HIGHLIGHTS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Average oil production of 521.0 MBO/d (979.4 MBOE/d)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Net cash provided by operating activities of $1.8 billion; Operating Cash Flow Before Working Capital Changes</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$2.6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Cash capital expenditures of $933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Free Cash Flow</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$1.7 billion; Adjusted Free Cash Flow</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of $1.7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 xml:space="preserve">Repurchased 3.3 million shares of common stock for approximately $548 million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Raised Q1 2026 base cash dividend to $1.10 per share; marks a 10% year-over-year increase and an implied 2.1% annualized yield</w:t>
      </w:r>
      <w:r>
        <w:rPr>
          <w:rFonts w:ascii="Times New Roman;serif" w:hAnsi="Times New Roman;serif"/>
          <w:b w:val="false"/>
          <w:color w:val="000000"/>
          <w:sz w:val="16"/>
        </w:rPr>
        <w:t>2</w:t>
      </w:r>
      <w:r>
        <w:rPr>
          <w:color w:val="000000"/>
        </w:rPr>
        <w:t xml:space="preserve">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Total return of capital of $859 million from stock repurchases and the declared Q1 2026 base dividend; represents ~50%</w:t>
      </w:r>
      <w:r>
        <w:rPr>
          <w:color w:val="EE2724"/>
        </w:rPr>
        <w:t xml:space="preserve"> </w:t>
      </w:r>
      <w:r>
        <w:rPr>
          <w:rFonts w:ascii="Times New Roman;serif" w:hAnsi="Times New Roman;serif"/>
          <w:b w:val="false"/>
          <w:color w:val="000000"/>
          <w:sz w:val="24"/>
        </w:rPr>
        <w:t>of Adjusted Free Cash Flow</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UPDATED 2026 GUIDANCE HIGHLIGHTS</w:t>
      </w:r>
    </w:p>
    <w:p>
      <w:pPr>
        <w:pStyle w:val="TextBody"/>
        <w:bidi w:val="0"/>
        <w:spacing w:before="0" w:after="0"/>
        <w:ind w:left="0" w:right="0" w:firstLine="9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Increasing annual oil production guidance to 520+ (from 500 - 510) MBO/d and total BOE production to 972+ (from 926 - 962) MBOE/d; implying ~5% organic year-over-year growth</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Raising full year cash capital expenditures to ~$3.90 billion (from ~$3.75 billion)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Q2 2026 oil production guidance of 515 - 525 MBO/d (950 - 990 MBOE/d)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Q2 2026 cash capital expenditures guidance of $925 - $1,025 million</w:t>
      </w:r>
    </w:p>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u w:val="single"/>
        </w:rPr>
        <w:t xml:space="preserve">NON-GAAP DISCLOSURES - </w:t>
      </w:r>
      <w:r>
        <w:rPr>
          <w:rFonts w:ascii="Times New Roman;serif" w:hAnsi="Times New Roman;serif"/>
          <w:b w:val="false"/>
          <w:color w:val="000000"/>
          <w:sz w:val="18"/>
        </w:rPr>
        <w:t>For a definition of Operating Cash Flow Before Working Capital Changes, Free Cash Flow, Adjusted Free Cash Flow, Adjusted Net Income, Adjusted EBITDA, Adjusted Net Income per Diluted Share, Net Debt and reconciliations of such non-GAAP financial metrics to their respective most directly comparable GAAP metrics, please see “Non-GAAP Financial Measures” below.</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Cash dividend payable on May 21, 2026; annualized yield based on May 1, 2026 closing share price of $207.65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u w:val="single"/>
          <w:shd w:fill="FFFFFF" w:val="clear"/>
        </w:rPr>
      </w:pPr>
      <w:r>
        <w:rPr>
          <w:rFonts w:ascii="Times New Roman;serif" w:hAnsi="Times New Roman;serif"/>
          <w:b/>
          <w:color w:val="000000"/>
          <w:sz w:val="24"/>
          <w:u w:val="single"/>
          <w:shd w:fill="FFFFFF" w:val="clear"/>
        </w:rPr>
        <w:t>RECENT HIGHLIGHTS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Successfully completed a cash-funded tender offer, retiring approximately $777 million in principal of 2051 and 2052 Senior Notes for approximately $632 million including accrued interest (81.1% of par value)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4"/>
        </w:rPr>
        <w:t>Fully repaid the remaining $550 million outstanding on the Company's $1.5 billion term loan due 2027; pro forma gross debt of $12.7 billion at the end of April 2026</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4"/>
          <w:u w:val="single"/>
          <w:shd w:fill="FFFFFF" w:val="clear"/>
        </w:rPr>
        <w:t>FIRST QUARTER</w:t>
      </w:r>
      <w:r>
        <w:rPr>
          <w:color w:val="000000"/>
          <w:u w:val="single"/>
        </w:rPr>
        <w:t xml:space="preserve"> </w:t>
      </w:r>
      <w:r>
        <w:rPr>
          <w:rFonts w:ascii="Times New Roman;serif" w:hAnsi="Times New Roman;serif"/>
          <w:b/>
          <w:color w:val="000000"/>
          <w:sz w:val="24"/>
          <w:u w:val="single"/>
          <w:shd w:fill="FFFFFF" w:val="clear"/>
        </w:rPr>
        <w:t>2026</w:t>
      </w:r>
      <w:r>
        <w:rPr>
          <w:color w:val="000000"/>
          <w:u w:val="single"/>
        </w:rPr>
        <w:t xml:space="preserve"> </w:t>
      </w:r>
      <w:r>
        <w:rPr>
          <w:rFonts w:ascii="Times New Roman;serif" w:hAnsi="Times New Roman;serif"/>
          <w:b/>
          <w:color w:val="000000"/>
          <w:sz w:val="24"/>
          <w:u w:val="single"/>
        </w:rPr>
        <w:t>OPERATIONS UPDATE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provide a summary of Diamondback’s key operational updates: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Wells Drilled and Completed:</w:t>
      </w:r>
    </w:p>
    <w:tbl>
      <w:tblPr>
        <w:tblW w:w="7397" w:type="dxa"/>
        <w:jc w:val="left"/>
        <w:tblInd w:w="0" w:type="dxa"/>
        <w:tblLayout w:type="fixed"/>
        <w:tblCellMar>
          <w:top w:w="28" w:type="dxa"/>
          <w:left w:w="28" w:type="dxa"/>
          <w:bottom w:w="28" w:type="dxa"/>
          <w:right w:w="28" w:type="dxa"/>
        </w:tblCellMar>
      </w:tblPr>
      <w:tblGrid>
        <w:gridCol w:w="481"/>
        <w:gridCol w:w="425"/>
        <w:gridCol w:w="428"/>
        <w:gridCol w:w="109"/>
        <w:gridCol w:w="109"/>
        <w:gridCol w:w="331"/>
        <w:gridCol w:w="331"/>
        <w:gridCol w:w="331"/>
        <w:gridCol w:w="331"/>
        <w:gridCol w:w="331"/>
        <w:gridCol w:w="331"/>
        <w:gridCol w:w="331"/>
        <w:gridCol w:w="331"/>
        <w:gridCol w:w="331"/>
        <w:gridCol w:w="109"/>
        <w:gridCol w:w="109"/>
        <w:gridCol w:w="109"/>
        <w:gridCol w:w="233"/>
        <w:gridCol w:w="233"/>
        <w:gridCol w:w="126"/>
        <w:gridCol w:w="109"/>
        <w:gridCol w:w="109"/>
        <w:gridCol w:w="109"/>
        <w:gridCol w:w="233"/>
        <w:gridCol w:w="233"/>
        <w:gridCol w:w="186"/>
        <w:gridCol w:w="109"/>
        <w:gridCol w:w="109"/>
        <w:gridCol w:w="109"/>
        <w:gridCol w:w="233"/>
        <w:gridCol w:w="233"/>
        <w:gridCol w:w="175"/>
      </w:tblGrid>
      <w:tr>
        <w:trPr/>
        <w:tc>
          <w:tcPr>
            <w:tcW w:w="4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2866" w:type="dxa"/>
            <w:gridSpan w:val="18"/>
            <w:tcBorders/>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Drilled</w:t>
            </w:r>
          </w:p>
        </w:tc>
        <w:tc>
          <w:tcPr>
            <w:tcW w:w="3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Completed</w:t>
            </w:r>
          </w:p>
        </w:tc>
        <w:tc>
          <w:tcPr>
            <w:tcW w:w="1947" w:type="dxa"/>
            <w:gridSpan w:val="12"/>
            <w:tcBorders/>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Midland Basin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Gross Wells Drilled and Completed By Zone:</w:t>
      </w:r>
    </w:p>
    <w:tbl>
      <w:tblPr>
        <w:tblW w:w="9715" w:type="dxa"/>
        <w:jc w:val="center"/>
        <w:tblInd w:w="0" w:type="dxa"/>
        <w:tblLayout w:type="fixed"/>
        <w:tblCellMar>
          <w:top w:w="28" w:type="dxa"/>
          <w:left w:w="28" w:type="dxa"/>
          <w:bottom w:w="28" w:type="dxa"/>
          <w:right w:w="28" w:type="dxa"/>
        </w:tblCellMar>
      </w:tblPr>
      <w:tblGrid>
        <w:gridCol w:w="1327"/>
        <w:gridCol w:w="1161"/>
        <w:gridCol w:w="1171"/>
        <w:gridCol w:w="109"/>
        <w:gridCol w:w="109"/>
        <w:gridCol w:w="596"/>
        <w:gridCol w:w="596"/>
        <w:gridCol w:w="658"/>
        <w:gridCol w:w="658"/>
        <w:gridCol w:w="663"/>
        <w:gridCol w:w="109"/>
        <w:gridCol w:w="109"/>
        <w:gridCol w:w="109"/>
        <w:gridCol w:w="685"/>
        <w:gridCol w:w="685"/>
        <w:gridCol w:w="970"/>
      </w:tblGrid>
      <w:tr>
        <w:trPr/>
        <w:tc>
          <w:tcPr>
            <w:tcW w:w="132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1"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2667"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Drilled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Wells Completed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Midland Basin: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Upper Spraberry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Middle Spraberry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 Mill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Spraberry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Wolfcamp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Barnett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Midland Basin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Completed Lateral Length (in feet)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Realized Average Prices:</w:t>
      </w:r>
    </w:p>
    <w:p>
      <w:pPr>
        <w:pStyle w:val="TextBody"/>
        <w:bidi w:val="0"/>
        <w:spacing w:before="0" w:after="0"/>
        <w:jc w:val="both"/>
        <w:rPr/>
      </w:pPr>
      <w:r>
        <w:rPr/>
      </w:r>
    </w:p>
    <w:tbl>
      <w:tblPr>
        <w:tblW w:w="9115" w:type="dxa"/>
        <w:jc w:val="left"/>
        <w:tblInd w:w="0" w:type="dxa"/>
        <w:tblLayout w:type="fixed"/>
        <w:tblCellMar>
          <w:top w:w="28" w:type="dxa"/>
          <w:left w:w="28" w:type="dxa"/>
          <w:bottom w:w="28" w:type="dxa"/>
          <w:right w:w="28" w:type="dxa"/>
        </w:tblCellMar>
      </w:tblPr>
      <w:tblGrid>
        <w:gridCol w:w="1239"/>
        <w:gridCol w:w="1084"/>
        <w:gridCol w:w="1096"/>
        <w:gridCol w:w="291"/>
        <w:gridCol w:w="849"/>
        <w:gridCol w:w="150"/>
        <w:gridCol w:w="109"/>
        <w:gridCol w:w="109"/>
        <w:gridCol w:w="109"/>
        <w:gridCol w:w="348"/>
        <w:gridCol w:w="1017"/>
        <w:gridCol w:w="180"/>
        <w:gridCol w:w="109"/>
        <w:gridCol w:w="109"/>
        <w:gridCol w:w="109"/>
        <w:gridCol w:w="291"/>
        <w:gridCol w:w="849"/>
        <w:gridCol w:w="150"/>
        <w:gridCol w:w="109"/>
        <w:gridCol w:w="109"/>
        <w:gridCol w:w="109"/>
        <w:gridCol w:w="109"/>
        <w:gridCol w:w="109"/>
        <w:gridCol w:w="109"/>
        <w:gridCol w:w="109"/>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(1)</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(1)</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(1)</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 xml:space="preserve">(1)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Average Cash Costs per BOE:</w:t>
      </w:r>
    </w:p>
    <w:p>
      <w:pPr>
        <w:pStyle w:val="TextBody"/>
        <w:bidi w:val="0"/>
        <w:spacing w:before="0" w:after="0"/>
        <w:jc w:val="both"/>
        <w:rPr/>
      </w:pPr>
      <w:r>
        <w:rPr/>
      </w:r>
    </w:p>
    <w:tbl>
      <w:tblPr>
        <w:tblW w:w="9821" w:type="dxa"/>
        <w:jc w:val="left"/>
        <w:tblInd w:w="0" w:type="dxa"/>
        <w:tblLayout w:type="fixed"/>
        <w:tblCellMar>
          <w:top w:w="28" w:type="dxa"/>
          <w:left w:w="28" w:type="dxa"/>
          <w:bottom w:w="28" w:type="dxa"/>
          <w:right w:w="28" w:type="dxa"/>
        </w:tblCellMar>
      </w:tblPr>
      <w:tblGrid>
        <w:gridCol w:w="1493"/>
        <w:gridCol w:w="1313"/>
        <w:gridCol w:w="1319"/>
        <w:gridCol w:w="291"/>
        <w:gridCol w:w="849"/>
        <w:gridCol w:w="150"/>
        <w:gridCol w:w="109"/>
        <w:gridCol w:w="109"/>
        <w:gridCol w:w="109"/>
        <w:gridCol w:w="348"/>
        <w:gridCol w:w="1017"/>
        <w:gridCol w:w="180"/>
        <w:gridCol w:w="109"/>
        <w:gridCol w:w="109"/>
        <w:gridCol w:w="109"/>
        <w:gridCol w:w="291"/>
        <w:gridCol w:w="849"/>
        <w:gridCol w:w="150"/>
        <w:gridCol w:w="109"/>
        <w:gridCol w:w="109"/>
        <w:gridCol w:w="109"/>
        <w:gridCol w:w="109"/>
        <w:gridCol w:w="109"/>
        <w:gridCol w:w="109"/>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FINANCIAL UPDATE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Earnings Attributable to Diamondback Energy, Inc.:</w:t>
      </w:r>
    </w:p>
    <w:tbl>
      <w:tblPr>
        <w:tblW w:w="10205" w:type="dxa"/>
        <w:jc w:val="left"/>
        <w:tblInd w:w="0" w:type="dxa"/>
        <w:tblLayout w:type="fixed"/>
        <w:tblCellMar>
          <w:top w:w="28" w:type="dxa"/>
          <w:left w:w="28" w:type="dxa"/>
          <w:bottom w:w="28" w:type="dxa"/>
          <w:right w:w="28" w:type="dxa"/>
        </w:tblCellMar>
      </w:tblPr>
      <w:tblGrid>
        <w:gridCol w:w="2517"/>
        <w:gridCol w:w="2209"/>
        <w:gridCol w:w="2220"/>
        <w:gridCol w:w="674"/>
        <w:gridCol w:w="1971"/>
        <w:gridCol w:w="347"/>
        <w:gridCol w:w="109"/>
        <w:gridCol w:w="158"/>
      </w:tblGrid>
      <w:tr>
        <w:trPr/>
        <w:tc>
          <w:tcPr>
            <w:tcW w:w="2517"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tc>
        <w:tc>
          <w:tcPr>
            <w:tcW w:w="267" w:type="dxa"/>
            <w:gridSpan w:val="2"/>
            <w:tcBorders/>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Diamondback Energy, Inc.</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(loss) per common share attributable to Diamondback Energy, Inc. - Diluted</w:t>
            </w:r>
            <w:r>
              <w:rPr>
                <w:rFonts w:ascii="Times New Roman;serif" w:hAnsi="Times New Roman;serif"/>
                <w:b w:val="false"/>
                <w:color w:val="000000"/>
                <w:sz w:val="13"/>
              </w:rPr>
              <w:t>(1)</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per common share - Diluted</w:t>
            </w:r>
            <w:r>
              <w:rPr>
                <w:rFonts w:ascii="Times New Roman;serif" w:hAnsi="Times New Roman;serif"/>
                <w:b w:val="false"/>
                <w:color w:val="000000"/>
                <w:sz w:val="13"/>
              </w:rPr>
              <w:t>(1)</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w:t>
      </w:r>
      <w:r>
        <w:rPr>
          <w:rFonts w:ascii="Times New Roman;serif" w:hAnsi="Times New Roman;serif"/>
          <w:b w:val="false"/>
          <w:color w:val="000000"/>
          <w:sz w:val="20"/>
        </w:rPr>
        <w:t>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$3 million in earnings attributable to participating securities, (iii) divided by diluted weighted average common shares outstanding for the respective periods.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Cash Capital Expenditures:</w:t>
      </w:r>
    </w:p>
    <w:tbl>
      <w:tblPr>
        <w:tblW w:w="10205" w:type="dxa"/>
        <w:jc w:val="left"/>
        <w:tblInd w:w="0" w:type="dxa"/>
        <w:tblLayout w:type="fixed"/>
        <w:tblCellMar>
          <w:top w:w="28" w:type="dxa"/>
          <w:left w:w="28" w:type="dxa"/>
          <w:bottom w:w="28" w:type="dxa"/>
          <w:right w:w="28" w:type="dxa"/>
        </w:tblCellMar>
      </w:tblPr>
      <w:tblGrid>
        <w:gridCol w:w="2265"/>
        <w:gridCol w:w="1986"/>
        <w:gridCol w:w="1998"/>
        <w:gridCol w:w="109"/>
        <w:gridCol w:w="109"/>
        <w:gridCol w:w="279"/>
        <w:gridCol w:w="279"/>
        <w:gridCol w:w="541"/>
        <w:gridCol w:w="1196"/>
        <w:gridCol w:w="279"/>
        <w:gridCol w:w="109"/>
        <w:gridCol w:w="109"/>
        <w:gridCol w:w="109"/>
        <w:gridCol w:w="211"/>
        <w:gridCol w:w="466"/>
        <w:gridCol w:w="160"/>
      </w:tblGrid>
      <w:tr>
        <w:trPr/>
        <w:tc>
          <w:tcPr>
            <w:tcW w:w="2265"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164" w:type="dxa"/>
            <w:gridSpan w:val="6"/>
            <w:tcBorders/>
          </w:tcPr>
          <w:p>
            <w:pPr>
              <w:pStyle w:val="TableContents"/>
              <w:bidi w:val="0"/>
              <w:spacing w:before="0" w:after="283"/>
              <w:jc w:val="left"/>
              <w:rPr>
                <w:sz w:val="4"/>
                <w:szCs w:val="4"/>
              </w:rPr>
            </w:pPr>
            <w:r>
              <w:rPr>
                <w:sz w:val="4"/>
                <w:szCs w:val="4"/>
              </w:rPr>
            </w:r>
          </w:p>
        </w:tc>
      </w:tr>
      <w:tr>
        <w:trPr/>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Operated drilling and completion additions to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Non-operated additions to oil and natural gas properties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Adjusted EBITDA and Free Cash Flow - Non-GAAP:</w:t>
      </w:r>
    </w:p>
    <w:tbl>
      <w:tblPr>
        <w:tblW w:w="8256" w:type="dxa"/>
        <w:jc w:val="left"/>
        <w:tblInd w:w="0" w:type="dxa"/>
        <w:tblLayout w:type="fixed"/>
        <w:tblCellMar>
          <w:top w:w="28" w:type="dxa"/>
          <w:left w:w="28" w:type="dxa"/>
          <w:bottom w:w="28" w:type="dxa"/>
          <w:right w:w="28" w:type="dxa"/>
        </w:tblCellMar>
      </w:tblPr>
      <w:tblGrid>
        <w:gridCol w:w="1815"/>
        <w:gridCol w:w="1593"/>
        <w:gridCol w:w="1601"/>
        <w:gridCol w:w="109"/>
        <w:gridCol w:w="109"/>
        <w:gridCol w:w="651"/>
        <w:gridCol w:w="1903"/>
        <w:gridCol w:w="475"/>
      </w:tblGrid>
      <w:tr>
        <w:trPr/>
        <w:tc>
          <w:tcPr>
            <w:tcW w:w="181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Diamondback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Diamondback Energy,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Debt &amp; Liquidity:</w:t>
      </w:r>
    </w:p>
    <w:tbl>
      <w:tblPr>
        <w:tblW w:w="5369" w:type="dxa"/>
        <w:jc w:val="left"/>
        <w:tblInd w:w="0" w:type="dxa"/>
        <w:tblLayout w:type="fixed"/>
        <w:tblCellMar>
          <w:top w:w="28" w:type="dxa"/>
          <w:left w:w="28" w:type="dxa"/>
          <w:bottom w:w="28" w:type="dxa"/>
          <w:right w:w="28" w:type="dxa"/>
        </w:tblCellMar>
      </w:tblPr>
      <w:tblGrid>
        <w:gridCol w:w="1460"/>
        <w:gridCol w:w="1286"/>
        <w:gridCol w:w="1289"/>
        <w:gridCol w:w="259"/>
        <w:gridCol w:w="886"/>
        <w:gridCol w:w="189"/>
      </w:tblGrid>
      <w:tr>
        <w:trPr/>
        <w:tc>
          <w:tcPr>
            <w:tcW w:w="146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Standalone cash</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outstanding under the credit facility</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Remaining availability under the credit facility</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standalone liquidity</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total debt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net debt</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RETURN OF CAPITAL UPDATE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Diamondback announced today that the Company’s Board of Directors (the “Board”) approved a 5% increase to the Company's base cash dividend, raising it to $1.10 per common share for the first quarter of 2026, payable on May 21, 2026, to stockholders of record at the close of business on May 14,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shd w:fill="FFFFFF" w:val="clear"/>
        </w:rPr>
        <w:t xml:space="preserve">Diamondback's share repurchase authorization totals </w:t>
      </w:r>
      <w:r>
        <w:rPr>
          <w:rFonts w:ascii="Times New Roman;serif" w:hAnsi="Times New Roman;serif"/>
          <w:b w:val="false"/>
          <w:color w:val="000000"/>
          <w:sz w:val="24"/>
        </w:rPr>
        <w:t>$8.0 billion</w:t>
      </w:r>
      <w:r>
        <w:rPr>
          <w:color w:val="000000"/>
          <w:shd w:fill="FFFFFF" w:val="clear"/>
        </w:rPr>
        <w:t xml:space="preserve"> </w:t>
      </w:r>
      <w:r>
        <w:rPr>
          <w:rFonts w:ascii="Times New Roman;serif" w:hAnsi="Times New Roman;serif"/>
          <w:b w:val="false"/>
          <w:color w:val="000000"/>
          <w:sz w:val="24"/>
          <w:shd w:fill="FFFFFF" w:val="clear"/>
        </w:rPr>
        <w:t>(excluding excise tax)</w:t>
      </w:r>
      <w:r>
        <w:rPr>
          <w:rFonts w:ascii="Times New Roman;serif" w:hAnsi="Times New Roman;serif"/>
          <w:b w:val="false"/>
          <w:color w:val="000000"/>
          <w:sz w:val="24"/>
        </w:rPr>
        <w:t>, with $2.1 billion</w:t>
      </w:r>
      <w:r>
        <w:rPr>
          <w:color w:val="000000"/>
          <w:shd w:fill="FFFFFF" w:val="clear"/>
        </w:rPr>
        <w:t xml:space="preserve"> </w:t>
      </w:r>
      <w:r>
        <w:rPr>
          <w:rFonts w:ascii="Times New Roman;serif" w:hAnsi="Times New Roman;serif"/>
          <w:b w:val="false"/>
          <w:color w:val="000000"/>
          <w:sz w:val="24"/>
          <w:shd w:fill="FFFFFF" w:val="clear"/>
        </w:rPr>
        <w:t xml:space="preserve">remaining as of </w:t>
      </w:r>
      <w:r>
        <w:rPr>
          <w:rFonts w:ascii="Times New Roman;serif" w:hAnsi="Times New Roman;serif"/>
          <w:b w:val="false"/>
          <w:color w:val="000000"/>
          <w:sz w:val="24"/>
        </w:rPr>
        <w:t>May 1, 2026</w:t>
      </w:r>
      <w:r>
        <w:rPr>
          <w:rFonts w:ascii="Times New Roman;serif" w:hAnsi="Times New Roman;serif"/>
          <w:b w:val="false"/>
          <w:color w:val="000000"/>
          <w:sz w:val="24"/>
          <w:shd w:fill="FFFFFF" w:val="clear"/>
        </w:rPr>
        <w:t xml:space="preserve">. During the </w:t>
      </w:r>
      <w:r>
        <w:rPr>
          <w:rFonts w:ascii="Times New Roman;serif" w:hAnsi="Times New Roman;serif"/>
          <w:b w:val="false"/>
          <w:color w:val="000000"/>
          <w:sz w:val="24"/>
        </w:rPr>
        <w:t>first quarter</w:t>
      </w:r>
      <w:r>
        <w:rPr>
          <w:rFonts w:ascii="Times New Roman;serif" w:hAnsi="Times New Roman;serif"/>
          <w:b w:val="false"/>
          <w:color w:val="000000"/>
          <w:sz w:val="24"/>
          <w:shd w:fill="FFFFFF" w:val="clear"/>
        </w:rPr>
        <w:t>, the Company r</w:t>
      </w:r>
      <w:r>
        <w:rPr>
          <w:rFonts w:ascii="Times New Roman;serif" w:hAnsi="Times New Roman;serif"/>
          <w:b w:val="false"/>
          <w:color w:val="000000"/>
          <w:sz w:val="24"/>
        </w:rPr>
        <w:t xml:space="preserve">epurchased 3.3 million shares of common stock for approximately $548 million at a weighted average price of $167.61 per share (excluding excise tax), including the repurchase of 3.0 million shares for $509 million from SGF FANG Holdings, LP. </w:t>
      </w:r>
      <w:r>
        <w:rPr>
          <w:rFonts w:ascii="Times New Roman;serif" w:hAnsi="Times New Roman;serif"/>
          <w:b w:val="false"/>
          <w:color w:val="000000"/>
          <w:sz w:val="24"/>
          <w:shd w:fill="FFFFFF" w:val="clear"/>
        </w:rPr>
        <w:t xml:space="preserve">The Company expects to continue repurchases opportunistically using cash on hand, free cash flow and potential asset sale proceeds. The program has no time limit and may be suspended, modified or discontinued at the Board’s discretion. Repurchases may be executed in privately negotiated or open-market transactions, consistent with Rule 10b-18 </w:t>
      </w:r>
      <w:r>
        <w:rPr>
          <w:rFonts w:ascii="Times New Roman;serif" w:hAnsi="Times New Roman;serif"/>
          <w:b w:val="false"/>
          <w:color w:val="000000"/>
          <w:sz w:val="24"/>
        </w:rPr>
        <w:t>under the Securities Exchange Act of 1934, as amended, and will be subject to market conditions, applicable regulatory and legal requirements and other factors</w:t>
      </w:r>
      <w:r>
        <w:rPr>
          <w:rFonts w:ascii="Times New Roman;serif" w:hAnsi="Times New Roman;serif"/>
          <w:b w:val="false"/>
          <w:color w:val="000000"/>
          <w:sz w:val="24"/>
          <w:shd w:fill="FFFFFF" w:val="clear"/>
        </w:rPr>
        <w:t>. All shares repurchased will be retired.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table below summarizes Diamondback’s return of capital program, including dividends and share repurchases, with future actions subject to Board approval.</w:t>
      </w:r>
    </w:p>
    <w:p>
      <w:pPr>
        <w:pStyle w:val="TextBody"/>
        <w:bidi w:val="0"/>
        <w:spacing w:before="0" w:after="0"/>
        <w:jc w:val="both"/>
        <w:rPr/>
      </w:pPr>
      <w:r>
        <w:rPr/>
      </w:r>
    </w:p>
    <w:tbl>
      <w:tblPr>
        <w:tblW w:w="8338" w:type="dxa"/>
        <w:jc w:val="left"/>
        <w:tblInd w:w="0" w:type="dxa"/>
        <w:tblLayout w:type="fixed"/>
        <w:tblCellMar>
          <w:top w:w="28" w:type="dxa"/>
          <w:left w:w="28" w:type="dxa"/>
          <w:bottom w:w="28" w:type="dxa"/>
          <w:right w:w="28" w:type="dxa"/>
        </w:tblCellMar>
      </w:tblPr>
      <w:tblGrid>
        <w:gridCol w:w="1298"/>
        <w:gridCol w:w="1139"/>
        <w:gridCol w:w="1148"/>
        <w:gridCol w:w="236"/>
        <w:gridCol w:w="807"/>
        <w:gridCol w:w="303"/>
        <w:gridCol w:w="122"/>
        <w:gridCol w:w="122"/>
        <w:gridCol w:w="122"/>
        <w:gridCol w:w="424"/>
        <w:gridCol w:w="817"/>
        <w:gridCol w:w="219"/>
        <w:gridCol w:w="122"/>
        <w:gridCol w:w="122"/>
        <w:gridCol w:w="122"/>
        <w:gridCol w:w="236"/>
        <w:gridCol w:w="807"/>
        <w:gridCol w:w="172"/>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Q1 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 to date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dividend</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repurchase price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repurchase cost</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return of capital</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 free cash flow</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 adjusted free cash flow</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UPDATED 2026 GUIDANCE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Below is Diamondback's and Viper's updated guidance for the full year 2026, which includes second quarter</w:t>
      </w:r>
      <w:r>
        <w:rPr>
          <w:color w:val="000000"/>
        </w:rPr>
        <w:t xml:space="preserve"> </w:t>
      </w:r>
      <w:r>
        <w:rPr>
          <w:rFonts w:ascii="Times New Roman;serif" w:hAnsi="Times New Roman;serif"/>
          <w:b w:val="false"/>
          <w:color w:val="000000"/>
          <w:sz w:val="24"/>
        </w:rPr>
        <w:t>production and capital guidance.</w:t>
      </w:r>
    </w:p>
    <w:p>
      <w:pPr>
        <w:pStyle w:val="TextBody"/>
        <w:bidi w:val="0"/>
        <w:spacing w:before="0" w:after="0"/>
        <w:jc w:val="both"/>
        <w:rPr/>
      </w:pPr>
      <w:r>
        <w:rPr/>
      </w:r>
    </w:p>
    <w:tbl>
      <w:tblPr>
        <w:tblW w:w="9539" w:type="dxa"/>
        <w:jc w:val="center"/>
        <w:tblInd w:w="0" w:type="dxa"/>
        <w:tblLayout w:type="fixed"/>
        <w:tblCellMar>
          <w:top w:w="28" w:type="dxa"/>
          <w:left w:w="28" w:type="dxa"/>
          <w:bottom w:w="28" w:type="dxa"/>
          <w:right w:w="28" w:type="dxa"/>
        </w:tblCellMar>
      </w:tblPr>
      <w:tblGrid>
        <w:gridCol w:w="1544"/>
        <w:gridCol w:w="1356"/>
        <w:gridCol w:w="1360"/>
        <w:gridCol w:w="1003"/>
        <w:gridCol w:w="1003"/>
        <w:gridCol w:w="1008"/>
        <w:gridCol w:w="662"/>
        <w:gridCol w:w="662"/>
        <w:gridCol w:w="941"/>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Guidance</w:t>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Guidance</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Viper Energy, Inc.</w:t>
            </w:r>
          </w:p>
        </w:tc>
      </w:tr>
      <w:tr>
        <w:trPr/>
        <w:tc>
          <w:tcPr>
            <w:tcW w:w="4260"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dotted"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dott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Net production - MBOE/d</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972+ </w:t>
            </w:r>
            <w:r>
              <w:rPr>
                <w:rFonts w:ascii="Times New Roman;serif" w:hAnsi="Times New Roman;serif"/>
                <w:b w:val="false"/>
                <w:i/>
                <w:color w:val="000000"/>
                <w:sz w:val="14"/>
              </w:rPr>
              <w:t>(</w:t>
            </w:r>
            <w:r>
              <w:rPr>
                <w:rFonts w:ascii="Times New Roman;serif" w:hAnsi="Times New Roman;serif"/>
                <w:b w:val="false"/>
                <w:i/>
                <w:color w:val="000000"/>
                <w:sz w:val="16"/>
              </w:rPr>
              <w:t>from 926 - 962)</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126.0 - 130.0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Oil production - MBO/d</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520+ </w:t>
            </w:r>
            <w:r>
              <w:rPr>
                <w:rFonts w:ascii="Times New Roman;serif" w:hAnsi="Times New Roman;serif"/>
                <w:b w:val="false"/>
                <w:i/>
                <w:color w:val="000000"/>
                <w:sz w:val="16"/>
              </w:rPr>
              <w:t>(from 500 - 510)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64.5 - 66.5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Q2 2026 Oil production - MBO/d (total - MBOE/d)</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515 - 525 (950 - 990)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64.0 - 65.0 (124.0 - 126.0)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 costs ($/BOE)</w:t>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 including workovers</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$5.90 - $6.40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G&amp;A</w:t>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G&amp;A</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$0.55 - $0.70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$0.70 - $0.90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equity-based compensation</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$0.20 - $0.30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$0.10 - $0.20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DD&amp;A</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$14.00 - $15.00 </w:t>
            </w:r>
            <w:r>
              <w:rPr>
                <w:rFonts w:ascii="Times New Roman;serif" w:hAnsi="Times New Roman;serif"/>
                <w:b w:val="false"/>
                <w:i/>
                <w:color w:val="000000"/>
                <w:sz w:val="16"/>
              </w:rPr>
              <w:t>(from $14.50- $15.50)</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 $18.25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$0.50 - $0.70 </w:t>
            </w:r>
            <w:r>
              <w:rPr>
                <w:rFonts w:ascii="Times New Roman;serif" w:hAnsi="Times New Roman;serif"/>
                <w:b w:val="false"/>
                <w:i/>
                <w:color w:val="000000"/>
                <w:sz w:val="16"/>
              </w:rPr>
              <w:t>(from $0.70- $0.90)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$1.90 - $2.40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$1.50 - $1.70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 (% of revenue)</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tax rate (% of pre-tax income)</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tax rate (% of pre-tax income)</w:t>
            </w:r>
            <w:r>
              <w:rPr>
                <w:rFonts w:ascii="Times New Roman;serif" w:hAnsi="Times New Roman;serif"/>
                <w:b w:val="false"/>
                <w:color w:val="000000"/>
                <w:sz w:val="13"/>
              </w:rPr>
              <w:t>(1)</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 - 21%</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 - 30%</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Q2 2026 Cash taxes ($ - million)</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$440 - $500</w:t>
            </w:r>
          </w:p>
        </w:tc>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$40.0 - $48.0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Capital Budget ($ - million)</w:t>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Operated drilling and completion</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~$3,310 </w:t>
            </w:r>
            <w:r>
              <w:rPr>
                <w:rFonts w:ascii="Times New Roman;serif" w:hAnsi="Times New Roman;serif"/>
                <w:b w:val="false"/>
                <w:i/>
                <w:color w:val="000000"/>
                <w:sz w:val="16"/>
              </w:rPr>
              <w:t>(from ~$3,160 )</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Total capital expenditures</w:t>
            </w:r>
            <w:r>
              <w:rPr>
                <w:rFonts w:ascii="Times New Roman;serif" w:hAnsi="Times New Roman;serif"/>
                <w:b w:val="false"/>
                <w:color w:val="000000"/>
                <w:sz w:val="13"/>
              </w:rPr>
              <w:t>(2)</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~$3,900 </w:t>
            </w:r>
            <w:r>
              <w:rPr>
                <w:rFonts w:ascii="Times New Roman;serif" w:hAnsi="Times New Roman;serif"/>
                <w:b w:val="false"/>
                <w:i/>
                <w:color w:val="000000"/>
                <w:sz w:val="16"/>
              </w:rPr>
              <w:t>(from ~$3,750)</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Q2 2026 Capital expenditures</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$925 - $1,025</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lateral length (Ft.)</w:t>
            </w:r>
          </w:p>
        </w:tc>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~12,900'</w:t>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lateral footage completed (1,000's of Ft.)</w:t>
            </w:r>
          </w:p>
        </w:tc>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6,100' - 6,500' </w:t>
            </w:r>
            <w:r>
              <w:rPr>
                <w:rFonts w:ascii="Times New Roman;serif" w:hAnsi="Times New Roman;serif"/>
                <w:b w:val="false"/>
                <w:i/>
                <w:color w:val="000000"/>
                <w:sz w:val="16"/>
              </w:rPr>
              <w:t>(from 5,900' - 6,300')</w:t>
            </w:r>
          </w:p>
        </w:tc>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(1)Pre-tax income attributable to the Company is a non-GAAP measure. We are not able to forecast the most directly comparable GAAP measure - Income (loss) before income taxes - due to high variability and difficulty in predicting certain items that affect Income (loss) before income taxes, such as future commodity prices, pace of and costs of developing, producing and operating our interests in oil and natural gas properties, future changes in interest rates and various other business factors impacting our financial results.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(2)Includes non-operated drilling and completion, capital workovers, science, infrastructure, midstream and environmental.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will host a conference call and webcast for investors and analysts to discuss its results for the first quarter of 2026 on Tuesday, May 5, 2026 at 8:00 a.m. CT. Access to the webcast, and replay which will be available following the call, may be found here. The live webcast of the earnings conference call will also be available via Diamondback’s website at www.diamondbackenergy.com under the “Investor Relations” section of the site. Investors and others should note that Diamondback announces material financial and operational information to our investors using our investor relations website, press releases, SEC filings and public conference calls and webcasts. The information we post through our investor relations website may be deemed material. Accordingly, investors should monitor our investor relations website in addition to following our press releases, SEC filings and public conference calls and webcasts.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About Diamondback Energy,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Double Eagle Acquisition, and the Sitio Acquisition completed by Viper and other acquisitions, divestitures or reorganizations);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left"/>
        <w:rPr/>
      </w:pPr>
      <w:r>
        <w:rPr/>
      </w:r>
    </w:p>
    <w:p>
      <w:pPr>
        <w:pStyle w:val="TextBody"/>
        <w:bidi w:val="0"/>
        <w:spacing w:lineRule="auto" w:line="276"/>
        <w:jc w:val="both"/>
        <w:rPr>
          <w:rFonts w:ascii="Times New Roman;serif" w:hAnsi="Times New Roman;serif"/>
          <w:b w:val="false"/>
          <w:color w:val="000000"/>
          <w:sz w:val="24"/>
        </w:rPr>
      </w:pPr>
      <w:r>
        <w:rPr>
          <w:rFonts w:ascii="Times New Roman;serif" w:hAnsi="Times New Roman;serif"/>
          <w:b w:val="false"/>
          <w:color w:val="000000"/>
          <w:sz w:val="24"/>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markets;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commitment,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the recently completed Double Eagle Acquisition and Viper’s Sitio Acquisition; the Endeavor stockholders’ ability to significantly influence our business and potential conflicts of interest; and other risks described in Item 1A of Diamondback’s Annual Report on Form 10-K, filed with the SEC on February 25, 2026, and those risks disclosed in its subsequent filings on Forms 10-K, 10-Q and 8-K, which can be obtained free of charge on the SEC’s website at http://www.sec.gov and Diamondback’s website at www.diamondbackenergy.com/investors.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release or, if earlier, as of the date they were made. Diamondback does not intend to, and disclaims any obligation to, update or revise any forward-looking statements unless required by applicable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89"/>
        <w:gridCol w:w="1471"/>
        <w:gridCol w:w="1471"/>
        <w:gridCol w:w="859"/>
        <w:gridCol w:w="859"/>
        <w:gridCol w:w="1152"/>
        <w:gridCol w:w="145"/>
        <w:gridCol w:w="281"/>
        <w:gridCol w:w="822"/>
        <w:gridCol w:w="145"/>
        <w:gridCol w:w="109"/>
        <w:gridCol w:w="109"/>
        <w:gridCol w:w="109"/>
        <w:gridCol w:w="211"/>
        <w:gridCol w:w="616"/>
        <w:gridCol w:w="157"/>
      </w:tblGrid>
      <w:tr>
        <w:trPr/>
        <w:tc>
          <w:tcPr>
            <w:tcW w:w="168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2704" w:type="dxa"/>
            <w:gridSpan w:val="10"/>
            <w:tcBorders/>
          </w:tcPr>
          <w:p>
            <w:pPr>
              <w:pStyle w:val="TableContents"/>
              <w:bidi w:val="0"/>
              <w:spacing w:before="0" w:after="283"/>
              <w:jc w:val="left"/>
              <w:rPr>
                <w:sz w:val="4"/>
                <w:szCs w:val="4"/>
              </w:rPr>
            </w:pPr>
            <w:r>
              <w:rPr>
                <w:sz w:val="4"/>
                <w:szCs w:val="4"/>
              </w:rPr>
            </w:r>
          </w:p>
        </w:tc>
      </w:tr>
      <w:tr>
        <w:trPr/>
        <w:tc>
          <w:tcPr>
            <w:tcW w:w="75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tc>
        <w:tc>
          <w:tcPr>
            <w:tcW w:w="2704" w:type="dxa"/>
            <w:gridSpan w:val="10"/>
            <w:tcBorders/>
          </w:tcPr>
          <w:p>
            <w:pPr>
              <w:pStyle w:val="TableContents"/>
              <w:bidi w:val="0"/>
              <w:spacing w:before="0" w:after="283"/>
              <w:jc w:val="left"/>
              <w:rPr>
                <w:sz w:val="4"/>
                <w:szCs w:val="4"/>
              </w:rPr>
            </w:pPr>
            <w:r>
              <w:rPr>
                <w:sz w:val="4"/>
                <w:szCs w:val="4"/>
              </w:rPr>
            </w:r>
          </w:p>
        </w:tc>
      </w:tr>
      <w:tr>
        <w:trPr/>
        <w:tc>
          <w:tcPr>
            <w:tcW w:w="75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 in millions except per share data, shares in thousands)</w:t>
            </w:r>
          </w:p>
        </w:tc>
        <w:tc>
          <w:tcPr>
            <w:tcW w:w="2704" w:type="dxa"/>
            <w:gridSpan w:val="10"/>
            <w:tcBorders/>
          </w:tcPr>
          <w:p>
            <w:pPr>
              <w:pStyle w:val="TableContents"/>
              <w:bidi w:val="0"/>
              <w:spacing w:before="0" w:after="283"/>
              <w:jc w:val="left"/>
              <w:rPr>
                <w:sz w:val="4"/>
                <w:szCs w:val="4"/>
              </w:rPr>
            </w:pPr>
            <w:r>
              <w:rPr>
                <w:sz w:val="4"/>
                <w:szCs w:val="4"/>
              </w:rPr>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11" w:type="dxa"/>
            <w:gridSpan w:val="6"/>
            <w:tcBorders/>
          </w:tcPr>
          <w:p>
            <w:pPr>
              <w:pStyle w:val="TableContents"/>
              <w:bidi w:val="0"/>
              <w:spacing w:before="0" w:after="283"/>
              <w:jc w:val="left"/>
              <w:rPr>
                <w:sz w:val="4"/>
                <w:szCs w:val="4"/>
              </w:rPr>
            </w:pPr>
            <w:r>
              <w:rPr>
                <w:sz w:val="4"/>
                <w:szCs w:val="4"/>
              </w:rPr>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natural gas and natural gas liquid sales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oil</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oil expense</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net</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income (loss) </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Diamondback Energy, Inc.</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289,612</w:t>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56"/>
        <w:gridCol w:w="2294"/>
        <w:gridCol w:w="2242"/>
        <w:gridCol w:w="241"/>
        <w:gridCol w:w="826"/>
        <w:gridCol w:w="124"/>
        <w:gridCol w:w="124"/>
        <w:gridCol w:w="124"/>
        <w:gridCol w:w="124"/>
        <w:gridCol w:w="241"/>
        <w:gridCol w:w="826"/>
        <w:gridCol w:w="183"/>
      </w:tblGrid>
      <w:tr>
        <w:trPr/>
        <w:tc>
          <w:tcPr>
            <w:tcW w:w="285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 except share amounts)</w:t>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($28 million and $13 million related to Viper)</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interest and 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Oil and natural gas sales, net ($383 million and $262 million related to Viper)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Proved properties ($9,514 million and $9,746 million related to Viper)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Unproved properties ($4,562 million and $4,910 million related to Viper)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depletion, depreciation, amortization and impairment ($2,662 million and $2,455 million related to Viper)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capital expenditures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royalties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($1,603 million and $2,186 million related to Viper)</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800,000,000 shares authorized; 281,311,730 and 284,594,908 shares issued and outstanding at March 31,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Diamondback Energy, Inc.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63"/>
        <w:gridCol w:w="1761"/>
        <w:gridCol w:w="1761"/>
        <w:gridCol w:w="511"/>
        <w:gridCol w:w="511"/>
        <w:gridCol w:w="803"/>
        <w:gridCol w:w="155"/>
        <w:gridCol w:w="302"/>
        <w:gridCol w:w="668"/>
        <w:gridCol w:w="155"/>
        <w:gridCol w:w="109"/>
        <w:gridCol w:w="109"/>
        <w:gridCol w:w="109"/>
        <w:gridCol w:w="211"/>
        <w:gridCol w:w="616"/>
        <w:gridCol w:w="161"/>
      </w:tblGrid>
      <w:tr>
        <w:trPr/>
        <w:tc>
          <w:tcPr>
            <w:tcW w:w="226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2595" w:type="dxa"/>
            <w:gridSpan w:val="10"/>
            <w:tcBorders/>
          </w:tcPr>
          <w:p>
            <w:pPr>
              <w:pStyle w:val="TableContents"/>
              <w:bidi w:val="0"/>
              <w:spacing w:before="0" w:after="283"/>
              <w:jc w:val="left"/>
              <w:rPr>
                <w:sz w:val="4"/>
                <w:szCs w:val="4"/>
              </w:rPr>
            </w:pPr>
            <w:r>
              <w:rPr>
                <w:sz w:val="4"/>
                <w:szCs w:val="4"/>
              </w:rPr>
            </w:r>
          </w:p>
        </w:tc>
      </w:tr>
      <w:tr>
        <w:trPr/>
        <w:tc>
          <w:tcPr>
            <w:tcW w:w="7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tc>
        <w:tc>
          <w:tcPr>
            <w:tcW w:w="2595" w:type="dxa"/>
            <w:gridSpan w:val="10"/>
            <w:tcBorders/>
          </w:tcPr>
          <w:p>
            <w:pPr>
              <w:pStyle w:val="TableContents"/>
              <w:bidi w:val="0"/>
              <w:spacing w:before="0" w:after="283"/>
              <w:jc w:val="left"/>
              <w:rPr>
                <w:sz w:val="4"/>
                <w:szCs w:val="4"/>
              </w:rPr>
            </w:pPr>
            <w:r>
              <w:rPr>
                <w:sz w:val="4"/>
                <w:szCs w:val="4"/>
              </w:rPr>
            </w:r>
          </w:p>
        </w:tc>
      </w:tr>
      <w:tr>
        <w:trPr/>
        <w:tc>
          <w:tcPr>
            <w:tcW w:w="7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2595" w:type="dxa"/>
            <w:gridSpan w:val="10"/>
            <w:tcBorders/>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315" w:type="dxa"/>
            <w:gridSpan w:val="6"/>
            <w:tcBorders/>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deferred income taxes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 net</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(paid) on settlement of derivative instruments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royalties payable</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oil and natural gas properties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acquisitions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Repurchased shares under repurchase program</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Repurchased shares - related party</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Repurchased shares/units under Viper’s repurchase program</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Viper’s issuance of common stock</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Viper's common stock</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stockholders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Dividends/distributions to non-controlling interest</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001" w:type="dxa"/>
        <w:jc w:val="left"/>
        <w:tblInd w:w="0" w:type="dxa"/>
        <w:tblLayout w:type="fixed"/>
        <w:tblCellMar>
          <w:top w:w="28" w:type="dxa"/>
          <w:left w:w="28" w:type="dxa"/>
          <w:bottom w:w="28" w:type="dxa"/>
          <w:right w:w="28" w:type="dxa"/>
        </w:tblCellMar>
      </w:tblPr>
      <w:tblGrid>
        <w:gridCol w:w="1556"/>
        <w:gridCol w:w="1370"/>
        <w:gridCol w:w="1379"/>
        <w:gridCol w:w="291"/>
        <w:gridCol w:w="849"/>
        <w:gridCol w:w="150"/>
        <w:gridCol w:w="109"/>
        <w:gridCol w:w="109"/>
        <w:gridCol w:w="109"/>
        <w:gridCol w:w="348"/>
        <w:gridCol w:w="1017"/>
        <w:gridCol w:w="180"/>
        <w:gridCol w:w="109"/>
        <w:gridCol w:w="109"/>
        <w:gridCol w:w="109"/>
        <w:gridCol w:w="291"/>
        <w:gridCol w:w="849"/>
        <w:gridCol w:w="150"/>
        <w:gridCol w:w="109"/>
        <w:gridCol w:w="109"/>
        <w:gridCol w:w="109"/>
        <w:gridCol w:w="109"/>
        <w:gridCol w:w="109"/>
        <w:gridCol w:w="109"/>
        <w:gridCol w:w="109"/>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8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917" w:type="dxa"/>
            <w:gridSpan w:val="8"/>
            <w:tcBorders/>
          </w:tcPr>
          <w:p>
            <w:pPr>
              <w:pStyle w:val="TableContents"/>
              <w:bidi w:val="0"/>
              <w:spacing w:before="0" w:after="283"/>
              <w:jc w:val="left"/>
              <w:rPr>
                <w:sz w:val="4"/>
                <w:szCs w:val="4"/>
              </w:rPr>
            </w:pPr>
            <w:r>
              <w:rPr>
                <w:sz w:val="4"/>
                <w:szCs w:val="4"/>
              </w:rPr>
            </w:r>
          </w:p>
        </w:tc>
      </w:tr>
      <w:tr>
        <w:trPr/>
        <w:tc>
          <w:tcPr>
            <w:tcW w:w="908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Selected Operating Data</w:t>
            </w:r>
          </w:p>
        </w:tc>
        <w:tc>
          <w:tcPr>
            <w:tcW w:w="917" w:type="dxa"/>
            <w:gridSpan w:val="8"/>
            <w:tcBorders/>
          </w:tcPr>
          <w:p>
            <w:pPr>
              <w:pStyle w:val="TableContents"/>
              <w:bidi w:val="0"/>
              <w:spacing w:before="0" w:after="283"/>
              <w:jc w:val="left"/>
              <w:rPr>
                <w:sz w:val="4"/>
                <w:szCs w:val="4"/>
              </w:rPr>
            </w:pPr>
            <w:r>
              <w:rPr>
                <w:sz w:val="4"/>
                <w:szCs w:val="4"/>
              </w:rPr>
            </w:r>
          </w:p>
        </w:tc>
      </w:tr>
      <w:tr>
        <w:trPr/>
        <w:tc>
          <w:tcPr>
            <w:tcW w:w="908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917" w:type="dxa"/>
            <w:gridSpan w:val="8"/>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Combined volumes</w:t>
            </w:r>
            <w:r>
              <w:rPr>
                <w:color w:val="000000"/>
              </w:rPr>
              <w:t xml:space="preserve"> </w:t>
            </w:r>
            <w:r>
              <w:rPr>
                <w:rFonts w:ascii="Times New Roman;serif" w:hAnsi="Times New Roman;serif"/>
                <w:b w:val="false"/>
                <w:color w:val="000000"/>
                <w:sz w:val="20"/>
              </w:rPr>
              <w:t>(MBOE)</w:t>
            </w:r>
            <w:r>
              <w:rPr>
                <w:rFonts w:ascii="Times New Roman;serif" w:hAnsi="Times New Roman;serif"/>
                <w:b w:val="false"/>
                <w:color w:val="000000"/>
                <w:sz w:val="13"/>
              </w:rPr>
              <w:t>(1)</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Daily oil volumes (BO/d)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Daily combined volumes (BOE/d)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969,120 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Prices:</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 per BOE)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 xml:space="preserve">(2)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(2)</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hedged ($ per BOE)</w:t>
            </w:r>
            <w:r>
              <w:rPr>
                <w:rFonts w:ascii="Times New Roman;serif" w:hAnsi="Times New Roman;serif"/>
                <w:b w:val="false"/>
                <w:color w:val="000000"/>
                <w:sz w:val="13"/>
              </w:rPr>
              <w:t xml:space="preserve">(2)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Average Cash Costs ($/BOE):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Gathering, processing and transportation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component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NON-GAAP FINANCIAL MEASURES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ADJUSTED EBITDA</w:t>
      </w:r>
    </w:p>
    <w:p>
      <w:pPr>
        <w:pStyle w:val="TextBody"/>
        <w:bidi w:val="0"/>
        <w:spacing w:before="0" w:after="0"/>
        <w:ind w:left="0" w:right="0" w:hanging="27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impairment of oil and natural gas properties, non-cash equity-based compensation expense, capitalized equity-based compensation expense, other non-cash transactions and provision for (benefit from) income taxes. Adjusted EBITDA is not a measure of net income as determined by United States generally accepted accounting principles ("GAAP"). Management believes Adjusted EBITDA is useful because the measure allows it to evaluate the Company’s operating performance and compare the results of its operations from period to period without regard to its financing methods or capital structure. The Company excludes the items listed above from net income (loss) to determine Adjusted EBITDA because these amounts can vary substantially from company to company within its industry depending upon accounting methods and book values of assets, capital structures and the method by which the assets were acquired. Further, the Company excludes the effects of significant transactions that may affect earnings but are unpredictable in nature, timing and amount, although they may recur in different reporting periods. Adjusted EBITDA should not be considered as an alternative to, or more meaningful than, net income as determined in accordance with GAAP or as an indicator of the Company’s operating performance.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GAAP financial measure of net income (loss) attributable to Diamondback Energy, Inc. to the non-GAAP financial measure of Adjusted EBITDA:</w:t>
      </w:r>
    </w:p>
    <w:tbl>
      <w:tblPr>
        <w:tblW w:w="10205" w:type="dxa"/>
        <w:jc w:val="left"/>
        <w:tblInd w:w="0" w:type="dxa"/>
        <w:tblLayout w:type="fixed"/>
        <w:tblCellMar>
          <w:top w:w="28" w:type="dxa"/>
          <w:left w:w="28" w:type="dxa"/>
          <w:bottom w:w="28" w:type="dxa"/>
          <w:right w:w="28" w:type="dxa"/>
        </w:tblCellMar>
      </w:tblPr>
      <w:tblGrid>
        <w:gridCol w:w="1735"/>
        <w:gridCol w:w="1481"/>
        <w:gridCol w:w="1488"/>
        <w:gridCol w:w="466"/>
        <w:gridCol w:w="1363"/>
        <w:gridCol w:w="240"/>
        <w:gridCol w:w="240"/>
        <w:gridCol w:w="240"/>
        <w:gridCol w:w="240"/>
        <w:gridCol w:w="240"/>
        <w:gridCol w:w="109"/>
        <w:gridCol w:w="269"/>
        <w:gridCol w:w="786"/>
        <w:gridCol w:w="138"/>
        <w:gridCol w:w="109"/>
        <w:gridCol w:w="109"/>
        <w:gridCol w:w="109"/>
        <w:gridCol w:w="109"/>
        <w:gridCol w:w="109"/>
        <w:gridCol w:w="109"/>
        <w:gridCol w:w="109"/>
        <w:gridCol w:w="407"/>
      </w:tblGrid>
      <w:tr>
        <w:trPr/>
        <w:tc>
          <w:tcPr>
            <w:tcW w:w="173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7733"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2472" w:type="dxa"/>
            <w:gridSpan w:val="12"/>
            <w:tcBorders/>
          </w:tcPr>
          <w:p>
            <w:pPr>
              <w:pStyle w:val="TableContents"/>
              <w:bidi w:val="0"/>
              <w:spacing w:before="0" w:after="283"/>
              <w:jc w:val="left"/>
              <w:rPr>
                <w:sz w:val="4"/>
                <w:szCs w:val="4"/>
              </w:rPr>
            </w:pPr>
            <w:r>
              <w:rPr>
                <w:sz w:val="4"/>
                <w:szCs w:val="4"/>
              </w:rPr>
            </w:r>
          </w:p>
        </w:tc>
      </w:tr>
      <w:tr>
        <w:trPr/>
        <w:tc>
          <w:tcPr>
            <w:tcW w:w="7733"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Reconciliation of Net Income (Loss) to Adjusted EBITDA</w:t>
            </w:r>
          </w:p>
        </w:tc>
        <w:tc>
          <w:tcPr>
            <w:tcW w:w="2472" w:type="dxa"/>
            <w:gridSpan w:val="12"/>
            <w:tcBorders/>
          </w:tcPr>
          <w:p>
            <w:pPr>
              <w:pStyle w:val="TableContents"/>
              <w:bidi w:val="0"/>
              <w:spacing w:before="0" w:after="283"/>
              <w:jc w:val="left"/>
              <w:rPr>
                <w:sz w:val="4"/>
                <w:szCs w:val="4"/>
              </w:rPr>
            </w:pPr>
            <w:r>
              <w:rPr>
                <w:sz w:val="4"/>
                <w:szCs w:val="4"/>
              </w:rPr>
            </w:r>
          </w:p>
        </w:tc>
      </w:tr>
      <w:tr>
        <w:trPr/>
        <w:tc>
          <w:tcPr>
            <w:tcW w:w="7733"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2472" w:type="dxa"/>
            <w:gridSpan w:val="12"/>
            <w:tcBorders/>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gridSpan w:val="6"/>
            <w:tcBorders/>
          </w:tcPr>
          <w:p>
            <w:pPr>
              <w:pStyle w:val="TableContents"/>
              <w:bidi w:val="0"/>
              <w:spacing w:before="0" w:after="283"/>
              <w:jc w:val="left"/>
              <w:rPr>
                <w:sz w:val="4"/>
                <w:szCs w:val="4"/>
              </w:rPr>
            </w:pPr>
            <w:r>
              <w:rPr>
                <w:sz w:val="4"/>
                <w:szCs w:val="4"/>
              </w:rPr>
            </w:r>
          </w:p>
        </w:tc>
      </w:tr>
      <w:tr>
        <w:trPr/>
        <w:tc>
          <w:tcPr>
            <w:tcW w:w="4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Diamondback Energy, Inc.</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loss on derivative instruments, net</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amortization and accretion</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interest expense related to equity method investments</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equity-based compensation expense</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equity-based compensation expense</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transactions</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Adjusted EBITDA</w:t>
            </w:r>
          </w:p>
        </w:tc>
        <w:tc>
          <w:tcPr>
            <w:tcW w:w="18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Adjustment for non-controlling interest</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4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attributable to Diamondback Energy, Inc.</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ADJUSTED NET INCOME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Adjusted net income is a non-GAAP financial measure equal to net income (loss) attributable to Diamondback Energy, Inc. plus net income (loss) attributable to non-controlling interest ("net income (loss)") adjusted for non-cash (gain) loss on derivative instruments, net, (gain) loss on extinguishment of debt, impairment of oil and natural gas properties, other non-cash transactions and related income tax adjustments.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 Further, in order to allow investors to compare the Company's performance across periods, the Company excludes the effects of significant transactions that may affect earnings but are unpredictable in nature, timing and amount, although they may recur in different reporting periods.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 presents a reconciliation of the GAAP financial measure of net income (loss) attributable to Diamondback Energy, Inc. to the non-GAAP measure of adjusted net income: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25"/>
        <w:gridCol w:w="1588"/>
        <w:gridCol w:w="1596"/>
        <w:gridCol w:w="437"/>
        <w:gridCol w:w="1278"/>
        <w:gridCol w:w="225"/>
        <w:gridCol w:w="225"/>
        <w:gridCol w:w="225"/>
        <w:gridCol w:w="225"/>
        <w:gridCol w:w="539"/>
        <w:gridCol w:w="1281"/>
        <w:gridCol w:w="273"/>
        <w:gridCol w:w="109"/>
        <w:gridCol w:w="109"/>
        <w:gridCol w:w="109"/>
        <w:gridCol w:w="161"/>
      </w:tblGrid>
      <w:tr>
        <w:trPr/>
        <w:tc>
          <w:tcPr>
            <w:tcW w:w="182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488" w:type="dxa"/>
            <w:gridSpan w:val="4"/>
            <w:tcBorders/>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Net Income</w:t>
            </w:r>
          </w:p>
        </w:tc>
        <w:tc>
          <w:tcPr>
            <w:tcW w:w="488" w:type="dxa"/>
            <w:gridSpan w:val="4"/>
            <w:tcBorders/>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 in millions except per share data, shares in thousands)</w:t>
            </w:r>
          </w:p>
        </w:tc>
        <w:tc>
          <w:tcPr>
            <w:tcW w:w="488" w:type="dxa"/>
            <w:gridSpan w:val="4"/>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 attributable to Diamondback Energy, Inc.</w:t>
            </w:r>
            <w:r>
              <w:rPr>
                <w:rFonts w:ascii="Times New Roman;serif" w:hAnsi="Times New Roman;serif"/>
                <w:b/>
                <w:color w:val="000000"/>
                <w:sz w:val="12"/>
              </w:rPr>
              <w:t>(1)</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income (loss)</w:t>
            </w:r>
            <w:r>
              <w:rPr>
                <w:rFonts w:ascii="Times New Roman;serif" w:hAnsi="Times New Roman;serif"/>
                <w:b/>
                <w:color w:val="000000"/>
                <w:sz w:val="12"/>
              </w:rPr>
              <w:t>(1)</w:t>
            </w:r>
            <w:r>
              <w:rPr>
                <w:color w:val="000000"/>
              </w:rPr>
              <w:t xml:space="preserve"> </w:t>
            </w:r>
          </w:p>
        </w:tc>
        <w:tc>
          <w:tcPr>
            <w:tcW w:w="17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(gain) loss on derivative instruments, net</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extinguishment of debt</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oil and natural gas properties</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940"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transactions</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 excluding above items</w:t>
            </w:r>
            <w:r>
              <w:rPr>
                <w:rFonts w:ascii="Times New Roman;serif" w:hAnsi="Times New Roman;serif"/>
                <w:b w:val="false"/>
                <w:color w:val="000000"/>
                <w:sz w:val="13"/>
              </w:rPr>
              <w:t>(1)</w:t>
            </w:r>
          </w:p>
        </w:tc>
        <w:tc>
          <w:tcPr>
            <w:tcW w:w="1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 for above items</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w:t>
            </w:r>
            <w:r>
              <w:rPr>
                <w:rFonts w:ascii="Times New Roman;serif" w:hAnsi="Times New Roman;serif"/>
                <w:b/>
                <w:color w:val="000000"/>
                <w:sz w:val="12"/>
              </w:rPr>
              <w:t>(1)</w:t>
            </w:r>
          </w:p>
        </w:tc>
        <w:tc>
          <w:tcPr>
            <w:tcW w:w="17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Adjusted net income attributable to non-controlling interest</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net income attributable to Diamondback Energy, Inc.</w:t>
            </w:r>
            <w:r>
              <w:rPr>
                <w:rFonts w:ascii="Times New Roman;serif" w:hAnsi="Times New Roman;serif"/>
                <w:b/>
                <w:color w:val="000000"/>
                <w:sz w:val="12"/>
              </w:rPr>
              <w:t>(1)</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282,792 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282,792 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$3 million in earnings attributable to participating securities, (iii) divided by diluted weighted average common shares outstanding for the respective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OPERATING CASH FLOW BEFORE WORKING CAPITAL CHANGES, FREE CASH FLOW AND ADJUSTED FREE CASH FLOW</w:t>
      </w:r>
    </w:p>
    <w:p>
      <w:pPr>
        <w:pStyle w:val="TextBody"/>
        <w:bidi w:val="0"/>
        <w:spacing w:before="0" w:after="0"/>
        <w:ind w:left="0" w:right="0" w:hanging="27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Operating cash flow before working capital changes, which is a non-GAAP financial measure, represents net cash provided by operating activities as determined under GAAP without regard to changes in working capital.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changes in working capital relate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The Company defines Free Cash Flow, which is a non-GAAP financial measure, as cash flow from operating activities before changes in working capital in excess of cash capital expenditures. The Company defines Adjusted Free Cash Flow, which is a non-GAAP financial measure, as Free Cash Flow before the tax impact from divestitures (if any), merger and transaction expenses, costs of early termination of derivatives and settlements of any treasury locks. The Company believes that Free Cash Flow and Adjusted Free Cash Flow are useful to investors as they provide a measure to compare both cash flow from operating activities and additions to oil and natural gas properties across periods on a consistent basis, adjusted, as applicable, for non-recurring impacts from divestitures, merger and transaction expenses, the early termination of derivative contracts and settlements of treasury locks. These measures should not be considered as an alternative to, or more meaningful than, net cash provided by operating activities as an indicator of liquidity. The Company's computation of Free Cash Flow may not be comparable to other similarly titled measures of other companies.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tables present a reconciliation of the GAAP financial measure of net cash provided by operating activities to the non-GAAP measure of operating cash flow before working capital changes and to the non-GAAP measures of Free Cash Flow and Adjusted Free Cash Flow: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89"/>
        <w:gridCol w:w="1332"/>
        <w:gridCol w:w="1251"/>
        <w:gridCol w:w="501"/>
        <w:gridCol w:w="1463"/>
        <w:gridCol w:w="258"/>
        <w:gridCol w:w="258"/>
        <w:gridCol w:w="258"/>
        <w:gridCol w:w="258"/>
        <w:gridCol w:w="501"/>
        <w:gridCol w:w="1463"/>
        <w:gridCol w:w="258"/>
        <w:gridCol w:w="109"/>
        <w:gridCol w:w="109"/>
        <w:gridCol w:w="109"/>
        <w:gridCol w:w="109"/>
        <w:gridCol w:w="109"/>
        <w:gridCol w:w="109"/>
        <w:gridCol w:w="161"/>
      </w:tblGrid>
      <w:tr>
        <w:trPr/>
        <w:tc>
          <w:tcPr>
            <w:tcW w:w="15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3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c>
          <w:tcPr>
            <w:tcW w:w="815" w:type="dxa"/>
            <w:gridSpan w:val="7"/>
            <w:tcBorders/>
          </w:tcPr>
          <w:p>
            <w:pPr>
              <w:pStyle w:val="TableContents"/>
              <w:bidi w:val="0"/>
              <w:spacing w:before="0" w:after="283"/>
              <w:jc w:val="left"/>
              <w:rPr>
                <w:sz w:val="4"/>
                <w:szCs w:val="4"/>
              </w:rPr>
            </w:pPr>
            <w:r>
              <w:rPr>
                <w:sz w:val="4"/>
                <w:szCs w:val="4"/>
              </w:rPr>
            </w:r>
          </w:p>
        </w:tc>
      </w:tr>
      <w:tr>
        <w:trPr/>
        <w:tc>
          <w:tcPr>
            <w:tcW w:w="93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Cash Flow Before Working Capital Changes, Free Cash Flow and Adjusted Free Cash Flow</w:t>
            </w:r>
          </w:p>
        </w:tc>
        <w:tc>
          <w:tcPr>
            <w:tcW w:w="815" w:type="dxa"/>
            <w:gridSpan w:val="7"/>
            <w:tcBorders/>
          </w:tcPr>
          <w:p>
            <w:pPr>
              <w:pStyle w:val="TableContents"/>
              <w:bidi w:val="0"/>
              <w:spacing w:before="0" w:after="283"/>
              <w:jc w:val="left"/>
              <w:rPr>
                <w:sz w:val="4"/>
                <w:szCs w:val="4"/>
              </w:rPr>
            </w:pPr>
            <w:r>
              <w:rPr>
                <w:sz w:val="4"/>
                <w:szCs w:val="4"/>
              </w:rPr>
            </w:r>
          </w:p>
        </w:tc>
      </w:tr>
      <w:tr>
        <w:trPr/>
        <w:tc>
          <w:tcPr>
            <w:tcW w:w="93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c>
          <w:tcPr>
            <w:tcW w:w="815" w:type="dxa"/>
            <w:gridSpan w:val="7"/>
            <w:tcBorders/>
          </w:tcPr>
          <w:p>
            <w:pPr>
              <w:pStyle w:val="TableContents"/>
              <w:bidi w:val="0"/>
              <w:spacing w:before="0" w:after="283"/>
              <w:jc w:val="left"/>
              <w:rPr>
                <w:sz w:val="4"/>
                <w:szCs w:val="4"/>
              </w:rPr>
            </w:pPr>
            <w:r>
              <w:rPr>
                <w:sz w:val="4"/>
                <w:szCs w:val="4"/>
              </w:rPr>
            </w:r>
          </w:p>
        </w:tc>
      </w:tr>
      <w:tr>
        <w:trPr/>
        <w:tc>
          <w:tcPr>
            <w:tcW w:w="4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4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Changes in cash due to changes in operating assets and liabilities:</w:t>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and royalties payable</w:t>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working capital changes</w:t>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cash flow before working capital changes</w:t>
            </w:r>
          </w:p>
        </w:tc>
        <w:tc>
          <w:tcPr>
            <w:tcW w:w="1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oil and natural gas properties</w:t>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CAPEX</w:t>
            </w:r>
          </w:p>
        </w:tc>
        <w:tc>
          <w:tcPr>
            <w:tcW w:w="1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2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Merger and transaction expenses</w:t>
            </w:r>
            <w:r>
              <w:rPr>
                <w:rFonts w:ascii="Times New Roman;serif" w:hAnsi="Times New Roman;serif"/>
                <w:b w:val="false"/>
                <w:color w:val="000000"/>
                <w:sz w:val="13"/>
              </w:rPr>
              <w:t>(1)</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termination of derivatives</w:t>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locks</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Free Cash Flow</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$4 million of Viper's transaction expenses related to the Sitio Acquisition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both"/>
        <w:rPr>
          <w:rFonts w:ascii="Times New Roman;serif" w:hAnsi="Times New Roman;serif"/>
          <w:b/>
          <w:color w:val="000000"/>
          <w:sz w:val="24"/>
          <w:u w:val="single"/>
        </w:rPr>
      </w:pPr>
      <w:r>
        <w:rPr>
          <w:rFonts w:ascii="Times New Roman;serif" w:hAnsi="Times New Roman;serif"/>
          <w:b/>
          <w:color w:val="000000"/>
          <w:sz w:val="24"/>
          <w:u w:val="single"/>
        </w:rPr>
        <w:t>NET DEBT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defines the non-GAAP measure of net debt as total debt (excluding debt issuance costs, discounts, premiums and unamortized basis adjustments) less cash and cash equivalents and restricted cash that has been irrevocably deposited for the redemption of principal amounts of outstanding senior notes.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tbl>
      <w:tblPr>
        <w:tblW w:w="10205" w:type="dxa"/>
        <w:jc w:val="left"/>
        <w:tblInd w:w="0" w:type="dxa"/>
        <w:tblLayout w:type="fixed"/>
        <w:tblCellMar>
          <w:top w:w="28" w:type="dxa"/>
          <w:left w:w="28" w:type="dxa"/>
          <w:bottom w:w="28" w:type="dxa"/>
          <w:right w:w="28" w:type="dxa"/>
        </w:tblCellMar>
      </w:tblPr>
      <w:tblGrid>
        <w:gridCol w:w="534"/>
        <w:gridCol w:w="468"/>
        <w:gridCol w:w="471"/>
        <w:gridCol w:w="219"/>
        <w:gridCol w:w="752"/>
        <w:gridCol w:w="113"/>
        <w:gridCol w:w="109"/>
        <w:gridCol w:w="109"/>
        <w:gridCol w:w="109"/>
        <w:gridCol w:w="405"/>
        <w:gridCol w:w="927"/>
        <w:gridCol w:w="211"/>
        <w:gridCol w:w="109"/>
        <w:gridCol w:w="109"/>
        <w:gridCol w:w="109"/>
        <w:gridCol w:w="229"/>
        <w:gridCol w:w="783"/>
        <w:gridCol w:w="118"/>
        <w:gridCol w:w="109"/>
        <w:gridCol w:w="109"/>
        <w:gridCol w:w="109"/>
        <w:gridCol w:w="231"/>
        <w:gridCol w:w="791"/>
        <w:gridCol w:w="119"/>
        <w:gridCol w:w="109"/>
        <w:gridCol w:w="109"/>
        <w:gridCol w:w="109"/>
        <w:gridCol w:w="215"/>
        <w:gridCol w:w="735"/>
        <w:gridCol w:w="111"/>
        <w:gridCol w:w="109"/>
        <w:gridCol w:w="109"/>
        <w:gridCol w:w="109"/>
        <w:gridCol w:w="219"/>
        <w:gridCol w:w="750"/>
        <w:gridCol w:w="169"/>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Diamondback Energy, Inc.</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in millions)</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 Q1 Principal Borrowings/(Repayments)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millions)</w:t>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Diamondback Energy, Inc.</w:t>
            </w:r>
            <w:r>
              <w:rPr>
                <w:rFonts w:ascii="Times New Roman;serif" w:hAnsi="Times New Roman;serif"/>
                <w:b w:val="false"/>
                <w:color w:val="000000"/>
                <w:sz w:val="13"/>
              </w:rPr>
              <w:t>(1)</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Viper Energy, Inc.</w:t>
            </w:r>
            <w:r>
              <w:rPr>
                <w:rFonts w:ascii="Times New Roman;serif" w:hAnsi="Times New Roman;serif"/>
                <w:b w:val="false"/>
                <w:color w:val="000000"/>
                <w:sz w:val="13"/>
              </w:rPr>
              <w:t>(1)</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debt</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(1)Excludes debt issuance costs, discounts, premiums and unamortized basis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 of May 1, 2026, the Company had the following outstanding consolidated derivative contracts, including derivative contracts at Viper. The Company’s derivative contracts are based upon reported settlement prices on commodity exchanges, with crude oil derivative settlements based on New York Mercantile Exchange West Texas Intermediate pricing and Crude Oil Brent pricing and with natural gas derivative settlements based on the New York Mercantile Exchange Henry Hub pricing. When aggregating multiple contracts, the weighted average contract price is disclosed.</w:t>
      </w:r>
    </w:p>
    <w:p>
      <w:pPr>
        <w:pStyle w:val="TextBody"/>
        <w:bidi w:val="0"/>
        <w:spacing w:before="0" w:after="0"/>
        <w:jc w:val="both"/>
        <w:rPr/>
      </w:pPr>
      <w:r>
        <w:rPr/>
      </w:r>
    </w:p>
    <w:tbl>
      <w:tblPr>
        <w:tblW w:w="8864" w:type="dxa"/>
        <w:jc w:val="center"/>
        <w:tblInd w:w="0" w:type="dxa"/>
        <w:tblLayout w:type="fixed"/>
        <w:tblCellMar>
          <w:top w:w="28" w:type="dxa"/>
          <w:left w:w="28" w:type="dxa"/>
          <w:bottom w:w="28" w:type="dxa"/>
          <w:right w:w="28" w:type="dxa"/>
        </w:tblCellMar>
      </w:tblPr>
      <w:tblGrid>
        <w:gridCol w:w="1232"/>
        <w:gridCol w:w="1082"/>
        <w:gridCol w:w="1091"/>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244"/>
        <w:gridCol w:w="244"/>
        <w:gridCol w:w="246"/>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Crude Oil (Bbls/day, $/Bbl)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Q1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Crude Brent Oil</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WTI (Magellan East Houston)</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 Puts - WTI (Cushing)</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Costless 3-Way Collars - WTI (Cushing)</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Ceiling Price ($/Bbl)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115.07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115.07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115.07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Short Put Price ($/Bbl)</w:t>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Put Spreads WTI (Cushing)</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 Put Price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Short Put Price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Basis Swaps - WTI (Midland)</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WTI / Brent Basis Puts</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255,330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Spread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Deferred Premium ($/Bbl)</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Roll Swaps - WTI</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553" w:type="dxa"/>
        <w:jc w:val="center"/>
        <w:tblInd w:w="0" w:type="dxa"/>
        <w:tblLayout w:type="fixed"/>
        <w:tblCellMar>
          <w:top w:w="28" w:type="dxa"/>
          <w:left w:w="28" w:type="dxa"/>
          <w:bottom w:w="28" w:type="dxa"/>
          <w:right w:w="28" w:type="dxa"/>
        </w:tblCellMar>
      </w:tblPr>
      <w:tblGrid>
        <w:gridCol w:w="1445"/>
        <w:gridCol w:w="1270"/>
        <w:gridCol w:w="1274"/>
        <w:gridCol w:w="244"/>
        <w:gridCol w:w="244"/>
        <w:gridCol w:w="246"/>
        <w:gridCol w:w="150"/>
        <w:gridCol w:w="150"/>
        <w:gridCol w:w="150"/>
        <w:gridCol w:w="244"/>
        <w:gridCol w:w="244"/>
        <w:gridCol w:w="246"/>
        <w:gridCol w:w="150"/>
        <w:gridCol w:w="150"/>
        <w:gridCol w:w="150"/>
        <w:gridCol w:w="244"/>
        <w:gridCol w:w="244"/>
        <w:gridCol w:w="246"/>
        <w:gridCol w:w="150"/>
        <w:gridCol w:w="150"/>
        <w:gridCol w:w="150"/>
        <w:gridCol w:w="249"/>
        <w:gridCol w:w="249"/>
        <w:gridCol w:w="251"/>
        <w:gridCol w:w="109"/>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Natural Gas (Mmbtu/day, $/Mmbtu)</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Q2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Q3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Q4 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FY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Costless Collars - Henry Hub</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Floor Price ($/Mmbtu)</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Ceiling Price ($/Mmbtu)</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Basis Swaps - Waha Hub</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Natural Gas Basis Swaps - Houston Ship Channel</w:t>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Investor Contact: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Adam Lawlis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+1 432.221.7467</w:t>
      </w:r>
    </w:p>
    <w:p>
      <w:pPr>
        <w:pStyle w:val="TextBody"/>
        <w:bidi w:val="0"/>
        <w:spacing w:lineRule="auto" w:line="288"/>
        <w:jc w:val="right"/>
        <w:rPr>
          <w:rFonts w:ascii="Times New Roman;serif" w:hAnsi="Times New Roman;serif"/>
          <w:b w:val="false"/>
          <w:color w:val="000000"/>
          <w:sz w:val="24"/>
        </w:rPr>
      </w:pPr>
      <w:r>
        <w:rPr>
          <w:rFonts w:ascii="Times New Roman;serif" w:hAnsi="Times New Roman;serif"/>
          <w:b w:val="false"/>
          <w:color w:val="000000"/>
          <w:sz w:val="24"/>
        </w:rPr>
        <w:t xml:space="preserve">alawlis@diamondbackenergy.com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br/>
        <w:t>Exhibit 99.2</w:t>
      </w:r>
    </w:p>
    <w:p>
      <w:pPr>
        <w:pStyle w:val="TextBody"/>
        <w:bidi w:val="0"/>
        <w:spacing w:before="0" w:after="0"/>
        <w:jc w:val="right"/>
        <w:rPr/>
      </w:pPr>
      <w:r>
        <w:rPr/>
      </w:r>
    </w:p>
    <w:p>
      <w:pPr>
        <w:pStyle w:val="TextBody"/>
        <w:bidi w:val="0"/>
        <w:spacing w:before="0" w:after="0"/>
        <w:jc w:val="left"/>
        <w:rPr/>
      </w:pPr>
      <w:r>
        <w:rPr/>
        <w:drawing>
          <wp:inline distT="0" distB="0" distL="0" distR="0">
            <wp:extent cx="2857500" cy="1038225"/>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2857500" cy="10382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LETTER TO STOCKHOLDERS ISSUED BY DIAMONDBACK ENERGY, INC.</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Midland, TX (May 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Diamondback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is meant to be a supplement to our earnings release and is being furnished to the Securities and Exchange Commission (SEC) and released to our stockholders simultaneously with our earnings release. Please see the information regarding forward-looking statements and non-GAAP financial information included at the end of this letter.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Macro Update and Activity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Over the last year, we have spent more time than ever discussing the macroeconomic environment with our stakeholders – a trend we do not expect to change any time soon. Since our last stockholder letter just 70 days ago, the oil market has completely flipped from a projected supply-demand surplus to a historic global deficit. We do not believe it is our job to comment on geopolitical events and will therefore focus on the fundamental analysis and how that fundamental analysis is shaping our capital allocation decisions during these volatile times.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Last quarter we closed our macro update with the following sentence:</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i/>
          <w:color w:val="000000"/>
          <w:sz w:val="24"/>
        </w:rPr>
        <w:t>Therefore, we remain positioned with ultimate flexibility: we have the inventory depth and operational capacity to accelerate activity quickly if the market tightens and we also retain the flexibility to moderate activity if conditions significantly soften from current levels.”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Since that statement, front month oil prices have increased by over 50% and the 2-year oil strip has moved by over 20%. Global oil production declined by over 8 million barrels per day in March (almost 8% of global production), a number that further increased in April. For reference, the prior projected oversupply that sent prices down over $20 per barrel last year was expected to be between a 1% and 2% mismatch of supply and demand. The oversupply projections pale in comparison to the current situation. Prices for physical delivery of crude oil and refined products have increased even further, with some regions around the world already seeing shortages and demand destruction. Therefore, we believe there is a legitimate supply-demand imbalance and that the associated price signal is the catalyst to begin to grow production.</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Because of our positioning, our preparation and this price signal, we are bringing incremental barrels to the market immediately. We have made the decision to begin to work down our drilled but uncompleted well (“DUC”) balance to maintain our current production level of over 520,000 Bo/d - up 3% from our original 2026 guidance. Diamondback is capturing the production response now and will subsequently backfill activity to maintain our future operational flexibility.</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To execute this plan, we expect to run 5 completion crews consistently for the remainder of the year and to add two or three rigs to preserve a healthy backlog of projects to maintain operational flexibility. This level of incremental activity maintains our current level of capital efficiency and puts Diamondback in a differentiated position.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On top of increasing Cash Flow per share, this revised plan generates more Free Cash Flow per share in 2026 assuming WTI averages over $60 for the rest of the year. This gives us the ability to maintain current activity levels even if oil prices decline. While our “stoplight” analogy for the macro environment served its purpose over the last year, we are going to put it on the sidelines for now as the light has turned green, and Diamondback is well-positioned to respond to the current macro environment.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First Quarter 2026 Operational Performance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delivered a strong first quarter, driven by solid execution despite weather-related impacts from Winter Storm Fern in January. Oil production averaged 521 MBO/d, exceeding the high end of our 502 - 512 MBO/d guidance range. Importantly, this beat was not a result of higher cash capital expenditures as we invested $933 million for the quarter, below the midpoint of our $900 - $975 million guidance range.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Lease operating expenses (“LOE”) and other cash operating costs were also in line with our guidance. LOE averaged $6.21 per BOE, an increase over LOE costs in Q4 2025 primarily due to one-time charges associated with production recovery efforts following Winter Storm Fern. We continue to work tirelessly to minimize cash costs, and our operations team and field organization are currently scaling automation and data</w:t>
        <w:noBreakHyphen/>
        <w:t>driven predictive maintenance (including through Artificial Intelligence initiatives), which we expect to increase uptime and reduce LOE in the coming years.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Our drilling and completion teams continue to manufacture wellbores with industry-leading execution through consistent, repeatable performance across the program. Importantly, executing ahead of plan was a key contributor to the production beat this quarter, fueled by the compounding efficiency gains our teams are delivering quarter after quarter versus the base plan. Drilling performance was a standout this quarter, with 11% of wells reaching total depth in less than five days and new internal speed records on the fastest ~2, ~3 and ~4-mile wells. Notably, the team drilled the fastest Barnett well in company history (~18 days) at the lowest Barnett cost to date (under $400 per lateral foot), supporting our belief that Barnett development is trending toward competitiveness with the rest of our portfolio. On the completions side, continuous pumping is compounding improvements in utilization and reducing non-productive time. In addition, with roughly 80% of the frac fleet electrified, we view electrification as a strategic advantage in this environment, as it meaningfully reduces exposure to diesel-driven cost inflation while also supporting more consistent execution through lower fuel logistics intensity and improved operating efficiency.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 xml:space="preserve">First Quarter 2026 Financial Performance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In the first quarter, we generated $1.8 billion in net cash from operating activities, which translated into $1.7 billion of Free Cash Flow and Adjusted Free Cash Flow.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recorded a $1.4 billion non-cash impairment in the first quarter. As discussed in detail in our previous letter, the charge was mechanically driven by trailing twelve</w:t>
        <w:noBreakHyphen/>
        <w:t>month, first</w:t>
        <w:noBreakHyphen/>
        <w:t>of-month SEC pricing, with weaker January and February oil prices this year rolling through the SEC price deck and impacting our ceiling test. Looking ahead, we expect this to be the last impairment related to this price roll</w:t>
        <w:noBreakHyphen/>
        <w:t>through.</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Return of Capital and Capital Allocation Update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Today we are announcing a change to the structure of how we return Free Cash Flow to our stockholders. Since late 2021, we have maintained a commitment to return a minimum percentage of our quarterly Adjusted Free Cash Flow to stockholders through a base dividend, share repurchases and variable dividends. Over the past four years, we have returned approximately $12.1 billion to stockholders through $3.4 billion of base dividends, $5.9 billion of share repurchases and $2.8 billion of variable dividends.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Next quarter, we plan to remove our quarterly percentage of Adjusted Free Cash Flow return commitment and instead retain the flexibility to allocate our post-dividend Free Cash Flow to the opportunity that best creates long-term stockholder value.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The formulaic return of capital commitment served an important purpose to instill capital discipline into the E&amp;P sector after COVID. The downside to the formulaic return mechanism was its restrictive structure on a highly cyclical business (as exemplified this quarter). The quarterly aspect meant that we had to make capital allocation decisions within a 90 day window, rather than making decisions through a cyclical lens.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We will continue to prioritize our stable and growing base dividend, which we expect to remain protected below $40 per barrel at maintenance production levels. Today, we are increasing our base dividend by 5% to $4.40 per share annually, now up 10% this year. We will also continue an active repurchase program focused on buying back shares below our estimated intrinsic value at mid-cycle commodity prices just as we have over the last five years. Currently, we do not see value in paying out variable dividends, so we have put that mechanism aside for now.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There will be times (like today) where commodity prices are high and we use excess Free Cash Flow to accelerate debt pay down or build cash. On the other hand, there will be periods where we outspend cash flow and lean on our balance sheet to buy back shares because our equity is undervalued. Capital allocation, both human and financial, is the most important thing we do – preserving the flexibility to make the correct capital allocation decision at the right point in the commodity cycle is paramount to long-term value creation for Diamondback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Balance Sheet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have made significant progress on debt reduction in 2026. Quarter-over-quarter, consolidated gross debt decreased by $0.6 billion and consolidated net debt decreased by roughly $0.7 billion. We ended the quarter with consolidated gross debt of approximately $14.1 billion and consolidated net debt of $13.9 billion.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 April, we repurchased some of our long</w:t>
        <w:noBreakHyphen/>
        <w:t>dated notes at an attractive discount by successfully retiring $777 million in principal of our 2051 and 2052 Senior Notes for $632 million including accrued interest, or 81.1% of par value. We also fully repaid the remaining $550 million outstanding on our term loan due in 2027. Since the end of the third quarter of 2025, we have reduced total debt by ~$3.7 billion (a 23% reduction). We believe that accelerating deleveraging in a high commodity price environment strengthens our downside durability and gives us significant flexibility and optionality through the next cycle.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u w:val="single"/>
        </w:rPr>
      </w:pPr>
      <w:r>
        <w:rPr>
          <w:rFonts w:ascii="Times New Roman;serif" w:hAnsi="Times New Roman;serif"/>
          <w:b/>
          <w:color w:val="000000"/>
          <w:sz w:val="24"/>
          <w:u w:val="single"/>
        </w:rPr>
        <w:t>Closing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are grateful for the trust you have put in Diamondback and our ability to appropriately allocate capital. With the operational and financial momentum we have today, we are well positioned to deliver strong outcomes through 2026 and beyond.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Thank you for your interest in Diamondback Energy.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Kaes Van't Hof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Adam Lawlis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+1 432.221.7467</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alawlis@diamondbackenergy.com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This letter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Double Eagle Acquisition and the Sitio acquisition completed by Diamondback's subsidiary, Viper Energy, Inc., and other acquisitions, divestitures or reorganizations); and plans and objectives of management (including plans for future cash flow from operations and for executing environmental strategies) are forward-looking statements. When used in this letter,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sector;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ESG factors, and risks from our publicly disclosed targets related to sustainability and emissions reduction initiatives; challenges in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commitment,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the recently completed Double Eagle Acquisition and Viper’s Sitio Acquisition; the Endeavor stockholders’ ability to significantly influence our business and potential conflicts of interest; and other risks described in Part I, Item 1A of Diamondback’s Annual Report on Form 10-K, filed with the SEC on February 25, 2026, and those risks disclosed in its subsequent filings on Forms 10-Q and 8-K, which can be obtained free of charge on the SEC’s website at http://www.sec.gov and Diamondback’s website at www.diamondbackenergy.com/investors.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Non-GAAP Financial Measures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This letter includes financial information not prepared in conformity with generally accepted accounting principles (GAAP), such as Free Cash Flow, Adjusted Free Cash Flow, Adjusted Free Cash Flow per share and net debt. The non-GAAP information should be considered by the reader in addition to, but not instead of, financial information prepared in accordance with GAAP. A reconciliation of the differences between these non-GAAP financial measures and the most directly comparable GAAP financial measures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can be found in Diamondback's quarterly results, which are posted on Diamondback's website at www.diamondbackenergy.com/investors and included as Exhibit 99.1 to the Current Report on Form 8-K filed by Diamondback with the SEC that also includes this letter as Exhibit 99.2. Furthermore, this letter includes or references certain forward-looking, non-GAAP financial measures. Because Diamondback provides these measures on a forward-looking basis, it cannot reliably or reasonably predict certain of the necessary components of the most directly comparable forward-looking GAAP financial measures, such as future impairments and future changes in working capital. Accordingly, Diamondback is unable to present a quantitative reconciliation of such forward-looking, non-GAAP financial measures to the respective most directly comparable forward-looking GAAP financial measures. Diamondback believes that these forward-looking, non-GAAP measures may be a useful tool for the investment community in comparing Diamondback's forecasted financial performance to the forecasted financial performance of other companies in the industry.</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9341</Words>
  <Characters>53162</Characters>
  <CharactersWithSpaces>61641</CharactersWithSpaces>
  <Paragraphs>1370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