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270510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224790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UNDER SECTION 13 OR 15(d) OF THE SECURITIES EXCHANGE ACT OF</w:t>
      </w:r>
    </w:p>
    <w:p>
      <w:pPr>
        <w:spacing w:after="0" w:line="30"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0" w:lineRule="exact"/>
        <w:rPr>
          <w:sz w:val="24"/>
          <w:szCs w:val="24"/>
          <w:color w:val="auto"/>
        </w:rPr>
      </w:pPr>
    </w:p>
    <w:p>
      <w:pPr>
        <w:ind w:left="680" w:hanging="645"/>
        <w:spacing w:after="0"/>
        <w:tabs>
          <w:tab w:leader="none" w:pos="6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 REPORT UNDER SECTION 13 OR 15(d) OF SECURITIES EXCHANGE ACT OF 1934</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001-35700</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-297815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45-4502447</w:t>
      </w:r>
    </w:p>
    <w:p>
      <w:pPr>
        <w:spacing w:after="0" w:line="72" w:lineRule="exact"/>
        <w:rPr>
          <w:sz w:val="24"/>
          <w:szCs w:val="24"/>
          <w:color w:val="auto"/>
        </w:rPr>
      </w:pPr>
    </w:p>
    <w:p>
      <w:pPr>
        <w:sectPr>
          <w:pgSz w:w="11900" w:h="16838" w:orient="portrait"/>
          <w:cols w:equalWidth="0" w:num="2">
            <w:col w:w="7060" w:space="720"/>
            <w:col w:w="3640"/>
          </w:cols>
          <w:pgMar w:left="240" w:top="889" w:right="23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6780" w:space="720"/>
            <w:col w:w="3920"/>
          </w:cols>
          <w:pgMar w:left="240" w:top="889" w:right="239" w:bottom="1440" w:gutter="0" w:footer="0" w:header="0"/>
          <w:type w:val="continuous"/>
        </w:sectPr>
      </w:pPr>
    </w:p>
    <w:p>
      <w:pPr>
        <w:spacing w:after="0" w:line="96"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500 West Texas, Suite 1200</w:t>
      </w:r>
    </w:p>
    <w:p>
      <w:pPr>
        <w:spacing w:after="0" w:line="4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Midland, Texas</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79701</w:t>
      </w:r>
    </w:p>
    <w:p>
      <w:pPr>
        <w:spacing w:after="0" w:line="87" w:lineRule="exact"/>
        <w:rPr>
          <w:sz w:val="24"/>
          <w:szCs w:val="24"/>
          <w:color w:val="auto"/>
        </w:rPr>
      </w:pPr>
    </w:p>
    <w:p>
      <w:pPr>
        <w:sectPr>
          <w:pgSz w:w="11900" w:h="16838" w:orient="portrait"/>
          <w:cols w:equalWidth="0" w:num="2">
            <w:col w:w="7260" w:space="720"/>
            <w:col w:w="3440"/>
          </w:cols>
          <w:pgMar w:left="240" w:top="889" w:right="2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57" w:lineRule="exact"/>
        <w:rPr>
          <w:sz w:val="24"/>
          <w:szCs w:val="24"/>
          <w:color w:val="auto"/>
        </w:rPr>
      </w:pPr>
    </w:p>
    <w:p>
      <w:pPr>
        <w:sectPr>
          <w:pgSz w:w="11900" w:h="16838" w:orient="portrait"/>
          <w:cols w:equalWidth="0" w:num="2">
            <w:col w:w="7160" w:space="720"/>
            <w:col w:w="3540"/>
          </w:cols>
          <w:pgMar w:left="240" w:top="889"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(432) 221-7400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 Telephone Number, Including Area Code)</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ectPr>
          <w:pgSz w:w="11900" w:h="16838" w:orient="portrait"/>
          <w:cols w:equalWidth="0" w:num="1">
            <w:col w:w="11420"/>
          </w:cols>
          <w:pgMar w:left="240" w:top="889" w:right="239" w:bottom="1440" w:gutter="0" w:footer="0" w:header="0"/>
          <w:type w:val="continuous"/>
        </w:sectPr>
      </w:pPr>
    </w:p>
    <w:p>
      <w:pPr>
        <w:spacing w:after="0" w:line="19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outstanding as of May 3, 2019</w:t>
      </w:r>
    </w:p>
    <w:p>
      <w:pPr>
        <w:spacing w:after="0" w:line="75" w:lineRule="exact"/>
        <w:rPr>
          <w:sz w:val="24"/>
          <w:szCs w:val="24"/>
          <w:color w:val="auto"/>
        </w:rPr>
      </w:pPr>
    </w:p>
    <w:p>
      <w:pPr>
        <w:sectPr>
          <w:pgSz w:w="11900" w:h="16838" w:orient="portrait"/>
          <w:cols w:equalWidth="0" w:num="4">
            <w:col w:w="1360" w:space="380"/>
            <w:col w:w="1420" w:space="720"/>
            <w:col w:w="3200" w:space="720"/>
            <w:col w:w="3620"/>
          </w:cols>
          <w:pgMar w:left="240" w:top="889" w:right="2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164,672,205</w:t>
      </w:r>
    </w:p>
    <w:p>
      <w:pPr>
        <w:spacing w:after="0" w:line="200" w:lineRule="exact"/>
        <w:rPr>
          <w:sz w:val="24"/>
          <w:szCs w:val="24"/>
          <w:color w:val="auto"/>
        </w:rPr>
      </w:pPr>
    </w:p>
    <w:p>
      <w:pPr>
        <w:sectPr>
          <w:pgSz w:w="11900" w:h="16838" w:orient="portrait"/>
          <w:cols w:equalWidth="0" w:num="4">
            <w:col w:w="1460" w:space="720"/>
            <w:col w:w="1520" w:space="720"/>
            <w:col w:w="3840" w:space="720"/>
            <w:col w:w="2440"/>
          </w:cols>
          <w:pgMar w:left="240" w:top="889" w:right="239" w:bottom="1440" w:gutter="0" w:footer="0" w:header="0"/>
          <w:type w:val="continuous"/>
        </w:sectPr>
      </w:pPr>
    </w:p>
    <w:p>
      <w:pPr>
        <w:spacing w:after="0" w:line="75"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371" w:lineRule="exact"/>
        <w:rPr>
          <w:sz w:val="24"/>
          <w:szCs w:val="24"/>
          <w:color w:val="auto"/>
        </w:rPr>
      </w:pPr>
    </w:p>
    <w:p>
      <w:pPr>
        <w:ind w:right="120"/>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o</w:t>
            </w:r>
          </w:p>
        </w:tc>
      </w:tr>
      <w:tr>
        <w:trPr>
          <w:trHeight w:val="372"/>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w:t>
            </w:r>
          </w:p>
        </w:tc>
        <w:tc>
          <w:tcPr>
            <w:tcW w:w="530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o</w:t>
            </w:r>
          </w:p>
        </w:tc>
      </w:tr>
      <w:tr>
        <w:trPr>
          <w:trHeight w:val="392"/>
        </w:trPr>
        <w:tc>
          <w:tcPr>
            <w:tcW w:w="18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30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243"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8"/>
          <w:szCs w:val="18"/>
          <w:color w:val="auto"/>
        </w:rPr>
        <w:t>o</w:t>
      </w:r>
    </w:p>
    <w:p>
      <w:pPr>
        <w:spacing w:after="0" w:line="132" w:lineRule="exact"/>
        <w:rPr>
          <w:sz w:val="24"/>
          <w:szCs w:val="24"/>
          <w:color w:val="auto"/>
        </w:rPr>
      </w:pPr>
    </w:p>
    <w:p>
      <w:pPr>
        <w:spacing w:after="0" w:line="207" w:lineRule="exact"/>
        <w:tabs>
          <w:tab w:leader="none" w:pos="752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889"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10"/>
            <w:shd w:val="clear" w:color="auto" w:fill="CCEEFF"/>
          </w:tcPr>
          <w:p>
            <w:pPr>
              <w:spacing w:after="0" w:line="163"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Glossary of Oil and Natural Gas Terms</w:t>
              </w:r>
            </w:hyperlink>
          </w:p>
        </w:tc>
        <w:tc>
          <w:tcPr>
            <w:tcW w:w="7880" w:type="dxa"/>
            <w:vAlign w:val="bottom"/>
            <w:tcBorders>
              <w:bottom w:val="single" w:sz="8" w:color="CCEEFF"/>
            </w:tcBorders>
            <w:gridSpan w:val="13"/>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170"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ii</w:t>
              </w:r>
            </w:hyperlink>
          </w:p>
        </w:tc>
        <w:tc>
          <w:tcPr>
            <w:tcW w:w="28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Glossary of Certain Other Terms</w:t>
              </w:r>
            </w:hyperlink>
          </w:p>
        </w:tc>
        <w:tc>
          <w:tcPr>
            <w:tcW w:w="300" w:type="dxa"/>
            <w:vAlign w:val="bottom"/>
          </w:tcPr>
          <w:p>
            <w:pPr>
              <w:spacing w:after="0"/>
              <w:rPr>
                <w:sz w:val="17"/>
                <w:szCs w:val="17"/>
                <w:color w:val="auto"/>
              </w:rPr>
            </w:pPr>
          </w:p>
        </w:tc>
        <w:tc>
          <w:tcPr>
            <w:tcW w:w="380" w:type="dxa"/>
            <w:vAlign w:val="bottom"/>
            <w:gridSpan w:val="4"/>
          </w:tcPr>
          <w:p>
            <w:pPr>
              <w:jc w:val="center"/>
              <w:ind w:right="260"/>
              <w:spacing w:after="0" w:line="202" w:lineRule="exact"/>
              <w:rPr>
                <w:rFonts w:ascii="Times New Roman" w:cs="Times New Roman" w:eastAsia="Times New Roman" w:hAnsi="Times New Roman"/>
                <w:sz w:val="18"/>
                <w:szCs w:val="18"/>
                <w:color w:val="0000EE"/>
                <w:w w:val="85"/>
              </w:rPr>
            </w:pPr>
            <w:hyperlink w:anchor="page5">
              <w:r>
                <w:rPr>
                  <w:rFonts w:ascii="Times New Roman" w:cs="Times New Roman" w:eastAsia="Times New Roman" w:hAnsi="Times New Roman"/>
                  <w:sz w:val="18"/>
                  <w:szCs w:val="18"/>
                  <w:color w:val="0000EE"/>
                  <w:w w:val="85"/>
                </w:rPr>
                <w:t>iv</w:t>
              </w:r>
            </w:hyperlink>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Cautionary Statement Regarding Forward-Looking Statements</w:t>
              </w:r>
            </w:hyperlink>
          </w:p>
        </w:tc>
        <w:tc>
          <w:tcPr>
            <w:tcW w:w="30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4"/>
            <w:shd w:val="clear" w:color="auto" w:fill="CCEEFF"/>
          </w:tcPr>
          <w:p>
            <w:pPr>
              <w:jc w:val="center"/>
              <w:ind w:right="300"/>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v</w:t>
              </w:r>
            </w:hyperlink>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560" w:type="dxa"/>
            <w:vAlign w:val="bottom"/>
            <w:gridSpan w:val="9"/>
            <w:shd w:val="clear" w:color="auto" w:fill="CCEEFF"/>
          </w:tcPr>
          <w:p>
            <w:pPr>
              <w:jc w:val="center"/>
              <w:ind w:right="35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4140" w:type="dxa"/>
            <w:vAlign w:val="bottom"/>
            <w:tcBorders>
              <w:top w:val="single" w:sz="8" w:color="CCEEFF"/>
            </w:tcBorders>
            <w:gridSpan w:val="14"/>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Item 1. Financial Statements (Unaudited)</w:t>
              </w:r>
            </w:hyperlink>
          </w:p>
        </w:tc>
        <w:tc>
          <w:tcPr>
            <w:tcW w:w="3060" w:type="dxa"/>
            <w:vAlign w:val="bottom"/>
            <w:tcBorders>
              <w:top w:val="single" w:sz="8" w:color="auto"/>
            </w:tcBorders>
            <w:gridSpan w:val="8"/>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Consolidated Balance Sheets</w:t>
              </w:r>
            </w:hyperlink>
          </w:p>
        </w:tc>
        <w:tc>
          <w:tcPr>
            <w:tcW w:w="7940" w:type="dxa"/>
            <w:vAlign w:val="bottom"/>
            <w:gridSpan w:val="14"/>
            <w:shd w:val="clear" w:color="auto" w:fill="CCEEFF"/>
          </w:tcPr>
          <w:p>
            <w:pPr>
              <w:spacing w:after="0"/>
              <w:rPr>
                <w:sz w:val="17"/>
                <w:szCs w:val="17"/>
                <w:color w:val="auto"/>
              </w:rPr>
            </w:pPr>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1</w:t>
              </w:r>
            </w:hyperlink>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1"/>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Operations</w:t>
              </w:r>
            </w:hyperlink>
          </w:p>
        </w:tc>
        <w:tc>
          <w:tcPr>
            <w:tcW w:w="400" w:type="dxa"/>
            <w:vAlign w:val="bottom"/>
            <w:gridSpan w:val="3"/>
          </w:tcPr>
          <w:p>
            <w:pPr>
              <w:jc w:val="center"/>
              <w:ind w:left="190"/>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2</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40" w:type="dxa"/>
            <w:vAlign w:val="bottom"/>
            <w:gridSpan w:val="13"/>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Consolidated Statements of Stockholders’ Equity</w:t>
              </w:r>
            </w:hyperlink>
          </w:p>
        </w:tc>
        <w:tc>
          <w:tcPr>
            <w:tcW w:w="6480" w:type="dxa"/>
            <w:vAlign w:val="bottom"/>
            <w:gridSpan w:val="8"/>
            <w:shd w:val="clear" w:color="auto" w:fill="CCEEFF"/>
          </w:tcPr>
          <w:p>
            <w:pPr>
              <w:spacing w:after="0"/>
              <w:rPr>
                <w:sz w:val="17"/>
                <w:szCs w:val="17"/>
                <w:color w:val="auto"/>
              </w:rPr>
            </w:pPr>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3</w:t>
              </w:r>
            </w:hyperlink>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13"/>
          </w:tcPr>
          <w:p>
            <w:pPr>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Consolidated Statements of Cash Flows</w:t>
              </w:r>
            </w:hyperlink>
          </w:p>
        </w:tc>
        <w:tc>
          <w:tcPr>
            <w:tcW w:w="6480" w:type="dxa"/>
            <w:vAlign w:val="bottom"/>
            <w:gridSpan w:val="8"/>
          </w:tcPr>
          <w:p>
            <w:pPr>
              <w:spacing w:after="0"/>
              <w:rPr>
                <w:sz w:val="17"/>
                <w:szCs w:val="17"/>
                <w:color w:val="auto"/>
              </w:rPr>
            </w:pPr>
          </w:p>
        </w:tc>
        <w:tc>
          <w:tcPr>
            <w:tcW w:w="400" w:type="dxa"/>
            <w:vAlign w:val="bottom"/>
            <w:gridSpan w:val="3"/>
          </w:tcPr>
          <w:p>
            <w:pPr>
              <w:jc w:val="center"/>
              <w:ind w:left="190"/>
              <w:spacing w:after="0" w:line="202"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4</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2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Condensed Notes to Consolidated Financial Statements</w:t>
              </w:r>
            </w:hyperlink>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6</w:t>
              </w:r>
            </w:hyperlink>
          </w:p>
        </w:tc>
        <w:tc>
          <w:tcPr>
            <w:tcW w:w="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2. Management’s Discussion and Analysis of Financial Conditions and Results of Operations</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40</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Item 3.</w:t>
              </w:r>
            </w:hyperlink>
          </w:p>
        </w:tc>
        <w:tc>
          <w:tcPr>
            <w:tcW w:w="10180" w:type="dxa"/>
            <w:vAlign w:val="bottom"/>
            <w:gridSpan w:val="22"/>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Quantitative and Qualitative Disclosures about Market Risk</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52</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Item 4.</w:t>
              </w:r>
            </w:hyperlink>
          </w:p>
        </w:tc>
        <w:tc>
          <w:tcPr>
            <w:tcW w:w="10180" w:type="dxa"/>
            <w:vAlign w:val="bottom"/>
            <w:gridSpan w:val="22"/>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Controls and Procedures</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53</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auto"/>
            </w:tcBorders>
            <w:gridSpan w:val="4"/>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364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Item 1.</w:t>
              </w:r>
            </w:hyperlink>
          </w:p>
        </w:tc>
        <w:tc>
          <w:tcPr>
            <w:tcW w:w="10180" w:type="dxa"/>
            <w:vAlign w:val="bottom"/>
            <w:gridSpan w:val="22"/>
          </w:tcPr>
          <w:p>
            <w:pPr>
              <w:ind w:left="40"/>
              <w:spacing w:after="0" w:line="202"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Legal Proceedings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54</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1A. Risk Factors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54</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Item 6.</w:t>
              </w:r>
            </w:hyperlink>
          </w:p>
        </w:tc>
        <w:tc>
          <w:tcPr>
            <w:tcW w:w="10180" w:type="dxa"/>
            <w:vAlign w:val="bottom"/>
            <w:gridSpan w:val="22"/>
          </w:tcPr>
          <w:p>
            <w:pPr>
              <w:ind w:left="40"/>
              <w:spacing w:after="0" w:line="202"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Exhibits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55</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gridSpan w:val="3"/>
          </w:tcPr>
          <w:p>
            <w:pPr>
              <w:spacing w:after="0" w:line="202"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Signatures</w:t>
              </w:r>
            </w:hyperlink>
          </w:p>
        </w:tc>
        <w:tc>
          <w:tcPr>
            <w:tcW w:w="9940" w:type="dxa"/>
            <w:vAlign w:val="bottom"/>
            <w:gridSpan w:val="20"/>
          </w:tcPr>
          <w:p>
            <w:pPr>
              <w:spacing w:after="0"/>
              <w:rPr>
                <w:sz w:val="17"/>
                <w:szCs w:val="17"/>
                <w:color w:val="auto"/>
              </w:rPr>
            </w:pPr>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57</w:t>
              </w:r>
            </w:hyperlink>
          </w:p>
        </w:tc>
        <w:tc>
          <w:tcPr>
            <w:tcW w:w="2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420"/>
          </w:cols>
          <w:pgMar w:left="240" w:top="67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86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tc>
      </w:tr>
      <w:tr>
        <w:trPr>
          <w:trHeight w:val="378"/>
        </w:trPr>
        <w:tc>
          <w:tcPr>
            <w:tcW w:w="11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oil and gas terms that are used in this Quarterly Report on Form 10-Q (this “report”):</w:t>
            </w:r>
          </w:p>
        </w:tc>
      </w:tr>
      <w:tr>
        <w:trPr>
          <w:trHeight w:val="135"/>
        </w:trPr>
        <w:tc>
          <w:tcPr>
            <w:tcW w:w="2760" w:type="dxa"/>
            <w:vAlign w:val="bottom"/>
            <w:tcBorders>
              <w:bottom w:val="single" w:sz="8" w:color="auto"/>
            </w:tcBorders>
          </w:tcPr>
          <w:p>
            <w:pPr>
              <w:spacing w:after="0"/>
              <w:rPr>
                <w:sz w:val="11"/>
                <w:szCs w:val="11"/>
                <w:color w:val="auto"/>
              </w:rPr>
            </w:pPr>
          </w:p>
        </w:tc>
        <w:tc>
          <w:tcPr>
            <w:tcW w:w="8660" w:type="dxa"/>
            <w:vAlign w:val="bottom"/>
            <w:tcBorders>
              <w:bottom w:val="single" w:sz="8" w:color="auto"/>
            </w:tcBorders>
          </w:tcPr>
          <w:p>
            <w:pPr>
              <w:spacing w:after="0"/>
              <w:rPr>
                <w:sz w:val="11"/>
                <w:szCs w:val="1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Basin</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Bbl</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tank barrel, or 42 U.S. gallons liquid volume, used in this report in reference to crude oil or other liquid</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BOE</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Barrels of oil equivalent, with six thousand cubic feet of natural gas being equivalent to one barrel of oil.</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BOE/d</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BOE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Thermal Unit or 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quantity of heat required to raise the temperature of one pound of water by one degree Fahrenheit.</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Completion</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process of treating a drilled well followed by the installation of permanent equipment for the production of</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 or oil, or in the case of a dry hole, the reporting of abandonment to the appropriate agency.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Finding and development costs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costs incurred in the acquisition, exploitation and exploration of proved oil and natural gas reserves</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divided by proved reserve additions and revisions to proved reserves.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acres or gross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total acres or wells, as the case may be, in which a working interest is owned.</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Horizontal drilling</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drilling technique used in certain formations where a well is drilled vertically to a certain depth and then</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drilled at a right angle with a specified interval.</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Horizontal wells</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vertical drilling mechanisms.</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Mb/d</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Thousand barrels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Mcf</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Thousand cubic feet of natural gas.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Mineral interests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extracted resources.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MMBtu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acres or net wells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sum of the fractional working interest owned in gross acres.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Operator</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individual or company responsible for the exploration and/or production of an oil or natural gas well or</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lease.</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Plugging and abandonment</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Refers to the sealing off of fluids in the strata penetrated by a well so that the fluids from one stratum will not</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escape into another or to the surface. Regulations of all states require plugging of abandoned wells.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Prospect</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specific geographic area which, based on supporting geological, geophysical or other data and also</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preliminary economic analysis using reasonably anticipated prices and costs, is deemed to have potential for the</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discovery of commercial 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Proved reserves</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estimated quantities of oil, natural gas and natural gas liquids which geological and engineering data</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demonstrate with reasonable certainty to be commercially recoverable in future years from known reservoirs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under existing economic and operating conditions.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estimated remaining quantities of oil and natural gas and related substances anticipated to be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producible, as of a given date, by application of development projects to known accumulations. In addition, there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must exist, or there must be a reasonable expectation that there will exist, the legal right to produce or a revenue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in the production, installed means of delivering oil and natural gas or related substances to the market</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all permits and financing required to implement the project. Reserves are not assigned to adjacent reservoirs</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isolated by major, potentially sealing, faults until those reservoirs are penetrated and evaluated as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producible. Reserves should not be assigned to areas that are clearly separated from a known accumulation by a</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non-productive reservoir (i.e., absence of reservoir, structurally low reservoir or negative test results). Such areas</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may contain prospective resources (i.e., potentially recoverable resources from undiscovered accumulations).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Reservoir</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 porous and permeable underground formation containing a natural accumulation of producible natural gas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and/or oil that is confined by impermeable rock or water barriers and is separate from other reservoirs.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interest</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 carry</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any costs of development.</w:t>
            </w:r>
          </w:p>
        </w:tc>
      </w:tr>
      <w:tr>
        <w:trPr>
          <w:trHeight w:val="27"/>
        </w:trPr>
        <w:tc>
          <w:tcPr>
            <w:tcW w:w="27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73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Spacing</w:t>
            </w:r>
          </w:p>
        </w:tc>
        <w:tc>
          <w:tcPr>
            <w:tcW w:w="9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The distance between wells producing from the same reservoir. Spacing is often expressed in terms of acres</w:t>
            </w:r>
          </w:p>
        </w:tc>
      </w:tr>
      <w:tr>
        <w:trPr>
          <w:trHeight w:val="241"/>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(e.g., 40-acre spacing) and is often established by regulatory agencies.</w:t>
            </w:r>
          </w:p>
        </w:tc>
      </w:tr>
      <w:tr>
        <w:trPr>
          <w:trHeight w:val="225"/>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interest</w:t>
            </w: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 operating interest that gives the owner the right to drill, produce and conduct operating activities on the</w:t>
            </w:r>
          </w:p>
        </w:tc>
      </w:tr>
      <w:tr>
        <w:trPr>
          <w:trHeight w:val="216"/>
        </w:trPr>
        <w:tc>
          <w:tcPr>
            <w:tcW w:w="2240" w:type="dxa"/>
            <w:vAlign w:val="bottom"/>
          </w:tcPr>
          <w:p>
            <w:pPr>
              <w:spacing w:after="0"/>
              <w:rPr>
                <w:sz w:val="18"/>
                <w:szCs w:val="18"/>
                <w:color w:val="auto"/>
              </w:rPr>
            </w:pP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property and receive a share of production and requires the owner to pay a share of the costs of drilling and</w:t>
            </w:r>
          </w:p>
        </w:tc>
      </w:tr>
      <w:tr>
        <w:trPr>
          <w:trHeight w:val="234"/>
        </w:trPr>
        <w:tc>
          <w:tcPr>
            <w:tcW w:w="224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production operations.</w:t>
            </w:r>
          </w:p>
        </w:tc>
      </w:tr>
      <w:tr>
        <w:trPr>
          <w:trHeight w:val="27"/>
        </w:trPr>
        <w:tc>
          <w:tcPr>
            <w:tcW w:w="224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r>
      <w:tr>
        <w:trPr>
          <w:trHeight w:val="453"/>
        </w:trPr>
        <w:tc>
          <w:tcPr>
            <w:tcW w:w="2240" w:type="dxa"/>
            <w:vAlign w:val="bottom"/>
          </w:tcPr>
          <w:p>
            <w:pPr>
              <w:spacing w:after="0"/>
              <w:rPr>
                <w:sz w:val="24"/>
                <w:szCs w:val="24"/>
                <w:color w:val="auto"/>
              </w:rPr>
            </w:pPr>
          </w:p>
        </w:tc>
        <w:tc>
          <w:tcPr>
            <w:tcW w:w="91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420"/>
          </w:cols>
          <w:pgMar w:left="240" w:top="73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884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is a glossary of certain other terms that are used in this report.</w:t>
            </w:r>
          </w:p>
        </w:tc>
      </w:tr>
      <w:tr>
        <w:trPr>
          <w:trHeight w:val="135"/>
        </w:trPr>
        <w:tc>
          <w:tcPr>
            <w:tcW w:w="258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tcPr>
          <w:p>
            <w:pPr>
              <w:spacing w:after="0"/>
              <w:rPr>
                <w:sz w:val="11"/>
                <w:szCs w:val="1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Diamondback Energy, Inc., a Delaware corporation.</w:t>
            </w:r>
          </w:p>
        </w:tc>
      </w:tr>
      <w:tr>
        <w:trPr>
          <w:trHeight w:val="405"/>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Plan</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Company’s Equity Incentive Plan.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405"/>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387"/>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c>
          <w:tcPr>
            <w:tcW w:w="88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Viper Energy Partners GP LLC, a Delaware limited liability company and the General Partner of the</w:t>
            </w: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Partnership.</w:t>
            </w:r>
          </w:p>
        </w:tc>
      </w:tr>
      <w:tr>
        <w:trPr>
          <w:trHeight w:val="225"/>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Indenture</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indenture relating to the 2024 Senior Notes, dated as of October 28, 2016, among the Company, the</w:t>
            </w:r>
          </w:p>
        </w:tc>
      </w:tr>
      <w:tr>
        <w:trPr>
          <w:trHeight w:val="234"/>
        </w:trPr>
        <w:tc>
          <w:tcPr>
            <w:tcW w:w="2580" w:type="dxa"/>
            <w:vAlign w:val="bottom"/>
          </w:tcPr>
          <w:p>
            <w:pPr>
              <w:spacing w:after="0"/>
              <w:rPr>
                <w:sz w:val="20"/>
                <w:szCs w:val="20"/>
                <w:color w:val="auto"/>
              </w:rPr>
            </w:pP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subsidiary guarantors party thereto and Wells Fargo, as the trustee, as supplemented.</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25"/>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Indenture</w:t>
            </w:r>
          </w:p>
        </w:tc>
        <w:tc>
          <w:tcPr>
            <w:tcW w:w="88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The indenture relating to the 2025 Senior Notes, dated as of December 20, 2016, among the Company, the</w:t>
            </w: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subsidiary guarantors party thereto and Wells Fargo, as the trustee, as supplemented.</w:t>
            </w: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NYMEX</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Viper Energy Partners LP, a Delaware limited partnership.</w:t>
            </w:r>
          </w:p>
        </w:tc>
      </w:tr>
      <w:tr>
        <w:trPr>
          <w:trHeight w:val="38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Agreement</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second amended and restated agreement of limited partnership, dated May 9, 2018, as amended as of</w:t>
            </w:r>
          </w:p>
        </w:tc>
      </w:tr>
      <w:tr>
        <w:trPr>
          <w:trHeight w:val="234"/>
        </w:trPr>
        <w:tc>
          <w:tcPr>
            <w:tcW w:w="2580" w:type="dxa"/>
            <w:vAlign w:val="bottom"/>
          </w:tcPr>
          <w:p>
            <w:pPr>
              <w:spacing w:after="0"/>
              <w:rPr>
                <w:sz w:val="20"/>
                <w:szCs w:val="20"/>
                <w:color w:val="auto"/>
              </w:rPr>
            </w:pP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May 10, 2018.</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Company</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Viper Energy Partners LLC, a Delaware limited liability company and a subsidiary of the Partnership.</w:t>
            </w:r>
          </w:p>
        </w:tc>
      </w:tr>
      <w:tr>
        <w:trPr>
          <w:trHeight w:val="405"/>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25"/>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Senior Notes</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Company’s 4.750% senior unsecured notes due 2024 in the aggregate principal amount of $1,250</w:t>
            </w:r>
          </w:p>
        </w:tc>
      </w:tr>
      <w:tr>
        <w:trPr>
          <w:trHeight w:val="234"/>
        </w:trPr>
        <w:tc>
          <w:tcPr>
            <w:tcW w:w="2580" w:type="dxa"/>
            <w:vAlign w:val="bottom"/>
          </w:tcPr>
          <w:p>
            <w:pPr>
              <w:spacing w:after="0"/>
              <w:rPr>
                <w:sz w:val="20"/>
                <w:szCs w:val="20"/>
                <w:color w:val="auto"/>
              </w:rPr>
            </w:pP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million.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Senior Notes</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The Company’s 5.375% senior unsecured notes due 2025 in the aggregate principal amount of $800 million.</w:t>
            </w: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2024 Senior Notes and the 2025 Senior Notes.</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 LTIP</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Viper Energy Partners LP Long Term Incentive Plan.</w:t>
            </w: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Viper Offering</w:t>
            </w: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Partnerships’ initial public offering.</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Wells Fargo</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r>
        <w:trPr>
          <w:trHeight w:val="20"/>
        </w:trPr>
        <w:tc>
          <w:tcPr>
            <w:tcW w:w="2580" w:type="dxa"/>
            <w:vAlign w:val="bottom"/>
            <w:shd w:val="clear" w:color="auto" w:fill="000000"/>
          </w:tcPr>
          <w:p>
            <w:pPr>
              <w:spacing w:after="0" w:line="20" w:lineRule="exact"/>
              <w:rPr>
                <w:sz w:val="1"/>
                <w:szCs w:val="1"/>
                <w:color w:val="auto"/>
              </w:rPr>
            </w:pPr>
          </w:p>
        </w:tc>
        <w:tc>
          <w:tcPr>
            <w:tcW w:w="8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20"/>
          </w:cols>
          <w:pgMar w:left="240" w:top="738"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Times New Roman" w:cs="Times New Roman" w:eastAsia="Times New Roman" w:hAnsi="Times New Roman"/>
          <w:sz w:val="18"/>
          <w:szCs w:val="18"/>
          <w:i w:val="1"/>
          <w:iCs w:val="1"/>
          <w:color w:val="auto"/>
        </w:rPr>
        <w:t>Part II, Item 1A. Risk Factors</w:t>
      </w:r>
      <w:r>
        <w:rPr>
          <w:rFonts w:ascii="Times New Roman" w:cs="Times New Roman" w:eastAsia="Times New Roman" w:hAnsi="Times New Roman"/>
          <w:sz w:val="18"/>
          <w:szCs w:val="18"/>
          <w:color w:val="auto"/>
        </w:rPr>
        <w:t xml:space="preserve"> in this report and our Annual Report on Form 10–K for the year ended December 31, 2018 could affect our actual results and cause our actual results to differ materially from expectations, estimates or assumptions expressed, forecasted or implied in such forward-looking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and development drilling prospects, inventories, projects and programs;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reserves;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recent acquisition of certain leasehold acres and other assets from Ajax Resources, LLC and our recent acquisition of Energen Corporation, or Energen, discussed elsewhere in this report;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drilling locations;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permits and governmental approvals;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strategy;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oil and natural gas prices;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operating expenses, general and administrative costs and finding and development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results;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objectives, expectations and intentions.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420"/>
          </w:cols>
          <w:pgMar w:left="240" w:top="581"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(In millions, except par values and</w:t>
            </w:r>
          </w:p>
        </w:tc>
        <w:tc>
          <w:tcPr>
            <w:tcW w:w="0" w:type="dxa"/>
            <w:vAlign w:val="bottom"/>
          </w:tcPr>
          <w:p>
            <w:pPr>
              <w:spacing w:after="0"/>
              <w:rPr>
                <w:sz w:val="1"/>
                <w:szCs w:val="1"/>
                <w:color w:val="auto"/>
              </w:rPr>
            </w:pPr>
          </w:p>
        </w:tc>
      </w:t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Joint interest and other, net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Oil and natural gas sales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 full cost method of accounting ($9,646 million and $9,670 million excluded from</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at March 31, 2019 and December 31, 2018, respectively)</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23,229</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Midstream assets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depletion, depreciation, amortization and impairment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21,047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payable-trade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4,670</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164,615,642 issued and outstanding at March</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 2019; 200,000,000 shares authorized, 164,273,447 issued and outstanding at December 31, 2018</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13,019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Diamondback Energy, Inc.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22,268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21,596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5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279"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279"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sz w:val="20"/>
                <w:szCs w:val="20"/>
                <w:color w:val="auto"/>
              </w:rPr>
            </w:pP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8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r>
      <w:tr>
        <w:trPr>
          <w:trHeight w:val="214"/>
        </w:trPr>
        <w:tc>
          <w:tcPr>
            <w:tcW w:w="8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millions, except per share</w:t>
            </w:r>
          </w:p>
        </w:tc>
      </w:tr>
      <w:tr>
        <w:trPr>
          <w:trHeight w:val="238"/>
        </w:trPr>
        <w:tc>
          <w:tcPr>
            <w:tcW w:w="890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amounts, shares in thousands)</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sales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Natural gas sales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bonus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Midstream services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income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8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Midstream services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8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revaluation of investment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7"/>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8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Diamondback Energy, Inc.</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164,852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98,555</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165,061</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98,769</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0.1875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0.125</w:t>
            </w:r>
          </w:p>
        </w:tc>
      </w:tr>
      <w:tr>
        <w:trPr>
          <w:trHeight w:val="27"/>
        </w:trPr>
        <w:tc>
          <w:tcPr>
            <w:tcW w:w="8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60" w:type="dxa"/>
            <w:vAlign w:val="bottom"/>
          </w:tcPr>
          <w:p>
            <w:pPr>
              <w:spacing w:after="0"/>
              <w:rPr>
                <w:sz w:val="19"/>
                <w:szCs w:val="19"/>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6"/>
                <w:szCs w:val="16"/>
                <w:color w:val="auto"/>
              </w:rPr>
            </w:pPr>
          </w:p>
        </w:tc>
        <w:tc>
          <w:tcPr>
            <w:tcW w:w="12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11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 in millions, shares 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98,167</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adoption of ASU 2016-01, net of tax</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 and vesting of restricted stock units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2018</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98,610</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311"/>
        </w:trPr>
        <w:tc>
          <w:tcPr>
            <w:tcW w:w="50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164,273</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units - Viper Energy</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 LP</w:t>
            </w:r>
          </w:p>
        </w:tc>
        <w:tc>
          <w:tcPr>
            <w:tcW w:w="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Repurchased shares for tax withholding</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paid</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and unit options and awards of restricted stock</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2019</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164,616</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4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4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(benefit from) deferred income taxes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equity investment</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revaluation of investment</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to oil and natural gas properties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(280)</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other property, equipment and land</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leasehold interests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mineral interests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(110)</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Funds held in escrow</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investments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(585)</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borrowings under credit facility</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under credit facility</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(308)</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senior notes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joint venture</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public offerings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Repurchased shares for tax withholdings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8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8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8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8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84"/>
        </w:trPr>
        <w:tc>
          <w:tcPr>
            <w:tcW w:w="8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64"/>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paid, net of capitalized interest</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887"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887"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6"/>
        </w:trPr>
        <w:tc>
          <w:tcPr>
            <w:tcW w:w="8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Change in accrued capital expenditures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obligations acquired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THE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the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Diamondback Energy, Inc. (“Diamondback” or the “Company”), together with its subsidiaries,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The wholly-owned subsidiaries of Diamondback, as of March 31, 2019, include Diamondback E&amp;P LLC, a Delaware limited liability company, Diamondback O&amp;G LLC, a Delaware limited liability company, Viper Energy Partners GP LLC, a Delaware limited liability company, Rattler Midstream GP LLC, a Delaware limited liability company, and Energen Corporation, an Alabama corporation. The consolidated subsidiaries include these wholly-owned subsidiaries as well as Viper Energy Partners LP, a Delaware limited partnership (the “Partnership”), the Partnership’s wholly-owned subsidiary Viper Energy Partners LLC, a Delaware limited liability company (the “Operating Company”), Rattler Midstream LP (formerly known as Rattler Midstream Partners LP), a Delaware limited liability company, Rattler Midstream Operating LLC (formerly known as Rattler Midstream LLC), a Delaware limited liability company, and Rattler Midstream Operating LLC’s wholly-owned subsidiary Tall City Towers LLC, a Delaware limited liability company (“Tall City”).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is consolidated in the financial statements of the Company. As of March 31, 2019, the Company owned approximately 54% of the Partnership’s total units outstanding. The Company’s wholly-owned subsidiary, Viper Energy Partners GP LLC, is the General Partner of the Partnership.</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2018,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 of oil and natural gas properties, asset retirement obligations, the fair value determination of acquired assets and liabilities assumed, equity-based compensation, fair value estimates of commodity derivatives and estimates of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Equity investments in which the Company exercises significant influence but does not control are accounted for using the equity method. Under the equity method, generally the Company’s share of investees’ earnings or loss is recognized in the statement of operations. The Company reviews its investments to determine if a loss in value which is other than a temporary decline has occurred. If such loss has occurred, the Company would recognize an impairment provision.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Partnership has an equity interest in a limited partnership that is so minor that the Partnership has no influence over the limited partnership’s operating and financial policies. This interest was acquired during the year ended December 31, 2014 and was accounted for under the cost method. Effective January 1, 2018, the Partnership adopted Accounting Standards Update 2016-01 which requires the Partnership to measure its investment at fair value which resulted in a downward adjustment of $19 million to record the impact of this adoption. See Note 16—Fair Value Measurements.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Pronouncements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Entities will be required to recognize and measure leases at the beginning of the earliest period presented using a modified retrospective approach. The Company enters into lease agreements to support its operations. These agreements are for leases on assets such as office space, vehicles and compressors. The Company has completed the process of reviewing and determining the agreements to which this new guidance applies. Upon adoption effective January 1, 2019, the Company recognized approximately $13 million of right-of-use assets, of which the total amount relates to the Company’s operating leases.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2018, the Financial Accounting Standards Board issued Accounting Standards Update 2018-01, “Leases - Land Easement Practical Expedient for Transition to Topic 842”. This update applies to any entity that holds land easements. The update allows entities to adopt a practical expedient to not evaluate existing or expired land easements under Topic 842 that were not previously accounted for as leases under the current leases guidance. An entity that elects this practical expedient should evaluate new or modified land easements under Topic 842 beginning at the date that the entity adopts Topic</w:t>
      </w:r>
    </w:p>
    <w:p>
      <w:pPr>
        <w:spacing w:after="0" w:line="3" w:lineRule="exact"/>
        <w:rPr>
          <w:sz w:val="20"/>
          <w:szCs w:val="20"/>
          <w:color w:val="auto"/>
        </w:rPr>
      </w:pPr>
    </w:p>
    <w:p>
      <w:pPr>
        <w:ind w:firstLine="8"/>
        <w:spacing w:after="0" w:line="261" w:lineRule="auto"/>
        <w:tabs>
          <w:tab w:leader="none" w:pos="3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this standard effective January 1, 2019. The adoption of this update did not have an impact on its financial position, results of operations or liquidity.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2018, the Financial Accounting Standards Board issued Accounting Standards Update 2018-10, “Codification Improvements to Topic 842, Leases”. This update provides clarification and corrects unintended application of certain sections in the new lease guidance. The Company adopted this standard effective January 1, 2019. The adoption of this update did not have an impact on its financial position, results of operations or liquidity.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2018, the Financial Accounting Standards Board issued Accounting Standards Update 2018-11, “Lease (Topic 842): Targeted Improvements”. This update provides another transition method of allowing entities to initially apply the new lease standard at the adoption date and recognize a cumulative-effect adjustment to the opening balance of retained earnings in the period of adoption. The Company adopted this standard effective January 1, 2019. The adoption of this update did not have an impact on its financial position, results of operations or liquidity.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2018, the Financial Accounting Standards Board issued Accounting Standards Update 2018-20, “Leases (Topic 842) - Narrow-Scope Improvements for Lessors”. This update provides a practical expedient for lessors to elect not to evaluate whether sales taxes and other similar taxes are lessor costs. The update also requires a lessor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9"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exclude from variable payments those costs paid directly by the lessee to third parties and include lessor costs paid by the lessor and reimbursed by the lessee. The Company adopted this standard effective January 1, 2019. The adoption of this update did not have an impact on its financial position, results of operations or liquidity.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17—Leases for more information on the adoption of these standards.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2018, the Financial Accounting Standards Board issued Accounting Standards Update 2018-07, “Stock Compensation - Improvements to Nonemployee Share-Based Payment Accounting”. This update applies the existing employee guidance to nonemployee share-based transactions, with the exception of specific guidance related to the attribution of compensation cost. The Company adopted this standard effective January 1, 2019. The adoption of this update did not have an impact on its financial position, results of operations or liquidity because the Company currently accounts for nonemployee share-based transactions in the same manner as employee share-based transactions.</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July 2018, the Financial Accounting Standards Board issued Accounting Standards Update 2018-09, “Codification Improvements”. This update provides clarification and corrects unintended application of the guidance in various sections. The Company adopted this standard effective January 1, 2019. The adoption of this update did not have a material impact on its financial position, results of operations or liquidity.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its consolidated financial statements since it does not have a history of credit losses.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issued Accounting Standards Update 2018-13, “Fair Value Measurement (Topic 820) - Disclosure Framework - Changes to the Disclosure Requirements for Fair Value Measurement”. This update modifies the fair value measurement disclosure requirements specifically related to Level 3 fair value measurements and transfers between levels. This update will be effective for financial statements issued for fiscal years beginning after December 15, 2019, including interim periods within those fiscal years. This update will be applied prospectively. The Company is currently evaluating the impact of the adoption of this update, but does not believe it will have a material impact on its financial position, results of operations or liquidity.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Financial Accounting Standards Board issued Accounting Standards Update 2018-15, “Intangibles - Goodwill and Other - Internal - Use Software (Subtopic 350-40): Customer’s Accounting for Implementation Costs Incurred in a Cloud Computing Arrangement That Is a Service Contract”. This update requires the capitalization of implementation costs incurred in a hosting arrangement that is a service contract for internal-use software. Training and certain data conversion costs cannot be capitalized. The entity is required to expense the capitalized implementation costs over the term of the hosting agreement. This update will be effective for financial statements issued for fiscal years beginning after December 15, 2019, including interim periods within those fiscal years. This update should be applied either retrospectively or prospectively to all implementation costs incurred after the date of adoption. The Company believes the adoption of this update will not have an impact on its financial position, results of operations or liquidity.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2018, the Financial Accounting Standards Board issued Accounting Standards Update 2018-19, “Codification Improvements to Topic 326, Financial Instruments-Credit Losses”. This update clarifies that receivables arising from operating leases are not within the scope of this topic, but rather Topic 842, Leases.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an impact on its financial statements since it does not have a history of credit losses.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 FROM CONTRACTS WITH CUSTOMERS</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Oil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and natural gas liquids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Midstream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revenues from gathering, compression, water handling, disposal and treatment operations are derived from intersegment transactions for services Rattler Midstream Operating LLC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9"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majority of the Company’s midstream revenue agreements have a term greater than one year, and as such the Company has utilized the practical expedient in ASC 606, which states that the Company is not required to disclose the transaction price allocated to remaining performance obligations if the variable consideration is allocated entirely to a wholly unsatisfied performance obligation. 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remainder of the Company’s midstream revenue agreements, which relate to agreements with third parties, are short-term in nature with a term of one year or less. The Company has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Accounting Standards Codification 606.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Prior-period performance obligations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revenue in the month production is delivered to the purchaser. However, settlement statements for certain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three months ended March 31, 2019,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Tall City Towers LLC</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31, 2018, Tall City, a subsidiary of the Company, completed its acquisition of the Fasken Center office buildings in Midland, TX where the Company’s corporate offices are located for a net purchase price of $110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Corporation Merger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29, 2018, the Company completed its acquisition of Energen Corporation (“Energen”) in an all-stock transaction (the “Merger”), which was accounted for as a business combination. Upon completion of this acquisition, the addition of Energen’s assets increased the Company’s assets to:</w:t>
      </w:r>
    </w:p>
    <w:p>
      <w:pPr>
        <w:jc w:val="both"/>
        <w:ind w:firstLine="8"/>
        <w:spacing w:after="0" w:line="254" w:lineRule="auto"/>
        <w:tabs>
          <w:tab w:leader="none" w:pos="2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273,000 net Tier One acres in the Permian Basin, (ii) approximately 7,200 estimated total net horizontal Permian locations, and (iii) approximately 394,000 net acres across the Midland and Delaware Basins. Under the terms of the Merger, each share of Energen common stock was converted into 0.6442 of a share of the Company’s common stock. The Company issued approximately 62.8 million shares of its common stock valued at a price of $112.00 per share on the closing date, resulting in total consideration paid by the Company to the former Energen shareholders of approximately $7 billion.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9"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Merger, the Company repaid outstanding principal under Energen’s revolving credit facility and assumed all of Energen’s other long-term debt. See Note 10—Debt for additional information.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Merger has been accounted for as a business combination, using the acquisition method. The following table represents the preliminary allocation of the total purchase price of Energen to the identifiable assets acquired and the liabilities assumed based on the fair values on the acquisition date, with any excess of the purchase price over the estimated fair value of the identifiable net assets acquired. Certain data necessary to complete the purchase price allocation is not yet available, and includes, but is not limited to, valuation of pre-acquisition contingencies, final tax returns that provide the underlying tax basis of Energen’s assets and liabilities and final appraisals of assets acquired and liabilities assumed. The Company expects to complete the purchase price allocation during the 12-month period following the acquisition date, during which time the value of the assets and liabilities may be revised as appropriate.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preliminary purchase price allocation as of March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9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value of the Company's common stock issued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7,136</w:t>
            </w:r>
          </w:p>
        </w:tc>
      </w:tr>
      <w:tr>
        <w:trPr>
          <w:trHeight w:val="27"/>
        </w:trPr>
        <w:tc>
          <w:tcPr>
            <w:tcW w:w="9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consideration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7,136</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Noncurrent derivative instruments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97"/>
        </w:trPr>
        <w:tc>
          <w:tcPr>
            <w:tcW w:w="90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Amount attributable to liabilities assumed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2,980</w:t>
            </w:r>
          </w:p>
        </w:tc>
      </w:tr>
      <w:tr>
        <w:trPr>
          <w:trHeight w:val="311"/>
        </w:trPr>
        <w:tc>
          <w:tcPr>
            <w:tcW w:w="9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9,283</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Midstream assets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postretirement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income tax receivable, net</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 term assets</w:t>
            </w:r>
          </w:p>
        </w:tc>
        <w:tc>
          <w:tcPr>
            <w:tcW w:w="4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Amount attributable to assets acquired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10,116</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unaudited summary pro forma consolidated statement of operations data of Diamondback for the three months ended March 31, 2018 have been prepared to give effect to the Merger as if it had occurred on January 1, 2018. The below information reflects pro forma adjustments for the issuance of the Company’s common stock in exchange for Energen’s outstanding shares of common stock, as well as pro forma adjustments based on available information and certain assumptions that the Company believes are reasonable, including (i) the Company’s common</w:t>
      </w:r>
    </w:p>
    <w:p>
      <w:pPr>
        <w:sectPr>
          <w:pgSz w:w="11900" w:h="16838" w:orient="portrait"/>
          <w:cols w:equalWidth="0" w:num="1">
            <w:col w:w="11420"/>
          </w:cols>
          <w:pgMar w:left="240" w:top="279"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9" w:right="2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issued to convert Energen’s outstanding shares of common stock and equity awards as of the closing date of the Merger, (ii) the depletion of Energen’s fair-valued proved oil and natural gas properties and (iii) the estimated tax impacts of the pro forma adjustments.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 forma results of operations do not include any cost savings or other synergies that may result from the Merger or any estimated costs that have been or will be incurred by the Company to integrate the Energen assets. The pro forma financial data does not include the results of operations for any other acquisitions made during the periods presented, as they were primarily acreage acquisitions and their results were not deemed material.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 forma consolidated statement of operations data has been included for comparative purposes only and is not necessarily indicative of the results that might have occurred had the Merger taken place on January 1, 2018 and is not intended to be a projection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38"/>
        </w:trPr>
        <w:tc>
          <w:tcPr>
            <w:tcW w:w="8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31, 2018</w:t>
            </w:r>
          </w:p>
        </w:tc>
      </w:tr>
      <w:tr>
        <w:trPr>
          <w:trHeight w:val="27"/>
        </w:trPr>
        <w:tc>
          <w:tcPr>
            <w:tcW w:w="8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14"/>
        </w:trPr>
        <w:tc>
          <w:tcPr>
            <w:tcW w:w="8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w:t>
            </w:r>
          </w:p>
        </w:tc>
      </w:tr>
      <w:tr>
        <w:trPr>
          <w:trHeight w:val="238"/>
        </w:trPr>
        <w:tc>
          <w:tcPr>
            <w:tcW w:w="8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amounts)</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8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VIPER ENERGY PARTNERS LP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Partnership is a publicly traded Delaware limited partnership, the common units of which are listed on the Nasdaq Global Select Market under the symbol “VNOM”. The Partnership was formed by Diamondback on February 27, 2014, to, among other things, own, acquire and exploit oil and natural gas properties in North America. The Partnership is currently focused on oil and natural gas properties in the Permian Basin and the Eagle Ford Shale. Viper Energy Partners GP LLC, a fully-consolidated subsidiary of Diamondback, serves as the general partner of the Partnership. As of March 31, 2019, the Company owned approximately 54% of the Partnership’s total units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 2019, the Partnership completed an underwritten public offering of 10,925,000 common units, which included 1,425,000 common units issued pursuant to an option to purchase additional common units granted to the underwriters. Following this offering, the Company owned approximately 54% of the total Partnership units then outstanding. The Partnership received net proceeds from this offering of approximately $341 million, after deducting underwriting discounts and commissions and estimated offering expenses. The Partnership used the net proceeds to purchase units of the Operating Company. The Operating Company in turn used the net proceeds to repay a portion of the outstanding borrowings under the revolving credit facility and finance acquisitions during the period.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this public offering and the Partnership’s issuance of unit-based compensation, the Company’s ownership percentage in the Partnership was reduced. During the three months ended March 31, 2019, the Company recorded a $74 million decrease to non-controlling interest in the Partnership with an increase to additional paid-in capital, which represents the difference between the Company’s share of the underlying net book value in the Partnership before and after the respective Partnership common unit transactions, on the Company’s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 Tax Status Election and Related Transactions by Viper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2018, the Partnership announced that the Board of Directors of the General Partner had unanimously approved a change of the Partnership’s federal income tax status from that of a pass-through partnership to that of a taxable entity via a “check the box” election. In connection with making this election, on May 9, 2018 the Partnership (i) amended and restated its First Amended and Restated Partnership Agreement, (ii) amended and restated the First Amended and Restated Limited Liability Company Agreement of the Operating Company, (iii) amended and restated its existing registration rights agreement with the Company and (iv) entered into an exchange agreement with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9"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Company, the General Partner and the Operating Company. Simultaneously with the effectiveness of these agreements, the Company delivered and assigned to the Partnership the 73,150,000 common units the Company owned in exchange for (i) 73,150,000 of the Partnership’s newly-issued Class B units and (ii) 73,150,000 newly-issued units of the Operating Company pursuant to the terms of a Recapitalization Agreement dated March 28, 2018, as amended as of May 9, 2018 (the “Recapitalization Agreement”). Immediately following that exchange, the Partnership continued to be the managing member of the Operating Company, with sole control of its operations, and owned approximately 36% of the outstanding units issued by the Operating Company, and the Company owned the remaining approximately 64% of the outstanding units issued by the Operating Company. Upon completion of the Partnership’s July 2018 offering of units, it owned approximately 41% of the outstanding units issued by the Operating Company and the Company owned the remaining approximately 59%. The Operating Company units and the Partnership’s Class B units owned by the Company are exchangeable from time to time for the Partnership’s common units (that is, one Operating Company unit and one Partnership Class B unit, together, will be exchangeable for one Partnership common unit).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10, 2018, the change in the Partnership’s income tax status became effective. On that date, pursuant to the terms of the Recapitalization Agreement, (i) the General Partner made a cash capital contribution of $1 million to the Partnership in respect of its general partner interest and (ii) the Company made a cash capital contribution of $1 million to the Partnership in respect of the Class B units. The Company,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the Company also exchanged 731,500 Class B units and 731,500 units in the Operating Company for 731,500 common units of the Partnership and a cash amount of $10,000 representing a proportionate return of the $1 million invested capital in respect of the Class B units. The General Partner continues to serve as the Partnership’s general partner and the Company continues to control the Partnership. After the effectiveness of the tax status election and the completion of related transactions, the Partnership’s minerals business continues to be conducted through the Operating Company, which continues to be taxed as a partnership for federal and state income tax purposes. This structure is anticipated to provide significant benefits to the Partnership’s business, including operational effectiveness, acquisition and disposition transactional planning flexibility and income tax efficiency. For additional information regarding the tax status election and related transactions, please refer to the Partnership’s Definitive Information Statement on Schedule 14C filed with the SEC on April 17, 2018 and the Partnership’s Current Report on Form 8-K filed with the SEC on May 15,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second amended and restated agreement of limited partnership, dated as of May 9, 2018, as amended as of May 10, 2018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 For each of the three months ended March 31, 2019 and 2018, the General Partner allocated $1 million to the Partnership.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Sharing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 For the three months ended March 31, 2019, the Partnership accrued a minimal amount of state income tax expense for its share of Texas margin tax for which the Partnership’s results are included in a combined tax return filed by Diamondback.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9"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has entered into a secured revolving credit facility with Wells Fargo, as administrative agent sole book runner and lead arranger. See Note 10—Debt for a description of this credit facility.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REAL ESTATE ASSETS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schedules present the cost and related accumulated depreciation or amortization (as applicable) of the Company’s real estate assets including intangible lease assets: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8"/>
        </w:trPr>
        <w:tc>
          <w:tcPr>
            <w:tcW w:w="55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55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20" w:type="dxa"/>
            <w:vAlign w:val="bottom"/>
          </w:tcPr>
          <w:p>
            <w:pPr>
              <w:spacing w:after="0"/>
              <w:rPr>
                <w:sz w:val="20"/>
                <w:szCs w:val="20"/>
                <w:color w:val="auto"/>
              </w:rPr>
            </w:pPr>
          </w:p>
        </w:tc>
        <w:tc>
          <w:tcPr>
            <w:tcW w:w="3880" w:type="dxa"/>
            <w:vAlign w:val="bottom"/>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5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improvements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5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real estate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5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investment in land and buildings, net</w:t>
            </w: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5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Useful</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20" w:type="dxa"/>
            <w:vAlign w:val="bottom"/>
          </w:tcPr>
          <w:p>
            <w:pPr>
              <w:spacing w:after="0"/>
              <w:rPr>
                <w:sz w:val="20"/>
                <w:szCs w:val="20"/>
                <w:color w:val="auto"/>
              </w:rPr>
            </w:pPr>
          </w:p>
        </w:tc>
        <w:tc>
          <w:tcPr>
            <w:tcW w:w="3880" w:type="dxa"/>
            <w:vAlign w:val="bottom"/>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In-place lease intangibles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In-place lease intangibles, net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Above-market lease intangibles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Above-market lease intangibles, net</w:t>
            </w: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intangible lease assets, net</w:t>
            </w: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6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includes the following:</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7980" w:type="dxa"/>
            <w:vAlign w:val="bottom"/>
          </w:tcPr>
          <w:p>
            <w:pPr>
              <w:spacing w:after="0"/>
              <w:rPr>
                <w:sz w:val="24"/>
                <w:szCs w:val="24"/>
                <w:color w:val="auto"/>
              </w:rPr>
            </w:pPr>
          </w:p>
        </w:tc>
        <w:tc>
          <w:tcPr>
            <w:tcW w:w="17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9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358"/>
        </w:trPr>
        <w:tc>
          <w:tcPr>
            <w:tcW w:w="7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Subject to depletion</w:t>
            </w:r>
          </w:p>
        </w:tc>
        <w:tc>
          <w:tcPr>
            <w:tcW w:w="11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12,629</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Not subject to depletion</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9,646</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9,670</w:t>
            </w: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oil and natural gas properties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23,229</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22,299</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depletion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impairment</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 net</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20,178</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19,556</w:t>
            </w: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Midstream assets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depletion, amortization and impairment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21,047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20,372</w:t>
            </w: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11"/>
        </w:trPr>
        <w:tc>
          <w:tcPr>
            <w:tcW w:w="7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costs not subject to depletion: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2019</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2018</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2017</w:t>
            </w:r>
          </w:p>
        </w:tc>
        <w:tc>
          <w:tcPr>
            <w:tcW w:w="11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2016</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2015</w:t>
            </w:r>
          </w:p>
        </w:tc>
        <w:tc>
          <w:tcPr>
            <w:tcW w:w="11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not subject to depletion</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9,646</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$13 million and $7 million for the three months ended March 31, 2019 and 2018,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years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full cost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 including estimated expenditures (based on current costs) to be incurred in developing and producing the proved reserves, discounted at 10% per annum, from proved reserves, based on the trailing 12-month unweighted average of the first-day-of-the-month price, adjusted for any contract provisions or financial derivatives, if any, that hedge the Company’s oil and natural gas revenue, and excluding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9"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2019, there was $91 million in exploration costs and development costs and $71 million in capitalized interest that was not subject to depletion. At December 31, 2018, there were $68 million in exploration costs and development costs and $55 million in capitalized interest that was not subject to depletion.</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ASSET RETIREMENT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29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32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2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2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beginning of period</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32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liabilities incurred</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acquired</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settled</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expense</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end of period</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 long-term</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32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8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EQUITY METHOD INVESTMENTS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October 2014, the Company obtained a 25% interest in HMW Fluid Management LLC (“HMW LLC”), which was formed to develop, own and operate an integrated water management system to gather, store, process, treat, distribute and dispose of water to exploration and production companies operating in Midland, Martin and Andrews Counties, Texas.</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June 30, 2018, HMW LLC’s operating agreement was amended. As a result of the amendment, the Company no longer recognizes an equity investment in HMW LLC but instead consolidates its undivided interest in the salt water disposal assets owned by HMW LLC. In exchange for the Company’s 25% investment, the Company received a 50% undivided ownership interest in two of the four SWD wells and associated assets previously owned by HMW LLC. The Company’s basis in the assets is equivalent to its basis in the equity investment in HMW LLC.</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the year ended December 31, 2018, the Company did not invest in HMW LLC. For the three months ended March 31, 2019, the Company did not record any income from HMW LLC. For the three months ended March 31, 2018, the Company recorded, in other income, $2 million in income from HMW LLC.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9"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February 1, 2019, the Company obtained a 10% equity interest in EPIC Crude Holdings, LP (“EPIC”), which is building a pipeline (the “EPIC project”) that, once operational, will transport crude and NGL across Texas for delivery into the Corpus Christi market. As of March 31, 2019, the Company has invested $35 million in the EPIC project and recorded no income. The EPIC project is anticipated to be operational in the second half of 2019.</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15, 2019, the Company obtained a 10% equity interest in Gray Oak Pipeline, LLC (“Gray Oak”), which is building a pipeline (the “Gray Oak project”) that, once operational, will transport crude from the Permian to Corpus Christi on the Texas Gulf Coast. As of March 31, 2019, the Company has invested $115 million in the Gray Oak project and recorded, in other income, $50,000 in income related to interest. The Gray Oak project is anticipated to be operational in the second half of 2019.</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March 29, 2019, the Company executed a short-term promissory note to Gray Oak. The note allows for borrowing by Gray Oak of up to $123 million at 2.52% interest rate with a maturity date of March 31, 2022. There were no borrowings by Gray Oak under the note in the first quarter of 2019.</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impairments were recorded for the Company’s equity method investment for the three months ended March 31, 2019 or 2018.</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tc>
        <w:tc>
          <w:tcPr>
            <w:tcW w:w="1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6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6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58"/>
        </w:trPr>
        <w:tc>
          <w:tcPr>
            <w:tcW w:w="6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4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4.625%</w:t>
            </w:r>
          </w:p>
        </w:tc>
        <w:tc>
          <w:tcPr>
            <w:tcW w:w="6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Notes due 2021</w:t>
            </w:r>
            <w:r>
              <w:rPr>
                <w:rFonts w:ascii="Times New Roman" w:cs="Times New Roman" w:eastAsia="Times New Roman" w:hAnsi="Times New Roman"/>
                <w:sz w:val="25"/>
                <w:szCs w:val="25"/>
                <w:color w:val="auto"/>
                <w:vertAlign w:val="superscript"/>
              </w:rPr>
              <w:t>(1)</w:t>
            </w:r>
          </w:p>
        </w:tc>
        <w:tc>
          <w:tcPr>
            <w:tcW w:w="1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7.320%</w:t>
            </w:r>
          </w:p>
        </w:tc>
        <w:tc>
          <w:tcPr>
            <w:tcW w:w="64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2022</w:t>
            </w:r>
            <w:r>
              <w:rPr>
                <w:rFonts w:ascii="Times New Roman" w:cs="Times New Roman" w:eastAsia="Times New Roman" w:hAnsi="Times New Roman"/>
                <w:sz w:val="25"/>
                <w:szCs w:val="25"/>
                <w:color w:val="auto"/>
                <w:vertAlign w:val="superscript"/>
              </w:rPr>
              <w:t>(1)</w:t>
            </w:r>
          </w:p>
        </w:tc>
        <w:tc>
          <w:tcPr>
            <w:tcW w:w="15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4.750 % Senior Notes due 2024</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5.375 % Senior Notes due 2025</w:t>
            </w:r>
          </w:p>
        </w:tc>
        <w:tc>
          <w:tcPr>
            <w:tcW w:w="1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7.350%</w:t>
            </w:r>
          </w:p>
        </w:tc>
        <w:tc>
          <w:tcPr>
            <w:tcW w:w="6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2027</w:t>
            </w:r>
            <w:r>
              <w:rPr>
                <w:rFonts w:ascii="Times New Roman" w:cs="Times New Roman" w:eastAsia="Times New Roman" w:hAnsi="Times New Roman"/>
                <w:sz w:val="25"/>
                <w:szCs w:val="25"/>
                <w:color w:val="auto"/>
                <w:vertAlign w:val="superscript"/>
              </w:rPr>
              <w:t>(1)</w:t>
            </w:r>
          </w:p>
        </w:tc>
        <w:tc>
          <w:tcPr>
            <w:tcW w:w="15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7.125%</w:t>
            </w:r>
          </w:p>
        </w:tc>
        <w:tc>
          <w:tcPr>
            <w:tcW w:w="64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B, due 2028</w:t>
            </w:r>
            <w:r>
              <w:rPr>
                <w:rFonts w:ascii="Times New Roman" w:cs="Times New Roman" w:eastAsia="Times New Roman" w:hAnsi="Times New Roman"/>
                <w:sz w:val="25"/>
                <w:szCs w:val="25"/>
                <w:color w:val="auto"/>
                <w:vertAlign w:val="superscript"/>
              </w:rPr>
              <w:t>(1)</w:t>
            </w:r>
          </w:p>
        </w:tc>
        <w:tc>
          <w:tcPr>
            <w:tcW w:w="15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DrillCo Agreement</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08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premium costs</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r>
      <w:tr>
        <w:trPr>
          <w:trHeight w:val="27"/>
        </w:trPr>
        <w:tc>
          <w:tcPr>
            <w:tcW w:w="708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revolving credit facility</w:t>
            </w:r>
          </w:p>
        </w:tc>
        <w:tc>
          <w:tcPr>
            <w:tcW w:w="1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57"/>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long-term debt</w:t>
            </w:r>
          </w:p>
        </w:tc>
        <w:tc>
          <w:tcPr>
            <w:tcW w:w="1580" w:type="dxa"/>
            <w:vAlign w:val="bottom"/>
            <w:tcBorders>
              <w:top w:val="single" w:sz="8" w:color="auto"/>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5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4,464</w:t>
            </w:r>
          </w:p>
        </w:tc>
      </w:tr>
      <w:tr>
        <w:trPr>
          <w:trHeight w:val="20"/>
        </w:trPr>
        <w:tc>
          <w:tcPr>
            <w:tcW w:w="6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Merger, Energen became a wholly owned subsidiary of the Company and remained the issuer of these notes (the “Energen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Diamondback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Senior Notes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October 28, 2016, the Company issued $500 million in aggregate principal amount of 4.750% Senior Notes due 2024 (the “existing 2024 Senior Notes”). The existing 2024 Senior Notes bear interest at a rate of 4.750% per annum, payable semi-annually, in arrears on May 1 and November 1 of each year and will mature on November 1, 2024. All of the Company’s existing and future restricted subsidiaries that guarantee its revolving credit facility or certain other debt guarantee the existing 2024 Senior Notes; provided, however, that the existing 2024 Senior Notes are not guaranteed by the Partnership, the General Partner, Viper Energy Partners LLC or Rattler Midstream Operating LLC, and will not be guaranteed by any of the Company’s future unrestricted subsidiaries.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9"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25, 2018, the Company issued $750 million aggregate principal amount of new 4.750% Senior Notes due 2024 (the “New 2024 Notes”), which together with the existing Senior Notes are referred to as the 2024 Senior Notes, as additional notes under, and subject to the terms of, the 2024 Indenture. The New 2024 Notes were issued in a transaction exempt from the registration requirements under the Securities Act. The Company received approximately $741 million in net proceeds, after deducting the initial purchasers’ discount and its estimated offering expenses, but disregarding accrued interest, from the issuance of the New 2024 Notes. The Company used a portion of the net proceeds from the issuance of the New 2024 Notes to repay the outstanding borrowings under its revolving credit facility and used the balance for general corporate purposes, including funding a portion of the cash consideration for the acquisition of assets from Ajax Resources, LLC.</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required under the terms of the registration rights agreement relating to the New 2024 Notes, on March 22, 2019, the Company filed with the SEC its registration Statement on Form S-4 relating to the exchange offer of the New 2024 Notes for substantially identical notes registered under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20, 2016, the Company issued $500.0 million in aggregate principal amount of 5.375% Senior Notes due 2025 (the “existing 2025 Senior Notes”). The existing 2025 Senior Notes bear interest at a rate of 5.375% per annum, payable semi-annually, in arrears on May 31 and November 30 of each year and will mature on May 31, 2025. All of the Company’s existing and future restricted subsidiaries that guarantee its revolving credit facility or certain other debt guarantee the existing 2025 Senior Notes, provided, however, that the existing 2025 Senior Notes are not guaranteed by the Partnership, the General Partner, Viper Energy Partners LLC or Rattler Midstream Operating LLC, and will not be guaranteed by any of the Company’s future unrestricted subsidiaries.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29, 2018, the Company issued $300 million aggregate principal amount of new 5.375% Senior Notes due 2025 (the “New 2025 Notes”), which together with the existing 2025 Senior Notes are referred to as the 2025 Senior Notes, as additional notes under, and subject to the terms of, the 2025 Indenture. The New 2025 Notes were issued in a transaction exempt from the registration requirements under the Securities Act. The Company received approximately $308 million in net proceeds, after deducting the initial purchaser’s discount and its estimated offering expenses, but disregarding accrued interest, from the issuance of the New 2025 Notes. The Company used the net proceeds from the issuance of the New 2025 Notes to repay a portion of the outstanding borrowings under its revolving credit facility.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9"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2025 Senior Notes were issued under an indenture, dated as of December 20, 2016, among the Company, the guarantors party thereto and Wells Fargo Bank, as the trustee (the “2025 Indenture”). 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Energen became the Company’s wholly owned subsidiary and remained the issuer of $530 million aggregate principal amount of the Energen Notes, issued under an indenture dated September 1, 1996 with The Bank of New York as Trustee (the “Energen Indenture”). The Energen Notes consist of: (1) $400 million aggregate principal amount of 4.625% senior notes due on September 1, 2021, (2) $100 million of 7.125% notes due on February 15, 2028, (3) $20 million of 7.32% notes due on July 28, 2022, and (4) $10 million of 7.35% notes due on July 28, 2027.</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Energen Notes are the senior unsecured obligations of Energen and, post-merger, Energen, as a wholly owned subsidiary of the Company, continues to be the sole issuer and obligor under the Energen Notes. The Energen Notes rank equally in right of payment with all other senior unsecured indebtedness of Energen, including any unsecured guaranties by Energen of the Company’s indebtedness and are effectively subordinated to Energen’s senior secured indebtedness, including Energen’s secured guaranty of all borrowings and other obligations under the Company’s revolving credit facility, to the extent of the value of the collateral securing such indebtedness.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Energen Indenture contains certain covenants that, subject to certain exceptions and qualifications, limit Energen’s ability to incur or suffer to exist liens, to enter into sale and leaseback transactions, to consolidate with or merge into any other entity, and to convey, transfer or lease its properties and assets substantially as an entirety to any person or entity. The Energen Indenture does not include a restriction on the payment of dividends.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29, 2018, Energen guaranteed the Company’s indebtedness under its credit facility and granted a lien on certain of its assets to secure such indebtedness and, on December 21, 2018, Energen’s subsidiaries guaranteed the Company’s indebtedness under its credit agreement and granted liens on certain of their assets to secure such indebtedness. As a result of such guarantees, under the terms of the 2024 Indenture and the 2025 Indenture, Energen also guaranteed the 2024 Senior Notes and the 2025 Senior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Credit Facility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The credit agreement provides for a revolving credit facility in the maximum credit amount of $5 billion, subject to a borrowing base based on the Company’s oil and natural gas reserves and other factors (the “borrowing base”). The borrowing base is scheduled to be redetermined, under certain circumstances, annually with an effective date of May 1st, and, under certain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9"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circumstances, semi-annually with effective dates of May 1st and November 1st. In addition, the Company and Wells Fargo each may request up to two interim redeterminations of the borrowing base during any 12-month period. Effective March 25, 2019, the Company increased its elected commitment amount from $2 billion to $3 billion. As of March 31, 2019, the borrowing base was set at $3 billion, the Company had elected a commitment amount of $3 billion and the Company had $2 billion of outstanding borrowings under the revolving credit facility and $1 billion available for future borrowings under its revolving credit facility.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Diamondback O&amp;G LLC is the borrower under the credit agreement. As of March 31, 2019, the credit agreement is guaranteed by the Company, Diamondback E&amp;P LLC, Rattler Midstream Operating LLC (formerly known as Rattler Midstream LLC) and Energen and its subsidiaries and will also be guaranteed by any of the Company’s future subsidiaries that are classified as restricted subsidiaries under the credit agreement. The credit agreement is also secured by substantially all of the assets of the Company, Diamondback O&amp;G LLC and the guarantors.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the Company that is equal to an alternate base rate (which is equal to the greatest of the prime rate, the Federal Funds effective rate plus 0.5%, and 3-month LIBOR plus 1.0%) or LIBOR, in each case plus the applicable margin. The applicable margin ranges from 0.25% to 1.25% in the case of the alternate base rate and from 1.25% to 2.25% in the case of LIBOR, in each case depending on the amount of loans and letters of credit outstanding in relation to the commitment, which is defined as the least of the maximum credit amount, the borrowing base and the elected commitment amount. The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2019 and December 31, 2018,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Partnership’s Credit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8, 2014, the Partnership entered into a secured revolving credit agreement with Wells Fargo, as administrative agent, certain other lenders and the Operating Company, the Partnership’s consolidated subsidiary, as guarantor. On May 8, 2018, the Operating Company assumed all liabilities as borrower under the credit agreement and the Partnership became a guarantor of the credit agreement. On July 20, 2018, the Operating Company, the Partnership, Wells Fargo and the other lenders amended and restated the credit agreement to reflect the assumption by the Operating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9"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as amended and restated, provides for a revolving credit facility in the maximum credit amount of $2 billion and a borrowing base based on the Partnership’s oil and natural gas reserves and other factors (the “borrowing base”) of $555 million, subject to scheduled semi-annual and other elective borrowing base redeterminations. The borrowing base is scheduled to be re-determined semi-annually with effective dates of May 1st and November 1st. In addition, the Operating Company and Wells Fargo each may request up to three interim redeterminations of the borrowing base during any 12-month period. As of March 31, 2019, the borrowing base was set at $555 million, and the Partnership had $157 million of outstanding borrowings and $398 million available for future borrowings under its revolving credit facility.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the Operating Company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the Partnership and the Operating Company.</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$400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2019 and December 31, 2018, the Partnership was in compliance with all financial covenants under its revolving credit facility, as then in effect. The lenders may accelerate all of the indebtedness under the Partnership’s credit agreement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Alliance with Obsidian Resources, L.L.C.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9"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final internal rate of return target, CEMOF’s interest will be reduced to 15%, while the Company’s interest will increase to 85%. As of March 31, 2019, CEMOF had funded approximately $18 million. As of March 31, 2019, six joint wells have been drilled and completed.</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did not complete any equity offerings during the three months ended March 31, 2019 and March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Equity Offerings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 2019, the Partnership completed an underwritten public offering of 10,925,000 common units, which included 1,425,000 common units issued pursuant to an option to purchase additional common units granted to the underwriters. Following this offering, the Company owned approximately 54% of the Partnership’s total units then outstanding. The Partnership received net proceeds from this offering of approximately $341 million, after deducting underwriting discounts and commissions and estimated offering expenses. The Partnership used the net proceeds to purchase units of the Operating Company. The Operating Company in turn used the net proceeds to repay a portion of the outstanding borrowings under its revolving credit facility and finance acquisitions during the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sz w:val="20"/>
                <w:szCs w:val="20"/>
                <w:color w:val="auto"/>
              </w:rPr>
            </w:pP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90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in millions, except per share</w:t>
            </w:r>
          </w:p>
        </w:tc>
        <w:tc>
          <w:tcPr>
            <w:tcW w:w="0" w:type="dxa"/>
            <w:vAlign w:val="bottom"/>
          </w:tcPr>
          <w:p>
            <w:pPr>
              <w:spacing w:after="0"/>
              <w:rPr>
                <w:sz w:val="1"/>
                <w:szCs w:val="1"/>
                <w:color w:val="auto"/>
              </w:rPr>
            </w:pPr>
          </w:p>
        </w:tc>
      </w:tr>
      <w:tr>
        <w:trPr>
          <w:trHeight w:val="238"/>
        </w:trPr>
        <w:tc>
          <w:tcPr>
            <w:tcW w:w="890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amounts, shares in thousands)</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164,852</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98,555</w:t>
            </w:r>
          </w:p>
        </w:tc>
        <w:tc>
          <w:tcPr>
            <w:tcW w:w="0" w:type="dxa"/>
            <w:vAlign w:val="bottom"/>
          </w:tcPr>
          <w:p>
            <w:pPr>
              <w:spacing w:after="0"/>
              <w:rPr>
                <w:sz w:val="1"/>
                <w:szCs w:val="1"/>
                <w:color w:val="auto"/>
              </w:rPr>
            </w:pPr>
          </w:p>
        </w:tc>
      </w:tr>
      <w:tr>
        <w:trPr>
          <w:trHeight w:val="243"/>
        </w:trPr>
        <w:tc>
          <w:tcPr>
            <w:tcW w:w="8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Potential common shares issuable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97"/>
        </w:trPr>
        <w:tc>
          <w:tcPr>
            <w:tcW w:w="8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165,061</w:t>
            </w: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98,769</w:t>
            </w:r>
          </w:p>
        </w:tc>
        <w:tc>
          <w:tcPr>
            <w:tcW w:w="0" w:type="dxa"/>
            <w:vAlign w:val="bottom"/>
          </w:tcPr>
          <w:p>
            <w:pPr>
              <w:spacing w:after="0"/>
              <w:rPr>
                <w:sz w:val="1"/>
                <w:szCs w:val="1"/>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attributable to common stock</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attributable to common stock</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the following shares that were excluded from the computation of diluted earnings per share because their inclusion would have been anti-dilutive for the periods presented but could potentially dilute basic earnings per share in future periods:</w:t>
      </w:r>
    </w:p>
    <w:p>
      <w:pPr>
        <w:spacing w:after="0" w:line="320"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22860</wp:posOffset>
            </wp:positionV>
            <wp:extent cx="1440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 w:lineRule="exact"/>
        <w:rPr>
          <w:sz w:val="20"/>
          <w:szCs w:val="20"/>
          <w:color w:val="auto"/>
        </w:rPr>
      </w:pPr>
    </w:p>
    <w:p>
      <w:pPr>
        <w:ind w:left="9540"/>
        <w:spacing w:after="0"/>
        <w:tabs>
          <w:tab w:leader="none" w:pos="1066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36830</wp:posOffset>
            </wp:positionV>
            <wp:extent cx="1440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9980" w:val="left"/>
          <w:tab w:leader="none" w:pos="11120" w:val="left"/>
        </w:tabs>
        <w:rPr>
          <w:sz w:val="20"/>
          <w:szCs w:val="20"/>
          <w:color w:val="auto"/>
        </w:rPr>
      </w:pPr>
      <w:r>
        <w:rPr>
          <w:rFonts w:ascii="Times New Roman" w:cs="Times New Roman" w:eastAsia="Times New Roman" w:hAnsi="Times New Roman"/>
          <w:sz w:val="18"/>
          <w:szCs w:val="18"/>
          <w:color w:val="auto"/>
        </w:rPr>
        <w:t>Restricted stock units</w:t>
      </w:r>
      <w:r>
        <w:rPr>
          <w:sz w:val="20"/>
          <w:szCs w:val="20"/>
          <w:color w:val="auto"/>
        </w:rPr>
        <w:tab/>
      </w: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9"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EQUITY-BASED COMPENSATION</w:t>
            </w: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8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table presents the effects of the equity compensation plans and related costs:</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78"/>
        </w:trPr>
        <w:tc>
          <w:tcPr>
            <w:tcW w:w="8900" w:type="dxa"/>
            <w:vAlign w:val="bottom"/>
          </w:tcPr>
          <w:p>
            <w:pPr>
              <w:spacing w:after="0"/>
              <w:rPr>
                <w:sz w:val="24"/>
                <w:szCs w:val="24"/>
                <w:color w:val="auto"/>
              </w:rPr>
            </w:pP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8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320" w:type="dxa"/>
            <w:vAlign w:val="bottom"/>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Equity-based compensation capitalized pursuant to full cost method of accounting for oil and natural gas properties</w:t>
            </w:r>
          </w:p>
        </w:tc>
        <w:tc>
          <w:tcPr>
            <w:tcW w:w="820" w:type="dxa"/>
            <w:vAlign w:val="bottom"/>
          </w:tcPr>
          <w:p>
            <w:pPr>
              <w:spacing w:after="0"/>
              <w:rPr>
                <w:sz w:val="21"/>
                <w:szCs w:val="21"/>
                <w:color w:val="auto"/>
              </w:rPr>
            </w:pPr>
          </w:p>
        </w:tc>
        <w:tc>
          <w:tcPr>
            <w:tcW w:w="13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units activity under the Equity Plan during the three months ended March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8"/>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324,224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116.01</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435,049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107.30</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109.05</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112.27</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March 31, 2019</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630,144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111.37</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units that vested during the three months ended March 31, 2019 and 2018 was $13 million and $9 million, respectively. As of March 31, 2019, the Company’s unrecognized compensation cost related to unvested restricted stock awards and units was $55 million. Such cost is expected to be recognized over a weighted-average period of 1.3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2019, eligible employees received performance restricted stock unit awards totaling 199,723 units from which a minimum of 0% and a maximum of 200% units could be awarded. The awards have a performance period of January 1, 2019 to December 31, 2021 and cliff vest at December 31, 2021. In March 2019, eligible employees received performance restricted stock unit awards totaling 32,958 units from which a minimum of 0% and a maximum of 200% units could be awarded. The awards have a performance period of January 1, 2019 to December 31, 2021 and vest in five equal installments beginning on March 1, 2025.</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9"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grant-date fair values of performance restricted stock units granted and the related assumptions for the March 2019 awards.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4"/>
        </w:trPr>
        <w:tc>
          <w:tcPr>
            <w:tcW w:w="21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(3-year vesting)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137.22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21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Grant-date fair value (5-year vesting)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132.48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21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1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21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volatility</w:t>
            </w: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657"/>
        </w:trPr>
        <w:tc>
          <w:tcPr>
            <w:tcW w:w="114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The following table presents the Company’s performance restricted stock units activity under the Equity Plan for the three months ended March 31,</w:t>
            </w: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6"/>
        </w:trPr>
        <w:tc>
          <w:tcPr>
            <w:tcW w:w="2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1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Grant-Date Fair Value</w:t>
            </w:r>
          </w:p>
        </w:tc>
      </w:tr>
      <w:tr>
        <w:trPr>
          <w:trHeight w:val="27"/>
        </w:trPr>
        <w:tc>
          <w:tcPr>
            <w:tcW w:w="72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196,203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169.76</w:t>
            </w:r>
          </w:p>
        </w:tc>
      </w:tr>
      <w:tr>
        <w:trPr>
          <w:trHeight w:val="243"/>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spacing w:after="0"/>
              <w:rPr>
                <w:sz w:val="21"/>
                <w:szCs w:val="21"/>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131.30</w:t>
            </w:r>
          </w:p>
        </w:tc>
      </w:tr>
      <w:tr>
        <w:trPr>
          <w:trHeight w:val="27"/>
        </w:trPr>
        <w:tc>
          <w:tcPr>
            <w:tcW w:w="7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(123,546)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121.41</w:t>
            </w:r>
          </w:p>
        </w:tc>
      </w:tr>
      <w:tr>
        <w:trPr>
          <w:trHeight w:val="264"/>
        </w:trPr>
        <w:tc>
          <w:tcPr>
            <w:tcW w:w="724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8"/>
                <w:szCs w:val="18"/>
                <w:color w:val="auto"/>
              </w:rPr>
              <w:t>Unvested at March 31, 2019</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2"/>
                <w:szCs w:val="22"/>
                <w:color w:val="auto"/>
              </w:rPr>
            </w:pPr>
          </w:p>
        </w:tc>
        <w:tc>
          <w:tcPr>
            <w:tcW w:w="19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428,884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151.74</w:t>
            </w:r>
          </w:p>
        </w:tc>
      </w:tr>
      <w:tr>
        <w:trPr>
          <w:trHeight w:val="20"/>
        </w:trPr>
        <w:tc>
          <w:tcPr>
            <w:tcW w:w="2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 maximum of 857,768 units could be awarded based upon the Company’s final TSR ranking.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the Company’s unrecognized compensation cost related to unvested performance based restricted stock awards and units was $47 million. Such cost is expected to be recognized over a weighted-average period of 1.4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Energen merger, each outstanding stock appreciation right in respect of Energen common stock that was outstanding immediately prior to the effective time of the Merger was converted into a fully vested stock appreciation right in respect of such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 at an exercise price per share of Diamondback common stock (rounded up to the nearest whole cent) equal to the quotient of (A) the exercise price per share of Energen common stock of such stock appreciation right immediately prior to the effective time of the Merger divided by (B) the exchange ratio. These awards have a three-year requisite service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stock appreciation rights activity during the three months ended March 31,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824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7"/>
        </w:trPr>
        <w:tc>
          <w:tcPr>
            <w:tcW w:w="8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22.12</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8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23.29</w:t>
            </w:r>
          </w:p>
        </w:tc>
      </w:tr>
      <w:tr>
        <w:trPr>
          <w:trHeight w:val="25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24.74</w:t>
            </w:r>
          </w:p>
        </w:tc>
      </w:tr>
      <w:tr>
        <w:trPr>
          <w:trHeight w:val="20"/>
        </w:trPr>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Energen Merger, each option to purchase shares of Energen common stock that was outstanding immediately prior to the effective time of the Merger was converted into a fully vested option to purchase such number of whole shares of Diamondback common stock (rounded down to the nearest whole share) equal to the product of (A) the total number of shares of Energen common stock subject to such option immediately prior to the effective time of the Merger multiplied by (B) the exchange ratio, at an exercise price per share of Diamondback</w:t>
      </w:r>
    </w:p>
    <w:p>
      <w:pPr>
        <w:sectPr>
          <w:pgSz w:w="11900" w:h="16838" w:orient="portrait"/>
          <w:cols w:equalWidth="0" w:num="1">
            <w:col w:w="11420"/>
          </w:cols>
          <w:pgMar w:left="240" w:top="279"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9" w:right="2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(rounded up to the nearest whole cent) equal to the quotient of (A) the exercise price per share of Energen common stock of such option immediately prior to the effective time of the Merger divided by (B) the exchange ratio. The exercise price of stock options granted may not be less than the market value of the stock at the date of grant.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values of stock options granted using a Black-Scholes option valuation model, which requires the Company to make several assumptions. The expected term of options granted was determined based on the contractual term of the awards at effective time of the merger. The risk-free interest rate is based on the U.S. treasury yield curve rate for the expected term of the option at the date of grant. All such amounts represent the weighted-average amounts for each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Weighted Average</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Exercise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w:t>
            </w:r>
          </w:p>
        </w:tc>
        <w:tc>
          <w:tcPr>
            <w:tcW w:w="260" w:type="dxa"/>
            <w:vAlign w:val="bottom"/>
          </w:tcPr>
          <w:p>
            <w:pPr>
              <w:spacing w:after="0"/>
              <w:rPr>
                <w:sz w:val="23"/>
                <w:szCs w:val="23"/>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70"/>
        </w:trPr>
        <w:tc>
          <w:tcPr>
            <w:tcW w:w="5160" w:type="dxa"/>
            <w:vAlign w:val="bottom"/>
          </w:tcPr>
          <w:p>
            <w:pPr>
              <w:spacing w:after="0"/>
              <w:rPr>
                <w:sz w:val="23"/>
                <w:szCs w:val="23"/>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Term</w:t>
            </w:r>
          </w:p>
        </w:tc>
        <w:tc>
          <w:tcPr>
            <w:tcW w:w="260" w:type="dxa"/>
            <w:vAlign w:val="bottom"/>
          </w:tcPr>
          <w:p>
            <w:pPr>
              <w:spacing w:after="0"/>
              <w:rPr>
                <w:sz w:val="23"/>
                <w:szCs w:val="23"/>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7"/>
        </w:trPr>
        <w:tc>
          <w:tcPr>
            <w:tcW w:w="5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years)</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(in millions)</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332,387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332,387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March 31,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332,387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March 31, 2019</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332,387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phantom unit activity under the Viper LTIP for the three months ended March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 Grant-</w:t>
            </w:r>
          </w:p>
        </w:tc>
      </w:t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76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125,053</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11,001</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33.30</w:t>
            </w:r>
          </w:p>
        </w:tc>
      </w:tr>
      <w:tr>
        <w:trPr>
          <w:trHeight w:val="27"/>
        </w:trPr>
        <w:tc>
          <w:tcPr>
            <w:tcW w:w="7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(60,133)</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w:t>
            </w: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at March 31,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75,921</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26.51</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of phantom units that vested during the three months ended March 31, 2019 was $1 million. As of March 31, 2019, the unrecognized compensation cost related to unvested phantom units was $2 million. Such cost is expected to be recognized over a weighted-average period of 0.99 years.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 Agreement - The Partnership</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$500,000, plus reasonable out-of-pocket expenses. For the three months ended March 31, 2019 and 2018, the Partnership did not pay any amounts under the Advisory Services Agreement. The Advisory Services Agreement was terminated on November 12, 2018; however, the Partnership’s payment obligation thereunder continues through the end of the current term in June 2019.</w:t>
      </w:r>
    </w:p>
    <w:p>
      <w:pPr>
        <w:sectPr>
          <w:pgSz w:w="11900" w:h="16838" w:orient="portrait"/>
          <w:cols w:equalWidth="0" w:num="1">
            <w:col w:w="11420"/>
          </w:cols>
          <w:pgMar w:left="240" w:top="279"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9" w:right="2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Bonus - The Partnership</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the Company paid the Partnership $198 in lease bonus payments to extend the term of one lease, reflecting an average bonus of $125 per acre and $3,101 in lease bonus payments for two new leases, reflecting an average bonus of $14,766 per acre. During the three months ended March 31, 2018, the Company did not pay the Partnership any lease bonus payments.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effective income tax rates were (301.7)% and 20.9% for the three months ended March 31, 2019 and 2018, respectively. Total income tax expense for the three months ended March 31, 2019 differed from amounts computed by applying the United States federal statutory tax rate to pre-tax income primarily due to (i) the revision of estimated deferred taxes recognized by the Partnership as a result of its change in tax status, (ii) current and deferred state income taxes, and (iii) the impact of permanent differences between book and taxable income. The Company recorded a discrete income tax benefit of less than $1 million related to equity-based compensation for the three months ended March 31, 2019 and a discrete benefit of approximately $35 million related to the revision of estimated deferred taxes on the Partnership’s investment in the Operating Company arising from the change in the Partnership’s tax status. The Partnership revised its estimate of deferred taxes on the Partnership’s investment in the Operating Company based on information regarding unitholders’ tax basis which, under IRS reporting rules, was not available until the current period. Total income tax expense for the three months ended March 31, 2018 differed from amounts computed by applying the federal statutory rate to pre-tax income primarily due to state income taxes, net income attributable to the noncontrolling interest, and the impact of permanent differences between book and taxable income.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further in Note 5, on March 29, 2018, the Partnership announced that the Board of Directors of its General Partner had unanimously approved a change of the Partnership’s federal income tax status from that of a pass-through partnership to that of a taxable entity, which change became effective on May 10, 2018. The transactions undertaken in connection with the change in the Partnership’s tax status were not taxable to the Company. Subsequent to the Partnership’s change in tax status, the Partnership’s provision for income taxes for the period ended March 31, 2019 is based on its estimated annual effective tax rate plus discrete items. As such, the Partnership’s provision for income taxes is included in the Company’s consolidated financial statements and to the extent applicable, in net income attributable to the non-controlling interest.</w:t>
      </w:r>
    </w:p>
    <w:p>
      <w:pPr>
        <w:spacing w:after="0" w:line="1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used fixed price swap contracts, fixed price basis swap contracts and three-way costless collars with corresponding put, short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Magellan East Houston oil price and the WTI Cushing price and for the spread between the Henry Hub natural gas price and the Waha Hub natural gas price.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9"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derivative contracts are based upon reported settlement prices on commodity exchanges, with crude oil derivative settlements based on New York Mercantile Exchange West Texas Intermediate pricing (Cushing and Magellan East Houston) and ICE Brent pricing, and with natural gas derivative settlements based on the New York Mercantile Exchange Henry Hub pricing and liquids derivative settlements based on Mt. Belvieu pricing.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the Company had the following outstanding derivative contracts. When aggregating multiple contracts, the weighted average contract price is disclosed.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4"/>
        </w:trPr>
        <w:tc>
          <w:tcPr>
            <w:tcW w:w="538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Fixed Price Swap</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Fixed Price Swap</w:t>
            </w:r>
          </w:p>
        </w:tc>
      </w:tr>
      <w:tr>
        <w:trPr>
          <w:trHeight w:val="238"/>
        </w:trPr>
        <w:tc>
          <w:tcPr>
            <w:tcW w:w="5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(Bbls/MMBtu)</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(per Bbl/MMBtu)</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(Bbls/MMBtu)</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Bbl/MMBtu)</w:t>
            </w:r>
          </w:p>
        </w:tc>
      </w:tr>
      <w:tr>
        <w:trPr>
          <w:trHeight w:val="27"/>
        </w:trPr>
        <w:tc>
          <w:tcPr>
            <w:tcW w:w="5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Swaps - WTI Cushing</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Swaps - WTI Magellan East Houston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Swaps - BRENT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Basis Swaps - WTI Cushing</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15,120,000</w:t>
            </w:r>
          </w:p>
        </w:tc>
        <w:tc>
          <w:tcPr>
            <w:tcW w:w="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Swaps - Henry Hub</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Basis Swaps - Waha Hub</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 Swaps - Mont Belvieu</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2,070,000</w:t>
            </w:r>
          </w:p>
        </w:tc>
        <w:tc>
          <w:tcPr>
            <w:tcW w:w="80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2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14"/>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WTI Magellan East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WTI Magellan East</w:t>
            </w:r>
          </w:p>
        </w:tc>
      </w:tr>
      <w:tr>
        <w:trPr>
          <w:trHeight w:val="238"/>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Oil Three-Way Collars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WTI Cushing</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Brent</w:t>
            </w: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Houston</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Brent</w:t>
            </w:r>
          </w:p>
        </w:tc>
        <w:tc>
          <w:tcPr>
            <w:tcW w:w="4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Houston</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(Bbls)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2,190,000</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put price (per Bbl)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Floor price (per Bbl)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Ceiling price (per Bbl)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offsetting of derivative assets and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9"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March 31, 2019 and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440" w:type="dxa"/>
            <w:vAlign w:val="bottom"/>
          </w:tcPr>
          <w:p>
            <w:pPr>
              <w:spacing w:after="0"/>
              <w:rPr>
                <w:sz w:val="20"/>
                <w:szCs w:val="20"/>
                <w:color w:val="auto"/>
              </w:rPr>
            </w:pPr>
          </w:p>
        </w:tc>
        <w:tc>
          <w:tcPr>
            <w:tcW w:w="22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0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amounts of assets presented in the Consolidated Balance Sheet</w:t>
            </w:r>
          </w:p>
        </w:tc>
        <w:tc>
          <w:tcPr>
            <w:tcW w:w="1700" w:type="dxa"/>
            <w:vAlign w:val="bottom"/>
            <w:tcBorders>
              <w:bottom w:val="single" w:sz="8" w:color="CCEEFF"/>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amounts of assets presented in the Consolidated Balance Sheet</w:t>
            </w:r>
          </w:p>
        </w:tc>
        <w:tc>
          <w:tcPr>
            <w:tcW w:w="17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311"/>
        </w:trPr>
        <w:tc>
          <w:tcPr>
            <w:tcW w:w="70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amounts of liabilities presented in the Consolidated Balance Sheet</w:t>
            </w:r>
          </w:p>
        </w:tc>
        <w:tc>
          <w:tcPr>
            <w:tcW w:w="1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0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amounts of liabilities presented in the Consolidated Balance Sheet</w:t>
            </w: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440" w:type="dxa"/>
            <w:vAlign w:val="bottom"/>
          </w:tcPr>
          <w:p>
            <w:pPr>
              <w:spacing w:after="0"/>
              <w:rPr>
                <w:sz w:val="20"/>
                <w:szCs w:val="20"/>
                <w:color w:val="auto"/>
              </w:rPr>
            </w:pPr>
          </w:p>
        </w:tc>
        <w:tc>
          <w:tcPr>
            <w:tcW w:w="22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0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 derivative instruments</w:t>
            </w:r>
          </w:p>
        </w:tc>
        <w:tc>
          <w:tcPr>
            <w:tcW w:w="1700" w:type="dxa"/>
            <w:vAlign w:val="bottom"/>
            <w:tcBorders>
              <w:bottom w:val="single" w:sz="8" w:color="CCEEFF"/>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derivative instruments</w:t>
            </w:r>
          </w:p>
        </w:tc>
        <w:tc>
          <w:tcPr>
            <w:tcW w:w="1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7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 derivative instruments</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 derivative instruments</w:t>
            </w:r>
          </w:p>
        </w:tc>
        <w:tc>
          <w:tcPr>
            <w:tcW w:w="1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700" w:type="dxa"/>
            <w:vAlign w:val="bottom"/>
            <w:tcBorders>
              <w:top w:val="single" w:sz="8" w:color="auto"/>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sz w:val="20"/>
                <w:szCs w:val="20"/>
                <w:color w:val="auto"/>
              </w:rPr>
            </w:pP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8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0" w:type="dxa"/>
            <w:vAlign w:val="bottom"/>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400" w:type="dxa"/>
            <w:vAlign w:val="bottom"/>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open non-hedge derivative instruments</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(285)</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settlement of non-hedge derivative instruments</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9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derivative instruments</w:t>
            </w:r>
          </w:p>
        </w:tc>
        <w:tc>
          <w:tcPr>
            <w:tcW w:w="8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8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9" w:right="2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asset retirement obligations pursuant to the provisions of the Financial Accounting Standards Board issued Accounting Standards Codification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8—Asset Retirement Obligations for further discussion of the Company’s asset retirement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including the Company’s derivative instruments and the Partnership’s cost method investment. The fair value of the Partnership’s investment is determined using quoted market prices. These valuations are Level 1 inputs.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fair value measurement information for financial assets and liabilities measured at fair value on a recurring basis as of March 31, 2019 and December 31, 2018.</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9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4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price swaps</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price swaps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9"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the Partnership’s cost method investment during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adoption of Accounting Standards Update 2016-01</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March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9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investment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consolidated balance sheets:</w:t>
      </w:r>
    </w:p>
    <w:p>
      <w:pPr>
        <w:spacing w:after="0" w:line="167" w:lineRule="exact"/>
        <w:rPr>
          <w:sz w:val="20"/>
          <w:szCs w:val="20"/>
          <w:color w:val="auto"/>
        </w:rPr>
      </w:pPr>
    </w:p>
    <w:tbl>
      <w:tblPr>
        <w:tblLayout w:type="fixed"/>
        <w:tblInd w:w="5500" w:type="dxa"/>
        <w:tblCellMar>
          <w:top w:w="0" w:type="dxa"/>
          <w:left w:w="0" w:type="dxa"/>
          <w:bottom w:w="0" w:type="dxa"/>
          <w:right w:w="0" w:type="dxa"/>
        </w:tblCellMar>
      </w:tblPr>
      <w:tr>
        <w:trPr>
          <w:trHeight w:val="238"/>
        </w:trPr>
        <w:tc>
          <w:tcPr>
            <w:tcW w:w="30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5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500" w:type="dxa"/>
            <w:vAlign w:val="bottom"/>
          </w:tcPr>
          <w:p>
            <w:pPr>
              <w:spacing w:after="0"/>
              <w:rPr>
                <w:sz w:val="20"/>
                <w:szCs w:val="20"/>
                <w:color w:val="auto"/>
              </w:rPr>
            </w:pPr>
          </w:p>
        </w:tc>
      </w:tr>
      <w:tr>
        <w:trPr>
          <w:trHeight w:val="27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17145</wp:posOffset>
            </wp:positionV>
            <wp:extent cx="3764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r>
      <w:tr>
        <w:trPr>
          <w:trHeight w:val="27"/>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4.625%</w:t>
            </w:r>
          </w:p>
        </w:tc>
        <w:tc>
          <w:tcPr>
            <w:tcW w:w="38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Notes due 2021</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r>
      <w:tr>
        <w:trPr>
          <w:trHeight w:val="270"/>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7.320%</w:t>
            </w:r>
          </w:p>
        </w:tc>
        <w:tc>
          <w:tcPr>
            <w:tcW w:w="38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2022</w:t>
            </w:r>
            <w:r>
              <w:rPr>
                <w:rFonts w:ascii="Times New Roman" w:cs="Times New Roman" w:eastAsia="Times New Roman" w:hAnsi="Times New Roman"/>
                <w:sz w:val="25"/>
                <w:szCs w:val="25"/>
                <w:color w:val="auto"/>
                <w:vertAlign w:val="superscript"/>
              </w:rPr>
              <w:t>(1)</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4.750%</w:t>
            </w:r>
          </w:p>
        </w:tc>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r>
      <w:tr>
        <w:trPr>
          <w:trHeight w:val="243"/>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5.375%</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r>
      <w:tr>
        <w:trPr>
          <w:trHeight w:val="27"/>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7.350%</w:t>
            </w:r>
          </w:p>
        </w:tc>
        <w:tc>
          <w:tcPr>
            <w:tcW w:w="38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2027</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7.125%</w:t>
            </w:r>
          </w:p>
        </w:tc>
        <w:tc>
          <w:tcPr>
            <w:tcW w:w="38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B, due 2028</w:t>
            </w:r>
            <w:r>
              <w:rPr>
                <w:rFonts w:ascii="Times New Roman" w:cs="Times New Roman" w:eastAsia="Times New Roman" w:hAnsi="Times New Roman"/>
                <w:sz w:val="25"/>
                <w:szCs w:val="25"/>
                <w:color w:val="auto"/>
                <w:vertAlign w:val="superscript"/>
              </w:rPr>
              <w:t>(1)</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50"/>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Partnership revolving credit facility</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DrillCo Agreement</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Energen Merger, Energen became a wholly owned subsidiary of the Company and remained the issuer of the Energen Notes. These notes were marked to fair value with the excess being amortized.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revolving credit facility and the Partnership’s revolving credit facility approximates their carrying value based on borrowing rates available to the Company for bank loans with similar terms and maturities and is classified as Level 2 in the fair value hierarchy. The fair value of the Senior Notes and the Energen Notes was determined using the March 31, 2019 quoted market price, a Level 1 classification in the fair value hierarchy.</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leases certain drilling rigs, facilities, compression and other equipment.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in Note 2—Summary of Significant Accounting Policies, the Company adopted ASU 2016-02, ASU 2018-11 and ASU 2019-01 on January 1, 2019 using the optional transition method of adoption. The Company elected a package of practical expedients that together allows an entity to not reassess (i) whether a contract is or contains a lease, (ii) lease classification and (iii) initial direct costs. In addition, the Company elected the following practical expedients: (i) to not reassess certain land easements; (ii) to not apply the recognition requirements under the standard to short-term leases; (iii) to not reassess lease terms for lease terms on leases entered into prior to the effective date of adoption; and (iv) lessor accounting policy election to exclude lessor costs paid directly by the lessee.</w:t>
      </w:r>
    </w:p>
    <w:p>
      <w:pPr>
        <w:sectPr>
          <w:pgSz w:w="11900" w:h="16838" w:orient="portrait"/>
          <w:cols w:equalWidth="0" w:num="1">
            <w:col w:w="11420"/>
          </w:cols>
          <w:pgMar w:left="240" w:top="279"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9" w:right="2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leases where the Company is the lessee, the Company recorded a total of $13 million in right-of-use assets and corresponding new lease liabilities in other on its Condensed Consolidated Balance Sheet representing the present value of its future operating lease payments. Adoption of the standards did not require an adjustment to the opening balance of retained earnings. The discount rate used to determine present value was based on the rate of interest that the Company estimated it would have to pay to borrow (on a collateralized-basis over a similar term) an amount equal to the lease payments in a similar economic environment as of January 1, 2019. The Company is required to reassess the discount rate for any new and modified lease contracts as of the lease effective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right-of-use assets and lease liabilities recognized upon adoption of ASU 2016-02 were based on the lease classifications, lease commitment amounts and terms recognized under the prior lease accounting guidance. Leases with an initial term of twelve months or less are considered short-term leases and are not recorded on the balance sheet.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operating lease costs for the three months ended March 31, 2019:</w:t>
      </w:r>
    </w:p>
    <w:p>
      <w:pPr>
        <w:spacing w:after="0" w:line="167"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22860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9040" w:val="left"/>
          <w:tab w:leader="none" w:pos="11200" w:val="left"/>
        </w:tabs>
        <w:rPr>
          <w:sz w:val="20"/>
          <w:szCs w:val="20"/>
          <w:color w:val="auto"/>
        </w:rPr>
      </w:pPr>
      <w:r>
        <w:rPr>
          <w:rFonts w:ascii="Times New Roman" w:cs="Times New Roman" w:eastAsia="Times New Roman" w:hAnsi="Times New Roman"/>
          <w:sz w:val="18"/>
          <w:szCs w:val="18"/>
          <w:color w:val="auto"/>
        </w:rPr>
        <w:t>Operating lease costs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cash paid for operating lease liabilities, and reported in cash flows provided by operating activities on the Company's Statement of Condensed Consolidated Cash Flows, was $5 million. During the three months ended March 31, 2019, the Company recorded an additional $8 million of right-of-use assets in exchange for new lease liabilities.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operating lease right-of-use assets were reported in other assets and the current and noncurrent portions of the operating lease liabilities were reported in other current liabilities and other liabilities, respectively, on the Condensed Consolidated Balance Sheet. As of March 31, 2019, the operating right-of-use assets were $26 million and operating lease liabilities were $26 million, of which $21 million was classified as current. As of March 31, 2019, the weighted average remaining lease term was 1.4 years and the weighted average discount rate was 8.4%.</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Schedule of Operating Lease Liability Maturities</w:t>
      </w:r>
      <w:r>
        <w:rPr>
          <w:rFonts w:ascii="Times New Roman" w:cs="Times New Roman" w:eastAsia="Times New Roman" w:hAnsi="Times New Roman"/>
          <w:sz w:val="18"/>
          <w:szCs w:val="18"/>
          <w:color w:val="auto"/>
        </w:rPr>
        <w:t>. The following table summarizes undiscounted cash flows owed by the Company to lessors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contractual agreements in effect as of March 31, 2019: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March 31, 2019</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(April - December)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leases in which the Company is the lessor, the Company (i) retained classification of our historical leases as we are not required to reassess classification upon adoption of the new standard, (ii) expensed indirect leasing costs in connection with new or extended tenant leases, the recognition of which would have been deferred under prior accounting guidance and (iii) aggregated revenue from our lease components and non-lease components (comprised of tenant expense reimbursements) into revenue from rental properties.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9"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2019 Dividend Declaration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3, 2019, the Board of Directors of the Company declared a cash dividend for the first quarter of 2019 of $0.1875 per share of common stock, payable on June 4, 2019 to its stockholders of record at the close of business on May 28, 2019.</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Commodity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March 31, 2019, the Company entered into new fixed price basis swaps. The Company’s derivative contracts are based upon reported settlement prices on commodity exchanges, with crude oil derivative settlements based on New York Mercantile Exchange West Texas Intermediate pricing (Cushing and Magellan East Houston) and Crude Oil Brent.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derivative contracts entered into by the Company subsequent to March 31, 2019. When aggregating multiple contracts, the weighted average contract price is disclosed.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Fixed Price Swap (per</w:t>
            </w:r>
          </w:p>
        </w:tc>
      </w:tr>
      <w:tr>
        <w:trPr>
          <w:trHeight w:val="238"/>
        </w:trPr>
        <w:tc>
          <w:tcPr>
            <w:tcW w:w="4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Volume (Bbls/MMBtu)</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7"/>
              </w:rPr>
              <w:t>Bbl/MMBtu)</w:t>
            </w:r>
          </w:p>
        </w:tc>
      </w:tr>
      <w:tr>
        <w:trPr>
          <w:trHeight w:val="27"/>
        </w:trPr>
        <w:tc>
          <w:tcPr>
            <w:tcW w:w="48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July 2019 - December 2019</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Swaps - WTI</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61.72</w:t>
            </w:r>
          </w:p>
        </w:tc>
      </w:tr>
      <w:tr>
        <w:trPr>
          <w:trHeight w:val="27"/>
        </w:trPr>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Oil Swaps - WTI Magellan East Houston</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828,000</w:t>
            </w:r>
          </w:p>
        </w:tc>
        <w:tc>
          <w:tcPr>
            <w:tcW w:w="5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65.61</w:t>
            </w:r>
          </w:p>
        </w:tc>
      </w:tr>
      <w:tr>
        <w:trPr>
          <w:trHeight w:val="243"/>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Swaps - BRENT</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69.45</w:t>
            </w:r>
          </w:p>
        </w:tc>
      </w:tr>
      <w:tr>
        <w:trPr>
          <w:trHeight w:val="27"/>
        </w:trPr>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January 2020 - December 2020</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Swaps - WTI</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2,562,000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60.63</w:t>
            </w:r>
          </w:p>
        </w:tc>
      </w:tr>
      <w:tr>
        <w:trPr>
          <w:trHeight w:val="27"/>
        </w:trPr>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Oil Swaps - WTI Magellan East Houston</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1,464,000</w:t>
            </w:r>
          </w:p>
        </w:tc>
        <w:tc>
          <w:tcPr>
            <w:tcW w:w="5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64.25</w:t>
            </w:r>
          </w:p>
        </w:tc>
      </w:tr>
      <w:tr>
        <w:trPr>
          <w:trHeight w:val="243"/>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Swaps - BRENT</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66.24</w:t>
            </w:r>
          </w:p>
        </w:tc>
      </w:tr>
      <w:tr>
        <w:trPr>
          <w:trHeight w:val="815"/>
        </w:trPr>
        <w:tc>
          <w:tcPr>
            <w:tcW w:w="480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July 2019 - December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8"/>
        </w:trPr>
        <w:tc>
          <w:tcPr>
            <w:tcW w:w="4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40" w:type="dxa"/>
            <w:vAlign w:val="bottom"/>
            <w:gridSpan w:val="8"/>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January 2020 - December 2020</w:t>
            </w:r>
          </w:p>
        </w:tc>
      </w:tr>
      <w:tr>
        <w:trPr>
          <w:trHeight w:val="27"/>
        </w:trPr>
        <w:tc>
          <w:tcPr>
            <w:tcW w:w="4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14"/>
        </w:trPr>
        <w:tc>
          <w:tcPr>
            <w:tcW w:w="4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WTI - Magellan East</w:t>
            </w:r>
          </w:p>
        </w:tc>
      </w:tr>
      <w:tr>
        <w:trPr>
          <w:trHeight w:val="238"/>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Oil Three-Way Collars</w:t>
            </w:r>
          </w:p>
        </w:tc>
        <w:tc>
          <w:tcPr>
            <w:tcW w:w="420" w:type="dxa"/>
            <w:vAlign w:val="bottom"/>
          </w:tcPr>
          <w:p>
            <w:pPr>
              <w:spacing w:after="0"/>
              <w:rPr>
                <w:sz w:val="20"/>
                <w:szCs w:val="20"/>
                <w:color w:val="auto"/>
              </w:rPr>
            </w:pPr>
          </w:p>
        </w:tc>
        <w:tc>
          <w:tcPr>
            <w:tcW w:w="14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Brent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WTI</w:t>
            </w:r>
          </w:p>
        </w:tc>
        <w:tc>
          <w:tcPr>
            <w:tcW w:w="120" w:type="dxa"/>
            <w:vAlign w:val="bottom"/>
          </w:tcPr>
          <w:p>
            <w:pPr>
              <w:spacing w:after="0"/>
              <w:rPr>
                <w:sz w:val="20"/>
                <w:szCs w:val="20"/>
                <w:color w:val="auto"/>
              </w:rPr>
            </w:pPr>
          </w:p>
        </w:tc>
        <w:tc>
          <w:tcPr>
            <w:tcW w:w="13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Brent</w:t>
            </w:r>
          </w:p>
        </w:tc>
        <w:tc>
          <w:tcPr>
            <w:tcW w:w="120" w:type="dxa"/>
            <w:vAlign w:val="bottom"/>
          </w:tcPr>
          <w:p>
            <w:pPr>
              <w:spacing w:after="0"/>
              <w:rPr>
                <w:sz w:val="20"/>
                <w:szCs w:val="20"/>
                <w:color w:val="auto"/>
              </w:rPr>
            </w:pPr>
          </w:p>
        </w:tc>
        <w:tc>
          <w:tcPr>
            <w:tcW w:w="17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Houston</w:t>
            </w:r>
          </w:p>
        </w:tc>
      </w:tr>
      <w:tr>
        <w:trPr>
          <w:trHeight w:val="27"/>
        </w:trPr>
        <w:tc>
          <w:tcPr>
            <w:tcW w:w="4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(Bbls)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2,928,000</w:t>
            </w:r>
          </w:p>
        </w:tc>
        <w:tc>
          <w:tcPr>
            <w:tcW w:w="13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2,928,000</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put price (per Bbl)</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Floor price (per Bbl)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80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Ceiling price (per Bbl)</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67.00</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69.90</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Gray Oak Promissory Note</w:t>
      </w:r>
    </w:p>
    <w:p>
      <w:pPr>
        <w:spacing w:after="0" w:line="229"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May 2, 2019, borrowings due the Company totaled $23 million. The note is expected to be repaid in full before the end of the second quarter 2019 when Gray Oak expects to secure bank financing for construction.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9"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2019, the Company’s board of directors approved a stock repurchase program to acquire up to $2 billion of the Company’s outstanding common stock through December 31, 2020. This repurchase program is another component of the Company’s capital return program that includes the increased quarterly dividend.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w:t>
      </w:r>
    </w:p>
    <w:p>
      <w:pPr>
        <w:spacing w:after="0" w:line="4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Pending Divestiture of Certain Conventional and Non-Core Assets Acquired from Energen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2019, the Company entered into two definitive agreements with unrelated third-party purchasers to divest 103,423 net acres of certain conventional and non-core Permian assets, which were acquired by the Company in the Merger, for an aggregate sale price of $322 million. Both of these divestiture transactions are expected to close by July 1, 2019, subject to continued diligence and closing conditions.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GUARANTOR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March 31, 2019, Diamondback E&amp;P LLC, Diamondback O&amp;G LLC and Energen Corporation and its subsidiaries (the “Guarantor Subsidiaries”) are guarantors under the 2024 Indenture and the 2025 Indenture. In connection with the issuance of the 2024 Senior Notes and the 2025 Senior Notes, the Partnership, the General Partner, Viper Energy Partners LLC and Rattler Midstream Operating LLC were designated as Non-Guarantor Subsidiaries. The following presents condensed consolidated financial information for the Company (which for purposes of this Note 20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9"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463</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receivable</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4,107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693</w:t>
            </w:r>
          </w:p>
        </w:tc>
      </w:tr>
      <w:tr>
        <w:trPr>
          <w:trHeight w:val="269"/>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Oil and natural gas properties, at cost, full cost method of accounting</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23,229</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Midstream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762</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property, equipment and land</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depletion, depreciation, amortization and impairment</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19,529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1,540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21,047</w:t>
            </w:r>
          </w:p>
        </w:tc>
      </w:tr>
      <w:tr>
        <w:trPr>
          <w:trHeight w:val="25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asset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real estate, net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r>
      <w:tr>
        <w:trPr>
          <w:trHeight w:val="282"/>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16,328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21,887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1,767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22,268</w:t>
            </w:r>
          </w:p>
        </w:tc>
      </w:tr>
      <w:tr>
        <w:trPr>
          <w:trHeight w:val="251"/>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payable-trade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payable</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238</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and royalties payable</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6,337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1,112</w:t>
            </w: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4,670</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1,802</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r>
      <w:tr>
        <w:trPr>
          <w:trHeight w:val="255"/>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10,387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7,754</w:t>
            </w: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13,773</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741</w:t>
            </w: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13,773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11,500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14,514</w:t>
            </w:r>
          </w:p>
        </w:tc>
      </w:tr>
      <w:tr>
        <w:trPr>
          <w:trHeight w:val="242"/>
        </w:trPr>
        <w:tc>
          <w:tcPr>
            <w:tcW w:w="43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16,328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21,887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1,767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22,268</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9" w:right="2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23"/>
                <w:szCs w:val="2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receivable</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4,556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925</w:t>
            </w:r>
          </w:p>
        </w:tc>
      </w:tr>
      <w:tr>
        <w:trPr>
          <w:trHeight w:val="269"/>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Oil and natural gas properties, at cost, full cost method of accounting</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22,299</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Midstream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property, equipment and land</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18,913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20,372</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in real estate, net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r>
      <w:tr>
        <w:trPr>
          <w:trHeight w:val="282"/>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20,187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21,596</w:t>
            </w:r>
          </w:p>
        </w:tc>
      </w:tr>
      <w:tr>
        <w:trPr>
          <w:trHeight w:val="251"/>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payable-trade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payable</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495</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and royalties payable</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5,672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1,019</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4,464</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1,785</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9,253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7,429</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13,700</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467</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13,700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10,934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14,167</w:t>
            </w:r>
          </w:p>
        </w:tc>
      </w:tr>
      <w:tr>
        <w:trPr>
          <w:trHeight w:val="242"/>
        </w:trPr>
        <w:tc>
          <w:tcPr>
            <w:tcW w:w="4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21,596</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8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9" w:right="239" w:bottom="86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sales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743</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Natural gas sales</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Natural gas liquid sales</w:t>
            </w:r>
          </w:p>
        </w:tc>
        <w:tc>
          <w:tcPr>
            <w:tcW w:w="9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bonus</w:t>
            </w:r>
          </w:p>
        </w:tc>
        <w:tc>
          <w:tcPr>
            <w:tcW w:w="9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265"/>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operating income</w:t>
            </w:r>
          </w:p>
        </w:tc>
        <w:tc>
          <w:tcPr>
            <w:tcW w:w="9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55"/>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9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864</w:t>
            </w: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9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operating expenses</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9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9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322</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90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operating expense</w:t>
            </w:r>
          </w:p>
        </w:tc>
        <w:tc>
          <w:tcPr>
            <w:tcW w:w="9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55"/>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90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545</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900" w:type="dxa"/>
            <w:vAlign w:val="bottom"/>
          </w:tcPr>
          <w:p>
            <w:pPr>
              <w:spacing w:after="0"/>
              <w:rPr>
                <w:sz w:val="21"/>
                <w:szCs w:val="21"/>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319</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9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 net</w:t>
            </w:r>
          </w:p>
        </w:tc>
        <w:tc>
          <w:tcPr>
            <w:tcW w:w="900" w:type="dxa"/>
            <w:vAlign w:val="bottom"/>
          </w:tcPr>
          <w:p>
            <w:pPr>
              <w:spacing w:after="0"/>
              <w:rPr>
                <w:sz w:val="23"/>
                <w:szCs w:val="23"/>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derivative instruments, net</w:t>
            </w:r>
          </w:p>
        </w:tc>
        <w:tc>
          <w:tcPr>
            <w:tcW w:w="9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7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revaluation of investment</w:t>
            </w:r>
          </w:p>
        </w:tc>
        <w:tc>
          <w:tcPr>
            <w:tcW w:w="9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50"/>
        </w:trPr>
        <w:tc>
          <w:tcPr>
            <w:tcW w:w="4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other expense, net</w:t>
            </w:r>
          </w:p>
        </w:tc>
        <w:tc>
          <w:tcPr>
            <w:tcW w:w="900" w:type="dxa"/>
            <w:vAlign w:val="bottom"/>
          </w:tcPr>
          <w:p>
            <w:pPr>
              <w:spacing w:after="0"/>
              <w:rPr>
                <w:sz w:val="21"/>
                <w:szCs w:val="21"/>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55"/>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90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5"/>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0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9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r>
      <w:tr>
        <w:trPr>
          <w:trHeight w:val="242"/>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90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4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9"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4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23"/>
                <w:szCs w:val="2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sales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419</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Natural gas sales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Natural gas liquid sales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7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operating income</w:t>
            </w:r>
          </w:p>
        </w:tc>
        <w:tc>
          <w:tcPr>
            <w:tcW w:w="8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50"/>
        </w:trPr>
        <w:tc>
          <w:tcPr>
            <w:tcW w:w="4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88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r>
      <w:tr>
        <w:trPr>
          <w:trHeight w:val="26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operating expense</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4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212</w:t>
            </w:r>
          </w:p>
        </w:tc>
      </w:tr>
      <w:tr>
        <w:trPr>
          <w:trHeight w:val="25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267</w:t>
            </w:r>
          </w:p>
        </w:tc>
      </w:tr>
      <w:tr>
        <w:trPr>
          <w:trHeight w:val="26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derivative instruments, net</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65"/>
        </w:trPr>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Gain on revaluation of investment</w:t>
            </w:r>
          </w:p>
        </w:tc>
        <w:tc>
          <w:tcPr>
            <w:tcW w:w="8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4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other expense, net</w:t>
            </w:r>
          </w:p>
        </w:tc>
        <w:tc>
          <w:tcPr>
            <w:tcW w:w="8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225</w:t>
            </w:r>
          </w:p>
        </w:tc>
      </w:tr>
      <w:tr>
        <w:trPr>
          <w:trHeight w:val="27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r>
      <w:tr>
        <w:trPr>
          <w:trHeight w:val="24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r>
      <w:tr>
        <w:trPr>
          <w:trHeight w:val="2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r>
      <w:tr>
        <w:trPr>
          <w:trHeight w:val="242"/>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163</w:t>
            </w:r>
          </w:p>
        </w:tc>
      </w:tr>
      <w:tr>
        <w:trPr>
          <w:trHeight w:val="20"/>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00"/>
          </w:cols>
          <w:pgMar w:left="300" w:top="279" w:right="2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377</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oil and natural gas properties</w:t>
            </w:r>
          </w:p>
        </w:tc>
        <w:tc>
          <w:tcPr>
            <w:tcW w:w="8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midstream assets</w:t>
            </w:r>
          </w:p>
        </w:tc>
        <w:tc>
          <w:tcPr>
            <w:tcW w:w="80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of other property, equipment and land</w:t>
            </w:r>
          </w:p>
        </w:tc>
        <w:tc>
          <w:tcPr>
            <w:tcW w:w="8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leasehold interests</w:t>
            </w:r>
          </w:p>
        </w:tc>
        <w:tc>
          <w:tcPr>
            <w:tcW w:w="80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mineral interests</w:t>
            </w:r>
          </w:p>
        </w:tc>
        <w:tc>
          <w:tcPr>
            <w:tcW w:w="8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65"/>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Equity investments</w:t>
            </w:r>
          </w:p>
        </w:tc>
        <w:tc>
          <w:tcPr>
            <w:tcW w:w="8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r>
      <w:tr>
        <w:trPr>
          <w:trHeight w:val="259"/>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borrowing under credit facility</w:t>
            </w:r>
          </w:p>
        </w:tc>
        <w:tc>
          <w:tcPr>
            <w:tcW w:w="8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484</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Repayment under credit facility</w:t>
            </w:r>
          </w:p>
        </w:tc>
        <w:tc>
          <w:tcPr>
            <w:tcW w:w="80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joint venture</w:t>
            </w:r>
          </w:p>
        </w:tc>
        <w:tc>
          <w:tcPr>
            <w:tcW w:w="8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80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public offerings</w:t>
            </w:r>
          </w:p>
        </w:tc>
        <w:tc>
          <w:tcPr>
            <w:tcW w:w="8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Distributions from subsidiary</w:t>
            </w:r>
          </w:p>
        </w:tc>
        <w:tc>
          <w:tcPr>
            <w:tcW w:w="80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Dividends to stockholders</w:t>
            </w: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Repurchased for tax withholdings</w:t>
            </w:r>
          </w:p>
        </w:tc>
        <w:tc>
          <w:tcPr>
            <w:tcW w:w="8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8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65"/>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8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00" w:type="dxa"/>
            <w:vAlign w:val="bottom"/>
          </w:tcPr>
          <w:p>
            <w:pPr>
              <w:spacing w:after="0"/>
              <w:rPr>
                <w:sz w:val="21"/>
                <w:szCs w:val="2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r>
      <w:tr>
        <w:trPr>
          <w:trHeight w:val="242"/>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0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4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9"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oil and natural gas properties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midstream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of other property, equipment and land</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leasehold interests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mineral interests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Funds held in escrow</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Investment in real estate</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259"/>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borrowing under credit facility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Repayment under credit facility</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senior notes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 from subsidiary</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70"/>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206</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65"/>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r>
      <w:tr>
        <w:trPr>
          <w:trHeight w:val="242"/>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9" w:right="239" w:bottom="1440" w:gutter="0" w:footer="0" w:header="0"/>
        </w:sectPr>
      </w:pPr>
    </w:p>
    <w:bookmarkStart w:id="45" w:name="page46"/>
    <w:bookmarkEnd w:id="4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2018.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production data for the periods indicated:</w:t>
            </w: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878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7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780" w:type="dxa"/>
            <w:vAlign w:val="bottom"/>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7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(MBbls)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(MMcf)</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8780" w:type="dxa"/>
            <w:vAlign w:val="bottom"/>
          </w:tcPr>
          <w:p>
            <w:pPr>
              <w:spacing w:after="0"/>
              <w:rPr>
                <w:sz w:val="20"/>
                <w:szCs w:val="20"/>
                <w:color w:val="auto"/>
              </w:rPr>
            </w:pPr>
          </w:p>
        </w:tc>
        <w:tc>
          <w:tcPr>
            <w:tcW w:w="15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7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we had approximately 478,560 net acres, which primarily consisted of approximately 200,239 net acres in the Midland Basin and approximately 163,040 net acres in the Delaware Basin. As of December 31, 2018, we had an estimated 11,868 gross horizontal locations that we believe to be economic at $60 per Bbl West Texas Intermediate, or WTI.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2019 Dividend Declaration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3, 2019, our board of directors declared a cash dividend for the first quarter of 2019 of $0.1875 per share of common stock, payable on June 4, 2019 to our stockholders of record at the close of business on May 28,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2019, our board of directors approved a stock repurchase program to acquire up to $2 billion of our outstanding common stock through December 31, 2020. This repurchase program is another component of our capital return program that includes the increased quarterly dividend discussed above. We anticipate that the repurchase program will be funded primarily by free cash flow generated from operations and liquidity events such as the sale of assets.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Pending Divestiture of Certain Conventional and Non-Core Assets Acquired from Energen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2019, we entered into two definitive agreements with unrelated third-party purchasers to divest 103,423 net acres of certain conventional and non-core Permian assets, which were acquired by us in our merger with Energen, for an aggregate sale price of $322 million. Both of these divestiture transactions are expected to close by July 1, 2019, subject to continued diligence and closing conditions. The assets being sold have estimated full year 2019 net production of approximately 6,500 BOE/d.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Viper’s Equity Offering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2019, Viper completed an underwritten public offering of 10,925,000 common units, which included 1,425,000 common units issued pursuant to an option to purchase additional common units granted to the underwriters. Following this offering, we owned approximately 54% of Viper’s total units then outstanding. Viper received net proceeds from this offering of approximately $341 million, after deducting underwriting discounts and commissions and estimated offering expenses. Viper used the net proceeds to purchase units of the Operating Company. The Operating Company in turn used the net proceeds to repay a portion of the outstanding borrowings under its revolving credit facility and finance acquisitions during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Update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operated horizontal wells drilled and completed during the three months ended March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Completed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Area</w:t>
            </w: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vMerge w:val="continue"/>
          </w:tcPr>
          <w:p>
            <w:pPr>
              <w:spacing w:after="0"/>
              <w:rPr>
                <w:sz w:val="20"/>
                <w:szCs w:val="20"/>
                <w:color w:val="auto"/>
              </w:rPr>
            </w:pPr>
          </w:p>
        </w:tc>
        <w:tc>
          <w:tcPr>
            <w:tcW w:w="1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8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Midland Basin</w:t>
            </w:r>
          </w:p>
        </w:tc>
        <w:tc>
          <w:tcPr>
            <w:tcW w:w="18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 Basin</w:t>
            </w: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8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82</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currently operating 23 drilling rigs and eight dedicated frac spreads, with which we expect to complete between 290 to 320 gross horizontal wells with an average lateral length of 9,500 feet for the full year 2019.</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average daily production for the periods presented:</w:t>
      </w:r>
    </w:p>
    <w:p>
      <w:pPr>
        <w:spacing w:after="0" w:line="167"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22860</wp:posOffset>
            </wp:positionV>
            <wp:extent cx="1586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9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(Bbls)/d</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179,056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75,557</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(Mcf)/d</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240,932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72,728</w:t>
            </w:r>
          </w:p>
        </w:tc>
      </w:tr>
      <w:tr>
        <w:trPr>
          <w:trHeight w:val="27"/>
        </w:trPr>
        <w:tc>
          <w:tcPr>
            <w:tcW w:w="8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liquids (Bbls)/d</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average production per day (BOE)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262,633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102,607</w:t>
            </w: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average daily production for the three months ended March 31, 2019 as compared to the three months ended March 31, 2018 increased 160,026 BOE/d, or 156.0%.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78" w:right="2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production data by basin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3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r>
      <w:tr>
        <w:trPr>
          <w:trHeight w:val="27"/>
        </w:trPr>
        <w:tc>
          <w:tcPr>
            <w:tcW w:w="28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4"/>
        </w:trPr>
        <w:tc>
          <w:tcPr>
            <w:tcW w:w="288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Midland</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Midland</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5"/>
        </w:trPr>
        <w:tc>
          <w:tcPr>
            <w:tcW w:w="288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220" w:type="dxa"/>
            <w:vAlign w:val="bottom"/>
            <w:tcBorders>
              <w:bottom w:val="single" w:sz="8" w:color="auto"/>
            </w:tcBorders>
          </w:tcPr>
          <w:p>
            <w:pPr>
              <w:jc w:val="right"/>
              <w:ind w:right="35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(1)</w:t>
            </w: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040" w:type="dxa"/>
            <w:vAlign w:val="bottom"/>
            <w:tcBorders>
              <w:bottom w:val="single" w:sz="8" w:color="auto"/>
            </w:tcBorders>
          </w:tcPr>
          <w:p>
            <w:pPr>
              <w:jc w:val="right"/>
              <w:ind w:right="17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(2)</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2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1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9,984</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5,026</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1,105</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16,115</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5,329</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1,440</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(MMcf)</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10,172</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11,137</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375</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4,461</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2,006</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6,546</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2,176</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1,671</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3,908</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1,094</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(MBoe)</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13,855</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8,553</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1,229</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23,637</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7,167</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2,010</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9,235</w:t>
            </w:r>
          </w:p>
        </w:tc>
      </w:tr>
      <w:tr>
        <w:trPr>
          <w:trHeight w:val="27"/>
        </w:trPr>
        <w:tc>
          <w:tcPr>
            <w:tcW w:w="2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Central Basin Platform, the Eagle Ford Shale and the Rockies.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Eagle Ford Shale.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Our Revenues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 sources of revenues are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breakdown of our revenues for the following periods:</w:t>
            </w: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888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8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88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8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sales</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8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Natural gas sales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8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our production consists primarily of oil, our revenues are more sensitive to fluctuations in oil prices than they are to fluctuations in natural gas or natural gas liquids prices. Oil, natural gas and natural gas liquids prices have historically been volatile. During 2018, WTI posted prices ranged from $44.48 to $77.41 per Bbl and the Henry Hub spot market price of natural gas ranged from $2.49 to $6.24 per MMBtu. During the first three months of 2019, WTI posted prices ranged from $46.31 to $60.19 per Bbl and the Henry Hub spot market price of natural gas ranged from $2.54 to $4.25 per MMBtu. On March 29, 2019, the WTI posted price for crude oil was $60.19 per Bbl and the Henry Hub spot market price of natural gas was $2.73 per MMBtu.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0"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historical operating data for the periods indicated.</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60" w:type="dxa"/>
            <w:vAlign w:val="bottom"/>
          </w:tcPr>
          <w:p>
            <w:pPr>
              <w:spacing w:after="0"/>
              <w:rPr>
                <w:sz w:val="24"/>
                <w:szCs w:val="24"/>
                <w:color w:val="auto"/>
              </w:rPr>
            </w:pPr>
          </w:p>
        </w:tc>
        <w:tc>
          <w:tcPr>
            <w:tcW w:w="29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460" w:type="dxa"/>
            <w:vAlign w:val="bottom"/>
          </w:tcPr>
          <w:p>
            <w:pPr>
              <w:spacing w:after="0"/>
              <w:rPr>
                <w:sz w:val="18"/>
                <w:szCs w:val="18"/>
                <w:color w:val="auto"/>
              </w:rPr>
            </w:pPr>
          </w:p>
        </w:tc>
        <w:tc>
          <w:tcPr>
            <w:tcW w:w="29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(in millions, except Bbl, Mcf and BOE</w:t>
            </w:r>
          </w:p>
        </w:tc>
        <w:tc>
          <w:tcPr>
            <w:tcW w:w="0" w:type="dxa"/>
            <w:vAlign w:val="bottom"/>
          </w:tcPr>
          <w:p>
            <w:pPr>
              <w:spacing w:after="0"/>
              <w:rPr>
                <w:sz w:val="1"/>
                <w:szCs w:val="1"/>
                <w:color w:val="auto"/>
              </w:rPr>
            </w:pPr>
          </w:p>
        </w:tc>
      </w:tr>
      <w:tr>
        <w:trPr>
          <w:trHeight w:val="238"/>
        </w:trPr>
        <w:tc>
          <w:tcPr>
            <w:tcW w:w="8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natural gas and natural gas liquids</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bonus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Midstream services</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operating income</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Lease operating expenses</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Midstream services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operating expense</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revaluation of investment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Diamondback Energy, Inc.</w:t>
            </w:r>
          </w:p>
        </w:tc>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4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998220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Oil (MBbls)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(MMcf)</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liquids (MBbls)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Combined volumes (MBOE)</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Daily combined volumes (BOE/d)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Average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Oil (per Bbl)</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(per 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liquids (per Bbl)</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Combined (per 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Oil, hedged ($ per Bbl)(1)</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hedged ($ per MMbtu)(1)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liquids, hedged ($ per Bbl)(1)</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Average price, hedged ($ per BOE)(1)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Average Costs per 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operating expense</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Production and ad valorem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Gathering and transportation expense</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General and administrative - cash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operating expense -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General and administrative - non-cash component</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Depreciation,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realized oil price ($/Bbl)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NYMEX ($/Bbl)</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Differential to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realized oil price to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realized natural gas price ($/Mcf)</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NYMEX ($/Mcf)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Differential to NYMEX</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realized natural gas price to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19723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0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19723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16,115</w:t>
            </w:r>
          </w:p>
        </w:tc>
        <w:tc>
          <w:tcPr>
            <w:tcW w:w="4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6,800</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21,684</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6,546</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3,908</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1,344</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23,637</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9,235</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262,633</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102,607</w:t>
            </w:r>
          </w:p>
        </w:tc>
      </w:tr>
      <w:tr>
        <w:trPr>
          <w:trHeight w:val="7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46.12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61.64</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18.00</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24.57</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35.63</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50.52</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46.92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56.80</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18.19</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24.57</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36.38</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47.02</w:t>
            </w:r>
          </w:p>
        </w:tc>
      </w:tr>
      <w:tr>
        <w:trPr>
          <w:trHeight w:val="7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4.61</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4.04</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0.51</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0.42</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0.55</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0.96</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8.00</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8.38</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3"/>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0.59</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0.81</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13.62</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12.48</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16.16</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14.77</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3"/>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46.12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61.64</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54.82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62.91</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(8.70)</w:t>
            </w:r>
          </w:p>
        </w:tc>
        <w:tc>
          <w:tcPr>
            <w:tcW w:w="4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r>
        <w:trPr>
          <w:trHeight w:val="270"/>
        </w:trPr>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50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3.08</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(0.90)</w:t>
            </w:r>
          </w:p>
        </w:tc>
      </w:tr>
      <w:tr>
        <w:trPr>
          <w:trHeight w:val="270"/>
        </w:trPr>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0" w:lineRule="exact"/>
        <w:rPr>
          <w:sz w:val="20"/>
          <w:szCs w:val="20"/>
          <w:color w:val="auto"/>
        </w:rPr>
      </w:pPr>
    </w:p>
    <w:p>
      <w:pPr>
        <w:sectPr>
          <w:pgSz w:w="11900" w:h="16838" w:orient="portrait"/>
          <w:cols w:equalWidth="0" w:num="2">
            <w:col w:w="7600" w:space="720"/>
            <w:col w:w="3100"/>
          </w:cols>
          <w:pgMar w:left="240" w:top="738" w:right="239" w:bottom="1440" w:gutter="0" w:footer="0" w:header="0"/>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liquids price ($/Bbl)</w:t>
            </w:r>
          </w:p>
        </w:tc>
        <w:tc>
          <w:tcPr>
            <w:tcW w:w="2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18.00</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24.57</w:t>
            </w:r>
          </w:p>
        </w:tc>
      </w:tr>
      <w:tr>
        <w:trPr>
          <w:trHeight w:val="27"/>
        </w:trPr>
        <w:tc>
          <w:tcPr>
            <w:tcW w:w="6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NYMEX oil price ($/Bbl)</w:t>
            </w:r>
          </w:p>
        </w:tc>
        <w:tc>
          <w:tcPr>
            <w:tcW w:w="24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54.82</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62.91</w:t>
            </w:r>
          </w:p>
        </w:tc>
      </w:tr>
      <w:tr>
        <w:trPr>
          <w:trHeight w:val="243"/>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liquids price to NYMEX oil price</w:t>
            </w:r>
          </w:p>
        </w:tc>
        <w:tc>
          <w:tcPr>
            <w:tcW w:w="2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9"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Our calculation of such effects include gains and losses on cash settlements for commodity derivatives, which we do not designate for hedge accounting.</w:t>
      </w:r>
    </w:p>
    <w:p>
      <w:pPr>
        <w:sectPr>
          <w:pgSz w:w="11900" w:h="16838" w:orient="portrait"/>
          <w:cols w:equalWidth="0" w:num="1">
            <w:col w:w="11420"/>
          </w:cols>
          <w:pgMar w:left="240" w:top="738" w:right="239" w:bottom="144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38" w:right="2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2019 and 2018</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Natural Gas and Natural Gas Liquids Revenues. </w:t>
      </w:r>
      <w:r>
        <w:rPr>
          <w:rFonts w:ascii="Times New Roman" w:cs="Times New Roman" w:eastAsia="Times New Roman" w:hAnsi="Times New Roman"/>
          <w:sz w:val="18"/>
          <w:szCs w:val="18"/>
          <w:color w:val="auto"/>
        </w:rPr>
        <w:t>Our oil, natural gas and natural gas liquids revenues increased by approximately $376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81%, to $842 million for the three months ended March 31, 2019 from $466 million for the three months ended March 31, 2018. Our revenues are a function of oil, natural gas and natural gas liquids production volumes sold and average sales prices received for those volumes. Average daily production sold increased by 160,026 BOE/d to 262,633 BOE/d during the three months ended March 31, 2019 from 102,607 BOE/d during the three months ended March 31, 2018. The total increase in revenue of approximately $376 million is largely attributable to higher oil, natural gas and natural gas liquids production volumes partially offset by lower average sales prices for the three months ended March 31, 2019 as compared to the three months ended March 31, 2018. The increases in production volumes were due to a combination of increased drilling activity and growth through acquisitions. Our production increased by 9,314,965 Bbls of oil, 15,138,340 Mcf of natural gas and 2,564,292 Bbls of natural gas liquids for the three months ended March 31, 2019 as compared to the three months ended March 31, 2018.</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dollar effect of the decreases in prices of approximately $295 million (calculated as the change in period-to-period average prices multiplied by current period production volumes of oil, natural gas and natural gas liquids) and the net dollar effect of the increase in production of approximately $671 million (calculated as the increase in period-to-period volumes for oil, natural gas and natural gas liquids multiplied by the period average prices) are shown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net dollar effect</w:t>
            </w:r>
          </w:p>
        </w:tc>
      </w:tr>
      <w:tr>
        <w:trPr>
          <w:trHeight w:val="265"/>
        </w:trPr>
        <w:tc>
          <w:tcPr>
            <w:tcW w:w="65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Change in prices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2"/>
              </w:rPr>
              <w:t>volumes</w:t>
            </w:r>
            <w:r>
              <w:rPr>
                <w:rFonts w:ascii="Times New Roman" w:cs="Times New Roman" w:eastAsia="Times New Roman" w:hAnsi="Times New Roman"/>
                <w:sz w:val="25"/>
                <w:szCs w:val="25"/>
                <w:b w:val="1"/>
                <w:bCs w:val="1"/>
                <w:color w:val="auto"/>
                <w:w w:val="92"/>
                <w:vertAlign w:val="superscript"/>
              </w:rPr>
              <w:t>(1)</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Oil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16,115</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21,684</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Natural gas liquids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3,908</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38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production</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Prior period</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net dollar effect</w:t>
            </w:r>
          </w:p>
        </w:tc>
      </w:tr>
      <w:tr>
        <w:trPr>
          <w:trHeight w:val="265"/>
        </w:trPr>
        <w:tc>
          <w:tcPr>
            <w:tcW w:w="65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center"/>
              <w:ind w:right="50"/>
              <w:spacing w:after="0" w:line="265" w:lineRule="exact"/>
              <w:rPr>
                <w:sz w:val="20"/>
                <w:szCs w:val="20"/>
                <w:color w:val="auto"/>
              </w:rPr>
            </w:pPr>
            <w:r>
              <w:rPr>
                <w:rFonts w:ascii="Times New Roman" w:cs="Times New Roman" w:eastAsia="Times New Roman" w:hAnsi="Times New Roman"/>
                <w:sz w:val="18"/>
                <w:szCs w:val="18"/>
                <w:b w:val="1"/>
                <w:bCs w:val="1"/>
                <w:color w:val="auto"/>
                <w:w w:val="92"/>
              </w:rPr>
              <w:t>volumes</w:t>
            </w:r>
            <w:r>
              <w:rPr>
                <w:rFonts w:ascii="Times New Roman" w:cs="Times New Roman" w:eastAsia="Times New Roman" w:hAnsi="Times New Roman"/>
                <w:sz w:val="25"/>
                <w:szCs w:val="25"/>
                <w:b w:val="1"/>
                <w:bCs w:val="1"/>
                <w:color w:val="auto"/>
                <w:w w:val="92"/>
                <w:vertAlign w:val="superscript"/>
              </w:rPr>
              <w:t>(1)</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Average Prices</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Oil</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61.64</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24.57</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r>
      <w:tr>
        <w:trPr>
          <w:trHeight w:val="250"/>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change in revenues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-127635</wp:posOffset>
            </wp:positionV>
            <wp:extent cx="1080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Realized pricing is expected to improve beginning in the second quarter of 2019 as our fixed differential contracts roll off and convert to commitments on new-build long-haul pipelines or move closer to current Midland market price. Based on current market differentials and estimated in-basin gathering cost, we expect to realize approximately 88% to 92% of WTI in the future remainder of 2019 and approximately 100% of WTI in 2020.</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Bonus Revenue. </w:t>
      </w:r>
      <w:r>
        <w:rPr>
          <w:rFonts w:ascii="Times New Roman" w:cs="Times New Roman" w:eastAsia="Times New Roman" w:hAnsi="Times New Roman"/>
          <w:sz w:val="18"/>
          <w:szCs w:val="18"/>
          <w:color w:val="auto"/>
        </w:rPr>
        <w:t>Lease bonus revenue was $1 million for the three months ended March 31, 2019, which was attributable to lease bonus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to extend the term of four leases, reflecting an average bonus of $507 per acre, and lease bonus payments on four new leases, reflecting an average bonus of $16,680 per acre. We did not receive any lease bonus revenue for the three months ended March 31, 2018.</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Midstream Services Revenue. </w:t>
      </w:r>
      <w:r>
        <w:rPr>
          <w:rFonts w:ascii="Times New Roman" w:cs="Times New Roman" w:eastAsia="Times New Roman" w:hAnsi="Times New Roman"/>
          <w:sz w:val="18"/>
          <w:szCs w:val="18"/>
          <w:color w:val="auto"/>
        </w:rPr>
        <w:t>Midstream services revenue was $19 million for the three months ended March 31, 2019, an increase of $8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$11 million for the three months ended March 31, 2018.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sectPr>
      </w:pPr>
    </w:p>
    <w:bookmarkStart w:id="51" w:name="page52"/>
    <w:bookmarkEnd w:id="5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Lease operating expenses were $109 million ($4.61 per BOE) for the three months ended March 31, 2019 as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$37 million ($4.04 per BOE) for the three months ended March 31, 2018. The increase in lease operating expense and leases operating expense per BOE was a result of the Energen acquisition.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 Expense. </w:t>
      </w:r>
      <w:r>
        <w:rPr>
          <w:rFonts w:ascii="Times New Roman" w:cs="Times New Roman" w:eastAsia="Times New Roman" w:hAnsi="Times New Roman"/>
          <w:sz w:val="18"/>
          <w:szCs w:val="18"/>
          <w:color w:val="auto"/>
        </w:rPr>
        <w:t>Production and ad valorem taxes were $55 million for the three months ended March 31, 2019,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of $28 million, or 104%, from $27 million for the three months ended March 31, 2018. In general, production taxes and ad valorem taxes are directly related to commodity price changes; however, Texas ad valorem taxes are based upon prior year commodity prices, among other factors, whereas production taxes are based upon current year commodity prices. During the three months ended March 31, 2019, our production and ad valorem taxes per BOE decreased by $0.63 as compared to the three months ended March 31, 2018, primarily due to a higher percentage increase in production volumes as compared to production and ad valorem tax expense.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Midstream Services Expense. </w:t>
      </w:r>
      <w:r>
        <w:rPr>
          <w:rFonts w:ascii="Times New Roman" w:cs="Times New Roman" w:eastAsia="Times New Roman" w:hAnsi="Times New Roman"/>
          <w:sz w:val="18"/>
          <w:szCs w:val="18"/>
          <w:color w:val="auto"/>
        </w:rPr>
        <w:t>Midstream services expense was $17 million for the three months ended March 31, 2019, an increase of $6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$11 million for the three months ended March 31, 2018. Midstream services expense represents costs incurred to operate and maintain our oil and natural gas gathering and transportation systems, natural gas lift, compression infrastructure and water transportation facilities.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Depletion and Amortization. </w:t>
      </w:r>
      <w:r>
        <w:rPr>
          <w:rFonts w:ascii="Times New Roman" w:cs="Times New Roman" w:eastAsia="Times New Roman" w:hAnsi="Times New Roman"/>
          <w:sz w:val="18"/>
          <w:szCs w:val="18"/>
          <w:color w:val="auto"/>
        </w:rPr>
        <w:t>Depreciation, depletion and amortization expense increased $207 million, or 180%, to $322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2019 from $115 million for the three months ended March 31, 2018.</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3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millions, except BOE amounts)</w:t>
            </w:r>
          </w:p>
        </w:tc>
        <w:tc>
          <w:tcPr>
            <w:tcW w:w="6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Depletion of proved oil and natural gas properties</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midstream assets</w:t>
            </w:r>
          </w:p>
        </w:tc>
        <w:tc>
          <w:tcPr>
            <w:tcW w:w="1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of other property and equipment</w:t>
            </w:r>
          </w:p>
        </w:tc>
        <w:tc>
          <w:tcPr>
            <w:tcW w:w="1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 expense</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8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 depreciation, depletion and amortization per BOE</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48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7"/>
        </w:trPr>
        <w:tc>
          <w:tcPr>
            <w:tcW w:w="7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depletion of proved oil and natural gas properties of $202 million for the three months ended March 31, 2019 as compared to the three months ended March 31, 2018 resulted primarily from higher production levels and an increase in net book value on new reserves added.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$11 million from $16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2018 to $27 million for the three months ended March 31, 2019. The increase was primarily due to an increase in salaries and benefits as a result of increased head count.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Net interest expense for the three months ended March 31, 2019 was $46 million as compared to $14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2018, an increase of $32 million. This increase was primarily due to a higher interest rate and increased average borrowings under our credit facility during the three months ended March 31, 2019 as compared to the three months ended March 31, 2018 as well as an increase in interest expense of $5 million related to our DrillCo Agreement.</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We are required to recognize all derivative instruments on the balance sheet as either assets or liabilities measured at fair value.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three months ended March 31, 2019, we had a cash gain on settlement of derivative instruments of $17.0 million as compared to a cash loss on settlement of derivative instruments of $32 million for the three months ended March 31, 2018. For the three months ended March 31, 2019, we had a negative change in the fair value of open derivative instruments of $285 million as compared to no change during the three months ended March 31,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76" w:right="239" w:bottom="1440" w:gutter="0" w:footer="0" w:header="0"/>
        </w:sectPr>
      </w:pPr>
    </w:p>
    <w:bookmarkStart w:id="52" w:name="page53"/>
    <w:bookmarkEnd w:id="5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We recorded an income tax benefit of $33 million for the three months ended March 31, 2019 as compared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provision of $47 million for the three months ended March 31, 2018. The change in our income tax provision was primarily due to the decrease in pre-tax book income for the three months ended March 31, 2019 and a discrete income tax benefit resulting from the revision of estimated deferred taxes recognized as a result of Viper’s change in tax status.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cash flows for the three months ended March 31, 2019 and 2018 are presented below:</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29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r>
      <w:tr>
        <w:trPr>
          <w:trHeight w:val="25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$377 million for the three months ended March 31, 2019 as compared to $339 million for the three months ended March 31, 2018. The increase in operating cash flows is primarily the result of an increase in our oil and natural gas revenues due to an increase in production growth partially offset by a decrease in average prices during the three months ended March 31, 2019.</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and development of oil and natural gas properties accounted for the majority of our cash outlays for investing activities. Net cash used in investing activities was $937 million and $585 million during the three months ended March 31, 2019 and 2018,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2019, we spent (a) $569 million on capital expenditures in conjunction with our development program, in which we drilled 83 gross (73 net) operated horizontal wells, of which 40 gross (36 net) wells were in the Delaware Basin and the remaining wells were in the Midland Basin, and turned 82 gross (74 net) operated horizontal wells into production, of which 28 gross (24 net) wells were in the Delaware Basin and the remaining wells were in the Midland Basin, (b) $58 million on additions to midstream assets, (c) $75 million on leasehold acquisitions, (d) $82 million for the acquisition of mineral interests, (e) $4 million for the purchase of other property and equipment and (f) $149 million on equity investments.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2018, we spent (a) $280 million on capital expenditures in conjunction with our drilling program and related infrastructure projects, in which we drilled 41 gross (36 net) operated horizontal wells, of which 14 gross (13 net) wells were in the Delaware Basin and the remaining wells were in the Midland Basin,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6" w:right="2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and turned 35 gross (30 net) operated horizontal wells into production, of which six gross (six net) wells were in the Delaware Basin and the remaining wells were in the Midland Basin, (b) $38 million on additions to midstream assets, (c) $16 million on leasehold acquisitions, (d) $150 million for mineral interests acquisitions and (e) $2 million for the purchase of other property and equipment.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investing activities for the three months ended March 31, 2019 and 2018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29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Drilling, completion and infrastructure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leasehold interests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mineral interests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other property, equipment and land</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8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 held in escrow</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8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2019 and 2018 was $471 million and $206 million, respectively. During the three months ended March 31, 2019, the amount provided by financing activities was primarily attributable to $170 million of borrowings, net of repayments, under our credit facility, an aggregate of $341 million of net proceeds from Viper’s public offering, $26 million of distributions to non-controlling interest, $21 million of dividends to stockholders and $23 million in proceeds from joint ventures. The 2018 amount provided by financing activities was primarily attributable to the issuance of $300 million of new senior notes and $12 million of premium on proceeds of the new senior notes described below, partially offset by $84 million of repayments, net of borrowings, and $19 million in distributions to non-controlling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Notes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28, 2016, we issued $500 million in aggregate principal amount of 4.750% senior notes due 2024, which we refer to as the existing 2024 senior notes, under an indenture among us, the subsidiary guarantors party thereto and Wells Fargo, as the trustee, which we refer to as the 2024 indenture. On September 25, 2018, we issued $750 million aggregate principal amount of new 4.750% senior notes due 2024, which we refer to as the new 2024 notes and, together with the existing 2024 senior notes, as the 2024 senior notes, as additional notes under, and subject to the terms of, the 2024 indenture.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 Energy Partners GP LLC, Viper Energy Partners LLC or Rattler Midstream Operating LLC, and will not be guaranteed by any of our future unrestricted subsidiaries.</w:t>
      </w:r>
    </w:p>
    <w:p>
      <w:pPr>
        <w:spacing w:after="0" w:line="3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under the terms of the registration rights agreements relating to the new 2024 senior notes, on March 22, 2019, we filed with the SEC our Registration Statement on Form S-4 relating to the exchange offers of the new 2024 senior notes for substantially identical notes registered under the Securities 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2024 senior notes, see Note 10—Debt included in Notes to the Consolidated Financial Statements included elsewhere in this Form 10-Q.</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80"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December 20, 2016, we issued $500 million in aggregate principal amount of 5.375% senior notes due 2025, which we refer to as the exiting 2025 notes, under an indenture among us, the subsidiary guarantors party thereto and Wells Fargo, as the trustee. On January 29, 2018, we issued $300 million aggregate principal amount of new 5.375% senior notes due 2025, which we refer to as the new 2025 notes and, together with the existing 2025 notes, as additional notes under the 2025 indenture.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Operating LLC, and will not be guaranteed by any of our future unrestricted subsidiaries.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2025 senior notes, see Note 10—Debt included in Notes to the Consolidated Financial Statements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Energen became our wholly owned subsidiary and remained the issuer of an aggregate principal amount of $530 million in notes, which we refer to as the Energen Notes, issued under an indenture dated September 1, 1996 with The Bank of New York as Trustee, which we refer to as the Energen Indenture. The Energen Notes consist of: (a) $400 million aggregate principal amount of 4.625% senior notes due on September 1, 2021, (b) $100 million of 7.125% notes due on February 15, 2028, (c) $20 million of 7.320% notes due on July 28, 2022, and (d) $10 million of 7.35% notes due on July 28, 2027.</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Energen Notes are the senior unsecured obligations of Energen and, post-merger, Energen, as our wholly owned subsidiary, continues to be the sole issuer and obligor under the Energen Notes. The Energen Notes rank equally in right of payment with all other senior unsecured indebtedness of Energen, including any unsecured guaranties by Energen of our indebtedness, and are effectively subordinated to Energen’s senior secured indebtedness, including Energen’s secured guaranty of all borrowings and other obligations under our revolving credit facility, to the extent of the value of the collateral securing such indebtedness.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Energen Notes, See Note 10—Debt included in Notes to the Consolidated Financial Statements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Credit Facility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credit agreement dated November 1, 2013, as amended and restated, with a syndicate of banks, including Wells Fargo, as administrative agent, and its affiliate Wells Fargo Securities, LLC, as sole book runner and lead arranger, provides for a revolving credit facility in the maximum credit amount of $5 billion, subject to a borrowing base based on our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we and Wells Fargo may each request up to two interim redeterminations of the borrowing base during any 12-month period. Effective March 25, 2019, the Company elected to increase its commitment amount from $2 billion to $3 billion. As of March 31, 2019, the borrowing base was set at $3 billion, we had elected a commitment amount of $3 billion and we had $2 billion in outstanding borrowings and $1 billion available for future borrowings under our revolving credit facility.</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Diamondback O&amp;G LLC is the borrower under our credit agreement. As of March 31, 2019, the credit agreement is guaranteed by us, Diamondback E&amp;P LLC, Rattler Midstream Operating LLC (formerly known as Rattler Midstream LLC) and Energen Corporation and its subsidiaries and will also be guaranteed by any of our future subsidiaries that are classified as restricted subsidiaries under the credit agreement. The credit agreement is also secured by substantially all of our assets and the assets of Diamondback O&amp;G LLC and the guarantors.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us that is equal to an alternative base rate (which is equal to the greatest of the prime rate, the Federal Funds effective rate plus 0.50% and 3-month LIBOR plus 1.0%) or LIBOR, in each case plus the applicable margin. The applicable margin ranges from 0.25% to 1.25% in the case of the alternative base rate and from 1.25% to 2.25% in the case of LIBOR, in each case depending on the amount of loans and letters of credit outstanding in relation to the commitment, which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76" w:right="23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8"/>
          <w:szCs w:val="18"/>
          <w:color w:val="auto"/>
        </w:rPr>
        <w:t>is defined as the least of the maximum credit amount, the borrowing base and the elected commitment amount. We are obligated to pay a quarterly commitment fee ranging from 0.375% to 0.500% per year on the unused portion of the borrowing base,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2019,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Facility-Wells Fargo Bank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8, 2014, Viper entered into a secured revolving credit agreement, or revolving credit facility, with Wells Fargo, as administrative agent, certain other lenders, and the Operating Company, as guarantor. On May 8, 2018, the Operating Company assumed all liabilities as borrower under the credit agreement and Viper became a guarantor of the credit agreement. On July 20, 2018, the Operating Company, Viper, Wells Fargo and the other lenders amended and restated the credit agreement to reflect the assumption by the Operating Company. The credit agreement, as amended and restated, provides for a revolving credit facility in the maximum credit amount of $2 billion and a borrowing base based on Viper’s oil and natural gas reserves and other factors (the “borrowing base”) of $555 million, subject to scheduled semi-annual and other borrowing base redeterminations. The borrowing base is scheduled to be re-determined semi-annually with effective dates of May 1st and November 1st. In addition, the Operating Company and Wells Fargo each may request up to three interim redeterminations of the borrowing base during any 12-month period. As of March 31, 2019, the borrowing base was set at $555 million, and Viper had $157 million of outstanding borrowings and $398 million available for future borrowings under its revolving credit facility.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Viper’s credit agreement bear interest at a per annum rate elected by the Operating Company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the assets of Viper and the Operating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80" w:right="2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$400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 and Sources of Liquidity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approved a 2019 capital budget for drilling and infrastructure of approximately $2.7 billion to $3.0 billion. We estimate that, of these expenditures, approximately:</w:t>
      </w:r>
    </w:p>
    <w:p>
      <w:pPr>
        <w:spacing w:after="0" w:line="162"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billion to $2.55 billion will be spent on drilling and completing 290 to 320 gross (255 to 280 net) horizontal wells across our operated leasehold acreage in the Northern Midland and Southern Delaware Basins, with an average lateral length of approximately 9,500 feet;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million to $250 million will be spent on midstream infrastructure excluding the cost of long-haul pipeline equity investments;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million to $200 million will be spent on infrastructure and other expenditures, excluding the cost of any leasehold and mineral interest acquisitions.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our aggregate capital expenditures for our development program were $569 million. Additionally during the three months ended March 31, 2019, we spent approximately $157 million in cash on acquisitions of leasehold interests and mineral acres. We do not have a specific acquisition budget since the timing and size of acquisitions cannot be accurately forecasted.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May 2019, our board of directors approved a stock repurchase program to acquire up to $2 billion of our outstanding common stock through December 31, 2020. We intend to purchase shares under the repurchase program opportunistically with available funds primarily from cash flow from operations and liquidity events such as the sale of assets while maintaining sufficient liquidity to fund our capital expenditure programs.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23 drilling rigs and eight completion crews. We will continue monitoring commodity prices and overall market conditions and can adjust our rig cadence up or down in response to changes in commodity prices and overall market conditions.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current oil and natural gas prices and production expectations for 2019, we believe that our cash flow from operations, cash on hand and borrowings under our revolving credit facility will be sufficient to fund our operations through year-end 2019. However, future cash flows are subject to a number of variables, including the level of oil and natural gas production and prices, and significant additional capital expenditures will be required to more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fully develop our properties. Further, our 2019 capital expenditure budget does not allocate any funds for leasehold interest and property acquisitions.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Note 18 of the Notes to the Consolidated Financial Statements of this report, there were no material changes to our contractual obligations and other commitments, as disclosed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critical accounting policies from those disclosed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no off-balance sheet arrangements as of March 31, 2019. Please read Note 18 included in Notes to the Consolidated Financial Statements set forth in Part I, Item 1 of this report, for a discussion of our commitments and contingencies, some of which are not recognized in the balance sheets under GAAP.</w:t>
      </w:r>
    </w:p>
    <w:p>
      <w:pPr>
        <w:spacing w:after="0" w:line="3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price swap derivatives, including basis swaps and three-way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(Cushing and Magellan East Houston) and Crude Oil - Brent and with natural gas derivative settlements based on NYMEX Henry Hub and Waha Hub pricing.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March 31, 2019, we had a net liability derivative position of $69 million as compared to a net asset derivative position of $216 million at December 31, 2018 related to our price swap, price basis swap derivatives and three-way collars. Utilizing actual derivative contractual volumes under our fixed price swaps as of March 31, 2019, a 10% increase in forward curves associated with the underlying commodity would have increased the net liability position to $188 million, an increase of $119 million, while a 10% decrease in forward curves associated with the underlying commodity would have decreased the net liability derivative position to a net asset position of $50 million, a decrease of $119 million. However, any cash derivative gain or loss would be substantially offset by a decrease or increase, respectively, in the actual sales value of production covered by the derivative instrument.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and Customer Credit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exposures to credit risk are through receivables resulting from joint interest receivables (approximately $107 million at March 31, 2019) and receivables from the sale of our oil and natural gas production (approximately $356 million at March 31, 2019).</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three months ended March 31, 2019, three purchasers each accounted for more than 10% of our revenue: Shell Trading (US) Company (25%), Plains Marketing LP (25%) and Occidental Energy Marketing Inc (10%). For the three months ended March 31, 2018, two purchasers each accounted for more than 10% of our revenue: Shell Trading (US) Company (30%) and Koch Supply &amp; Trading LP (20%). No other customer accounted for more than 10% of our revenue during these periods.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March 31, 2019, we had nine customers that represented approximately 70% of our total joint operations receivables. At December 31, 2018, we had four customers that represented approximately 82% of our total joint operations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2019, we had $2 billion outstanding borrowings under our revolving credit facility. Our weighted average interest rate on borrowings under our revolving credit facility was 4.24% as of March 31, 2019. An increase or decrease of 1% in the interest rate would have a corresponding decrease or increase in our interest expense of approximately $19 million based on the $2 billion outstanding under our revolving credit facility as of such date.</w:t>
      </w:r>
    </w:p>
    <w:p>
      <w:pPr>
        <w:spacing w:after="0" w:line="3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2019,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2019, our disclosure controls and procedures are effective.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792"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that occurred during the quarter ended March 31, 2019 that have materially affected, or are reasonably likely to materially affect, internal controls over financial reporting.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routine litigation or subject to disputes or claims related to our business activities. While the outcome of the pending litigation, disputes or claims cannot be predicted with certainty, in the opinion of our management, none of these matters, if decided adversely, will have a material adverse effect on our financial condition, cash flows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discussed in Part I, Item 1A. Risk Factors in our Annual Report on Form 10-K for the year ended December 31, 2018.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76" w:right="239" w:bottom="1440" w:gutter="0" w:footer="0" w:header="0"/>
        </w:sectPr>
      </w:pPr>
    </w:p>
    <w:bookmarkStart w:id="60" w:name="page61"/>
    <w:bookmarkEnd w:id="6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00" w:type="dxa"/>
            <w:vAlign w:val="bottom"/>
            <w:gridSpan w:val="11"/>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4"/>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0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Agreement and Plan of Merger, dated as of August 14, 2018, by and among Diamondback Energy, Inc., Sidewinder Merger Sub Inc. and</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Energen Corporation (incorporated by reference to Exhibit 2.1 to the Form 8-K, File No. 001-35700, filed by the Company with the SEC on</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August 15, 2018).</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16"/>
          </w:tcPr>
          <w:p>
            <w:pPr>
              <w:spacing w:after="0" w:line="20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Certificate of Incorporation of the Company (incorporated by reference to Exhibit 3.1 to the Form 10-Q, File No.</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001-35700, filed by the Company with the SEC on November 16, 2012).</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Certificate of Amendment No. 1 of the Amended and Restated Certificate of Incorporation of the Company (incorporated by reference to</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Exhibit 3.1 to the Form 8-K, File No. 001-35700, filed by the Company with the SEC on December 12,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0200" w:type="dxa"/>
            <w:vAlign w:val="bottom"/>
            <w:gridSpan w:val="16"/>
          </w:tcPr>
          <w:p>
            <w:pPr>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Bylaws of the Company (incorporated by reference to Exhibit 3.2 to the Form 10-Q, File No. 001-35700, filed by the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Company with the SEC on November 16, 2012).</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10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First Amendment to the Amended and Restated Bylaws of the Company (incorporated by reference to Exhibit 3.1 to the Form 8-K, File No.</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840" w:type="dxa"/>
            <w:vAlign w:val="bottom"/>
            <w:tcBorders>
              <w:top w:val="single" w:sz="8" w:color="0000FF"/>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001-35700, filed by the Company with the SEC on April 27, 2018).</w:t>
              </w:r>
            </w:hyperlink>
          </w:p>
        </w:tc>
        <w:tc>
          <w:tcPr>
            <w:tcW w:w="532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16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 xml:space="preserve">Specimen certificate for shares of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of the Company (incorporated by reference to Exhibit 4.1 to</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Amendment No. 4 to the Registration Statement on Form S-1, File No. 333-179502, filed by the Company with the SEC on August 20,</w:t>
              </w:r>
            </w:hyperlink>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260" w:type="dxa"/>
            <w:vAlign w:val="bottom"/>
            <w:gridSpan w:val="2"/>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2012).</w:t>
              </w:r>
            </w:hyperlink>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Indenture, dated as of October 28, 2016, among Diamondback Energy, Inc., the guarantors party thereto and Wells Fargo Bank, National</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Association, as trustee (including the form of Diamondback Energy, Inc.’s 4.750 % Senior Notes due 2024) (incorporated by reference to</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7860" w:type="dxa"/>
            <w:vAlign w:val="bottom"/>
            <w:tcBorders>
              <w:top w:val="single" w:sz="8" w:color="0000FF"/>
              <w:bottom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Exhibit 4.1 to the Form 8-K, File No. 001-35700, filed by the Company with the SEC on November 2, 2016).</w:t>
              </w:r>
            </w:hyperlink>
          </w:p>
        </w:tc>
        <w:tc>
          <w:tcPr>
            <w:tcW w:w="230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16"/>
          </w:tcPr>
          <w:p>
            <w:pPr>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First Supplemental Indenture, dated as of September 25, 2018, among Diamondback Energy, Inc., the guarantors party thereto and Wells</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Fargo Bank, National Association, as trustee (incorporated by reference to Exhibit 4.1 to the Form 8-K, File No. 001-35700, filed by the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Company with the SEC on October 1, 2018).</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0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Second Supplemental Indenture for the 4.750% Senior Notes due 2024, dated as of October 12, 2018, among Sidewinder Merger Sub Inc., a</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subsidiary of the Company, the Company, the other guarantors under the indenture and Wells Fargo Bank, National Association, as trustee</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(incorporated by reference to Exhibit 4.4 to the Form 10-K, File No. 001-35700, filed by the Company with the SEC on February 25,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1016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Third Supplemental Indenture for the 4.750% Senior Notes due 2024, dated as of January 28, 2019, among Energen Corporation, Energen</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Resources Corporation, and EGN Services, Inc., each a direct or indirect subsidiary of the Company, the Company, the other guarantors</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under the indenture and Wells Fargo Bank, National Association, as trustee (incorporated by reference to Exhibit 4.5 to the Form 10-K, File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No. 001-35700, filed by the Company with the SEC on February 25, 2019).</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0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Registration Rights Agreement, dated September 25, 2018, among Diamondback Energy, Inc., the guarantors party thereto and Merrill</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Lynch, Pierce, Fenner &amp; Smith Incorporated and Goldman Sachs &amp; Co. LLC (incorporated by reference to Exhibit 4.2 to the Form 8-K, File</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260" w:type="dxa"/>
            <w:vAlign w:val="bottom"/>
            <w:tcBorders>
              <w:top w:val="single" w:sz="8" w:color="0000FF"/>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No. 001-35700, filed by the Company with the SEC on October 1, 2018).</w:t>
              </w:r>
            </w:hyperlink>
          </w:p>
        </w:tc>
        <w:tc>
          <w:tcPr>
            <w:tcW w:w="490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1016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Indenture, dated as of December 20, 2016, among Diamondback Energy, Inc., the guarantors party thereto and Wells Fargo Bank, National</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1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Association, as trustee (including the form of Diamondback Energy, Inc.’s 5.375% Senior Notes due 2025) (incorporated by reference to</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Exhibit 4.1 to the Form 8-K, File No. 001-35700, filed by the Company with the SEC on December 21, 2016).</w:t>
              </w:r>
            </w:hyperlink>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First Supplemental Indenture, dated as of January 29, 2018, among Diamondback Energy, Inc., the guarantors party thereto and Wells Fargo</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Bank, National Association, as trustee (incorporated by reference to Exhibit 4.3 to the Form 8-K, File No. 001-35700, filed by the Company</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540" w:type="dxa"/>
            <w:vAlign w:val="bottom"/>
            <w:tcBorders>
              <w:top w:val="single" w:sz="8" w:color="0000FF"/>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8"/>
              </w:rPr>
            </w:pPr>
            <w:hyperlink r:id="rId56">
              <w:r>
                <w:rPr>
                  <w:rFonts w:ascii="Times New Roman" w:cs="Times New Roman" w:eastAsia="Times New Roman" w:hAnsi="Times New Roman"/>
                  <w:sz w:val="18"/>
                  <w:szCs w:val="18"/>
                  <w:color w:val="0000FF"/>
                  <w:w w:val="98"/>
                </w:rPr>
                <w:t>with the SEC on January 30, 2018).</w:t>
              </w:r>
            </w:hyperlink>
          </w:p>
        </w:tc>
        <w:tc>
          <w:tcPr>
            <w:tcW w:w="7620" w:type="dxa"/>
            <w:vAlign w:val="bottom"/>
            <w:tcBorders>
              <w:top w:val="single" w:sz="8" w:color="0000FF"/>
              <w:bottom w:val="single" w:sz="8" w:color="CCEEFF"/>
            </w:tcBorders>
            <w:gridSpan w:val="12"/>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10200" w:type="dxa"/>
            <w:vAlign w:val="bottom"/>
            <w:gridSpan w:val="16"/>
          </w:tcPr>
          <w:p>
            <w:pPr>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Second Supplemental Indenture for the 5.375% Senior Notes due 2025, dated as of October 12, 2018, among Sidewinder Merger Sub Inc., a</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5680" w:type="dxa"/>
            <w:vAlign w:val="bottom"/>
            <w:gridSpan w:val="10"/>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subsidiary of the Company, the Company, the other guarantors and Wells Fargo Bank, National Association, as trustee (incorporated by</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reference to Exhibit 4.8 to the Form 10-K, File No. 001-35700, filed by the Company with the SEC on February 25, 2019).</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4.10</w:t>
            </w:r>
          </w:p>
        </w:tc>
        <w:tc>
          <w:tcPr>
            <w:tcW w:w="1016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Third Supplemental Indenture for the 5.375% Senior Notes due 2025, dated as of January 28, 2019, among Energen Corporation, Energen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Resources Corporation, and EGN Services, Inc., each a direct or indirect subsidiary of the Company, the Company, the other guarantors</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5680" w:type="dxa"/>
            <w:vAlign w:val="bottom"/>
            <w:gridSpan w:val="10"/>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under the indenture and Wells Fargo Bank, National Association, as trustee (incorporated by reference to Exhibit 4.9 to the Form 10-K, File</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420" w:type="dxa"/>
            <w:vAlign w:val="bottom"/>
            <w:tcBorders>
              <w:top w:val="single" w:sz="8" w:color="0000FF"/>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No. 001-35700, filed by the Company with the SEC on February 25, 2019).</w:t>
              </w:r>
            </w:hyperlink>
          </w:p>
        </w:tc>
        <w:tc>
          <w:tcPr>
            <w:tcW w:w="474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4.11</w:t>
            </w:r>
          </w:p>
        </w:tc>
        <w:tc>
          <w:tcPr>
            <w:tcW w:w="10200" w:type="dxa"/>
            <w:vAlign w:val="bottom"/>
            <w:gridSpan w:val="16"/>
          </w:tcPr>
          <w:p>
            <w:pPr>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Registration Rights Agreement, dated as of February 28, 2017, by and among Diamondback Energy, Inc., Brigham Resources, LLC,</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5680" w:type="dxa"/>
            <w:vAlign w:val="bottom"/>
            <w:gridSpan w:val="10"/>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Brigham Resources Operating, LLC and Brigham Resources Upstream Holdings, LP (incorporated by reference to Exhibit 4.1 to the Form 8-</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K, File No. 001-35700, filed by the Company with the SEC on March 6, 2017).</w:t>
              </w:r>
            </w:hyperlink>
          </w:p>
        </w:tc>
        <w:tc>
          <w:tcPr>
            <w:tcW w:w="40" w:type="dxa"/>
            <w:vAlign w:val="bottom"/>
          </w:tcPr>
          <w:p>
            <w:pPr>
              <w:spacing w:after="0"/>
              <w:rPr>
                <w:sz w:val="17"/>
                <w:szCs w:val="17"/>
                <w:color w:val="auto"/>
              </w:rPr>
            </w:pPr>
          </w:p>
        </w:tc>
      </w:tr>
      <w:tr>
        <w:trPr>
          <w:trHeight w:val="507"/>
        </w:trPr>
        <w:tc>
          <w:tcPr>
            <w:tcW w:w="1220" w:type="dxa"/>
            <w:vAlign w:val="bottom"/>
          </w:tcPr>
          <w:p>
            <w:pPr>
              <w:spacing w:after="0"/>
              <w:rPr>
                <w:sz w:val="24"/>
                <w:szCs w:val="24"/>
                <w:color w:val="auto"/>
              </w:rPr>
            </w:pPr>
          </w:p>
        </w:tc>
        <w:tc>
          <w:tcPr>
            <w:tcW w:w="4840" w:type="dxa"/>
            <w:vAlign w:val="bottom"/>
            <w:tcBorders>
              <w:top w:val="single" w:sz="8" w:color="0000FF"/>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4.12</w:t>
            </w:r>
          </w:p>
        </w:tc>
        <w:tc>
          <w:tcPr>
            <w:tcW w:w="1020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Registration Rights Agreement, dated October 31, 2018, by and between Diamondback Energy, Inc. and Ajax Resources, LLC (incorporated</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080" w:type="dxa"/>
            <w:vAlign w:val="bottom"/>
            <w:tcBorders>
              <w:top w:val="single" w:sz="8" w:color="0000FF"/>
              <w:bottom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by reference to Exhibit 4.1 to the Form 10-Q, File No. 001-35700, filed by the Company with the SEC on November 7, 2018).</w:t>
              </w:r>
            </w:hyperlink>
          </w:p>
        </w:tc>
        <w:tc>
          <w:tcPr>
            <w:tcW w:w="108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4.13</w:t>
            </w:r>
          </w:p>
        </w:tc>
        <w:tc>
          <w:tcPr>
            <w:tcW w:w="10200" w:type="dxa"/>
            <w:vAlign w:val="bottom"/>
            <w:gridSpan w:val="8"/>
          </w:tcPr>
          <w:p>
            <w:pPr>
              <w:spacing w:after="0" w:line="20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of Indenture, dated September 1, 1996, between Energen and The Bank of New York as trustee (incorporated by reference to Exhibit</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4(i) to Energen’s Registration Statement on Form S-3, Registration No. 333-11239, filed with the SEC on August 30, 1996).</w:t>
              </w:r>
            </w:hyperlink>
          </w:p>
        </w:tc>
        <w:tc>
          <w:tcPr>
            <w:tcW w:w="40" w:type="dxa"/>
            <w:vAlign w:val="bottom"/>
            <w:gridSpan w:val="2"/>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40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2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180" w:type="dxa"/>
            <w:vAlign w:val="bottom"/>
            <w:tcBorders>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Tenth Amendment to Second Amended and Restated Credit Agreement, dated as of March 25, 2019, between Diamondback, as parent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guarantor, Diamondback O&amp;G LLC, as borrower, certain other subsidiaries of Diamondback Energy, Inc. as guarantors, Wells Fargo Bank,</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National Association, as administrative agent, and the lenders party thereto (incorporated by reference to Exhibit 10.1 to the Form 8-K (File</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340" w:type="dxa"/>
            <w:vAlign w:val="bottom"/>
            <w:tcBorders>
              <w:top w:val="single" w:sz="8" w:color="0000FF"/>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No. 00 1-35700), filed by the Company with the SEC on March 29, 2019).</w:t>
              </w:r>
            </w:hyperlink>
          </w:p>
        </w:tc>
        <w:tc>
          <w:tcPr>
            <w:tcW w:w="4820" w:type="dxa"/>
            <w:vAlign w:val="bottom"/>
            <w:tcBorders>
              <w:top w:val="single" w:sz="8" w:color="0000FF"/>
              <w:bottom w:val="single" w:sz="8" w:color="CCEEFF"/>
              <w:right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200" w:type="dxa"/>
            <w:vAlign w:val="bottom"/>
            <w:gridSpan w:val="8"/>
          </w:tcPr>
          <w:p>
            <w:pPr>
              <w:spacing w:after="0" w:line="202"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Certification of Chief Executive Officer of the Registrant pursuant to Rule 13a-14(a) promulgated under the Securities Exchange Act of</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1934, as amended.</w:t>
              </w:r>
            </w:hyperlink>
          </w:p>
        </w:tc>
        <w:tc>
          <w:tcPr>
            <w:tcW w:w="40" w:type="dxa"/>
            <w:vAlign w:val="bottom"/>
            <w:gridSpan w:val="2"/>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4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20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Certification of Chief Financial Officer of the Registrant pursuant to Rule 13a-14(a) promulgated under the Securities Exchange Act of</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right w:val="single" w:sz="8" w:color="CCEEFF"/>
            </w:tcBorders>
            <w:gridSpan w:val="6"/>
            <w:shd w:val="clear" w:color="auto" w:fill="CCEEFF"/>
          </w:tcPr>
          <w:p>
            <w:pPr>
              <w:spacing w:after="0" w:line="196"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1934, as amended.</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200" w:type="dxa"/>
            <w:vAlign w:val="bottom"/>
            <w:gridSpan w:val="8"/>
          </w:tcPr>
          <w:p>
            <w:pPr>
              <w:spacing w:after="0" w:line="202"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Certification of Chief Executive Officer of the Registrant pursuant to Rule 13a-14(b) promulgated under the Securities Exchange Act of</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1934, as amended, and Section 1350 of Chapter 63 of Title 18 of the United States Code.</w:t>
              </w:r>
            </w:hyperlink>
          </w:p>
        </w:tc>
        <w:tc>
          <w:tcPr>
            <w:tcW w:w="40" w:type="dxa"/>
            <w:vAlign w:val="bottom"/>
            <w:gridSpan w:val="2"/>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40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20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Certification of Chief Financial Officer of the Registrant pursuant to Rule 13a-14(b) promulgated under the Securities Exchange Act of</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00" w:type="dxa"/>
            <w:vAlign w:val="bottom"/>
            <w:tcBorders>
              <w:top w:val="single" w:sz="8" w:color="0000FF"/>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9"/>
              </w:rPr>
            </w:pPr>
            <w:hyperlink w:anchor="page67">
              <w:r>
                <w:rPr>
                  <w:rFonts w:ascii="Times New Roman" w:cs="Times New Roman" w:eastAsia="Times New Roman" w:hAnsi="Times New Roman"/>
                  <w:sz w:val="18"/>
                  <w:szCs w:val="18"/>
                  <w:color w:val="0000FF"/>
                  <w:w w:val="99"/>
                </w:rPr>
                <w:t>1934, as amended, and Section 1350 of Chapter 63 of Title 18 of the United States Code.</w:t>
              </w:r>
            </w:hyperlink>
          </w:p>
        </w:tc>
        <w:tc>
          <w:tcPr>
            <w:tcW w:w="3760" w:type="dxa"/>
            <w:vAlign w:val="bottom"/>
            <w:tcBorders>
              <w:top w:val="single" w:sz="8" w:color="0000FF"/>
              <w:bottom w:val="single" w:sz="8" w:color="CCEEFF"/>
              <w:right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25"/>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w:t>
            </w:r>
          </w:p>
        </w:tc>
      </w:tr>
      <w:tr>
        <w:trPr>
          <w:trHeight w:val="234"/>
        </w:trPr>
        <w:tc>
          <w:tcPr>
            <w:tcW w:w="1220" w:type="dxa"/>
            <w:vAlign w:val="bottom"/>
          </w:tcPr>
          <w:p>
            <w:pPr>
              <w:spacing w:after="0"/>
              <w:rPr>
                <w:sz w:val="20"/>
                <w:szCs w:val="20"/>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7"/>
        </w:trPr>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16"/>
        </w:trPr>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16"/>
        </w:trPr>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80" w:lineRule="exact"/>
        <w:rPr>
          <w:sz w:val="20"/>
          <w:szCs w:val="20"/>
          <w:color w:val="auto"/>
        </w:rPr>
      </w:pPr>
    </w:p>
    <w:p>
      <w:pPr>
        <w:ind w:left="600" w:hanging="538"/>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jc w:val="both"/>
        <w:ind w:left="600" w:right="860" w:hanging="538"/>
        <w:spacing w:after="0" w:line="266"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3" w:lineRule="exact"/>
        <w:rPr>
          <w:sz w:val="20"/>
          <w:szCs w:val="20"/>
          <w:color w:val="auto"/>
        </w:rPr>
      </w:pPr>
    </w:p>
    <w:p>
      <w:pPr>
        <w:ind w:left="580" w:right="860" w:hanging="518"/>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 The registrant hereby undertakes to furnish supplementally copies of any of the omitted schedules upon request by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738"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59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9, 2019</w:t>
            </w:r>
          </w:p>
        </w:tc>
        <w:tc>
          <w:tcPr>
            <w:tcW w:w="27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7"/>
        </w:trPr>
        <w:tc>
          <w:tcPr>
            <w:tcW w:w="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70"/>
        </w:trPr>
        <w:tc>
          <w:tcPr>
            <w:tcW w:w="6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9, 2019</w:t>
            </w:r>
          </w:p>
        </w:tc>
        <w:tc>
          <w:tcPr>
            <w:tcW w:w="27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7"/>
        </w:trPr>
        <w:tc>
          <w:tcPr>
            <w:tcW w:w="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70"/>
        </w:trPr>
        <w:tc>
          <w:tcPr>
            <w:tcW w:w="6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6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57</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140" w:hanging="438"/>
        <w:spacing w:after="0" w:line="266"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380" w:hanging="438"/>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820" w:val="left"/>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2019</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Kaes Van't Hof, certify that:</w:t>
      </w:r>
    </w:p>
    <w:p>
      <w:pPr>
        <w:spacing w:after="0" w:line="90" w:lineRule="exact"/>
        <w:rPr>
          <w:sz w:val="20"/>
          <w:szCs w:val="20"/>
          <w:color w:val="auto"/>
        </w:rPr>
      </w:pPr>
    </w:p>
    <w:p>
      <w:pPr>
        <w:ind w:left="460" w:hanging="438"/>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140" w:hanging="438"/>
        <w:spacing w:after="0" w:line="26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380" w:hanging="438"/>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May 9, 2019</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Kaes Van't Hof</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 (a)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May 9, 2019</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 (a)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May 9, 2019</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Kaes Van't Hof</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842"/>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44" Type="http://schemas.openxmlformats.org/officeDocument/2006/relationships/hyperlink" Target="http://www.sec.gov/Archives/edgar/data/1539838/000119312518249523/d593162dex21.htm" TargetMode="External"/><Relationship Id="rId45" Type="http://schemas.openxmlformats.org/officeDocument/2006/relationships/hyperlink" Target="http://www.sec.gov/Archives/edgar/data/1539838/000153983812000004/exhibit31amendcertofincorp.htm" TargetMode="External"/><Relationship Id="rId46" Type="http://schemas.openxmlformats.org/officeDocument/2006/relationships/hyperlink" Target="http://www.sec.gov/Archives/edgar/data/1539838/000153983816000266/diamondbackex31-12x12x16.htm" TargetMode="External"/><Relationship Id="rId47" Type="http://schemas.openxmlformats.org/officeDocument/2006/relationships/hyperlink" Target="http://www.sec.gov/Archives/edgar/data/1539838/000153983812000004/exhibit32amendandrestatedb.htm" TargetMode="External"/><Relationship Id="rId48" Type="http://schemas.openxmlformats.org/officeDocument/2006/relationships/hyperlink" Target="http://www.sec.gov/Archives/edgar/data/1539838/000153983818000048/diamondbackex31-4x27x18.htm" TargetMode="External"/><Relationship Id="rId49" Type="http://schemas.openxmlformats.org/officeDocument/2006/relationships/hyperlink" Target="http://www.sec.gov/Archives/edgar/data/1539838/000119312512360997/d295327dex41.htm" TargetMode="External"/><Relationship Id="rId50" Type="http://schemas.openxmlformats.org/officeDocument/2006/relationships/hyperlink" Target="http://www.sec.gov/Archives/edgar/data/1539838/000153983816000247/diamondbackex41-11x2x16.htm" TargetMode="External"/><Relationship Id="rId51" Type="http://schemas.openxmlformats.org/officeDocument/2006/relationships/hyperlink" Target="http://www.sec.gov/Archives/edgar/data/1539838/000153983818000109/diamondbackex41-10x1x18.htm" TargetMode="External"/><Relationship Id="rId52" Type="http://schemas.openxmlformats.org/officeDocument/2006/relationships/hyperlink" Target="http://www.sec.gov/Archives/edgar/data/1539838/000153983819000008/diamondback201810-kxex44.htm" TargetMode="External"/><Relationship Id="rId53" Type="http://schemas.openxmlformats.org/officeDocument/2006/relationships/hyperlink" Target="http://www.sec.gov/Archives/edgar/data/1539838/000153983819000008/diamondback201810-kxex45.htm" TargetMode="External"/><Relationship Id="rId54" Type="http://schemas.openxmlformats.org/officeDocument/2006/relationships/hyperlink" Target="http://www.sec.gov/Archives/edgar/data/1539838/000153983818000109/diamondbackex42-10x1x18.htm" TargetMode="External"/><Relationship Id="rId55" Type="http://schemas.openxmlformats.org/officeDocument/2006/relationships/hyperlink" Target="http://www.sec.gov/Archives/edgar/data/1539838/000153983816000272/diamondbackex41-12x21x16.htm" TargetMode="External"/><Relationship Id="rId56" Type="http://schemas.openxmlformats.org/officeDocument/2006/relationships/hyperlink" Target="http://www.sec.gov/Archives/edgar/data/1539838/000153983818000006/diamondbackex43-1x30x18.htm" TargetMode="External"/><Relationship Id="rId57" Type="http://schemas.openxmlformats.org/officeDocument/2006/relationships/hyperlink" Target="http://www.sec.gov/Archives/edgar/data/1539838/000153983819000008/diamondback201810-kxex48.htm" TargetMode="External"/><Relationship Id="rId58" Type="http://schemas.openxmlformats.org/officeDocument/2006/relationships/hyperlink" Target="http://www.sec.gov/Archives/edgar/data/1539838/000153983819000008/diamondback201810-kxex49.htm" TargetMode="External"/><Relationship Id="rId59" Type="http://schemas.openxmlformats.org/officeDocument/2006/relationships/hyperlink" Target="http://www.sec.gov/Archives/edgar/data/1539838/000153983817000040/diamondbackex41-3x6x17.htm" TargetMode="External"/><Relationship Id="rId60" Type="http://schemas.openxmlformats.org/officeDocument/2006/relationships/hyperlink" Target="http://www.sec.gov/Archives/edgar/data/1539838/000153983818000117/exhibit410.htm" TargetMode="External"/><Relationship Id="rId61" Type="http://schemas.openxmlformats.org/officeDocument/2006/relationships/hyperlink" Target="http://www.sec.gov/Archives/edgar/data/277595/0000950109-96-005681.txt" TargetMode="External"/><Relationship Id="rId62" Type="http://schemas.openxmlformats.org/officeDocument/2006/relationships/hyperlink" Target="http://www.sec.gov/Archives/edgar/data/1539838/000153983819000043/diamondbackex101-3x29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2019-12-28T12:33:50Z</dcterms:created>
  <dcterms:modified xsi:type="dcterms:W3CDTF">2019-12-28T12:33:50Z</dcterms:modified>
</cp:coreProperties>
</file>